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20" w:after="0" w:line="240" w:lineRule="auto"/>
        <w:jc w:val="center"/>
      </w:pPr>
      <w:r>
        <w:rPr>
          <w:rFonts w:ascii="微软雅黑" w:hAnsi="微软雅黑" w:eastAsia="微软雅黑"/>
          <w:b/>
          <w:color w:val="163A5F"/>
          <w:sz w:val="48"/>
        </w:rPr>
        <w:t>线下活动核销 AI 系统</w:t>
      </w:r>
    </w:p>
    <w:p>
      <w:pPr>
        <w:keepNext w:val="0"/>
        <w:spacing w:before="0" w:after="40" w:line="240" w:lineRule="auto"/>
        <w:jc w:val="center"/>
      </w:pPr>
      <w:r>
        <w:rPr>
          <w:rFonts w:ascii="微软雅黑" w:hAnsi="微软雅黑" w:eastAsia="微软雅黑"/>
          <w:b w:val="0"/>
          <w:color w:val="64748B"/>
          <w:sz w:val="22"/>
        </w:rPr>
        <w:t>技术方案 V1.0｜三 Skill 架构、Input 与 Output</w:t>
      </w:r>
    </w:p>
    <w:p>
      <w:pPr>
        <w:keepNext w:val="0"/>
        <w:spacing w:before="0" w:after="100" w:line="240" w:lineRule="auto"/>
        <w:jc w:val="center"/>
      </w:pPr>
      <w:r>
        <w:rPr>
          <w:rFonts w:ascii="微软雅黑" w:hAnsi="微软雅黑" w:eastAsia="微软雅黑"/>
          <w:b w:val="0"/>
          <w:color w:val="64748B"/>
          <w:sz w:val="15"/>
        </w:rPr>
        <w:t>版本日期：2026-08-16　｜　目标：自动取证、规则核验和 AI 结果展示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9" w:space="0" w:color="163A5F"/>
          <w:left w:val="single" w:sz="9" w:space="0" w:color="163A5F"/>
          <w:bottom w:val="single" w:sz="9" w:space="0" w:color="163A5F"/>
          <w:right w:val="single" w:sz="9" w:space="0" w:color="163A5F"/>
          <w:insideH w:val="single" w:sz="9" w:space="0" w:color="163A5F"/>
          <w:insideV w:val="single" w:sz="9" w:space="0" w:color="163A5F"/>
        </w:tblBorders>
      </w:tblPr>
      <w:tblGrid>
        <w:gridCol w:w="10148"/>
      </w:tblGrid>
      <w:tr>
        <w:trPr>
          <w:cantSplit/>
        </w:trPr>
        <w:tc>
          <w:tcPr>
            <w:tcW w:type="dxa" w:w="10148"/>
            <w:shd w:fill="EAF2FB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sz w:val="17"/>
              </w:rPr>
              <w:t>总体方案</w:t>
              <w:br/>
              <w:t>一个主 Skill 负责接收材料、分类路由、调用与汇总；两个子 Skill 分别处理人员激励和堆头陈列核销。Excel 始终由代码直接读取；图片和 PDF 在“视觉 AI”或“OCR + AI”中选择一种实现，二者不串联。金额和状态由固定规则计算。</w:t>
            </w:r>
          </w:p>
        </w:tc>
      </w:tr>
    </w:tbl>
    <w:p>
      <w:pPr>
        <w:keepNext w:val="0"/>
        <w:spacing w:before="0" w:after="20" w:line="240" w:lineRule="auto"/>
      </w:pPr>
    </w:p>
    <w:p>
      <w:pPr>
        <w:keepNext/>
        <w:spacing w:before="60" w:after="80" w:line="240" w:lineRule="auto"/>
        <w:pBdr>
          <w:bottom w:val="single" w:sz="10" w:space="4" w:color="163A5F"/>
        </w:pBdr>
      </w:pPr>
      <w:r>
        <w:rPr>
          <w:rFonts w:ascii="微软雅黑" w:hAnsi="微软雅黑" w:eastAsia="微软雅黑"/>
          <w:b/>
          <w:color w:val="163A5F"/>
          <w:sz w:val="28"/>
        </w:rPr>
        <w:t>1  三 Skill 技术架构</w:t>
      </w:r>
    </w:p>
    <w:p>
      <w:pPr>
        <w:keepNext w:val="0"/>
        <w:spacing w:before="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334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线下活动核销AI系统技术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34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Microsoft YaHei" w:hAnsi="Microsoft YaHei" w:eastAsia="微软雅黑"/>
        </w:rPr>
        <w:t>图 1　三个 Skill，以及两种独立识别方案与输出的关系</w:t>
      </w:r>
    </w:p>
    <w:p>
      <w:pPr>
        <w:keepNext/>
        <w:spacing w:before="20" w:after="60" w:line="240" w:lineRule="auto"/>
      </w:pPr>
      <w:r>
        <w:rPr>
          <w:rFonts w:ascii="微软雅黑" w:hAnsi="微软雅黑" w:eastAsia="微软雅黑"/>
          <w:b/>
          <w:color w:val="2F66B0"/>
          <w:sz w:val="20"/>
        </w:rPr>
        <w:t>1.1  三个 Skill 的作用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5074"/>
        <w:gridCol w:w="5074"/>
      </w:tblGrid>
      <w:tr>
        <w:trPr>
          <w:tblHeader w:val="true"/>
          <w:cantSplit/>
        </w:trPr>
        <w:tc>
          <w:tcPr>
            <w:tcW w:type="dxa" w:w="2437"/>
            <w:shd w:fill="163A5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角色</w:t>
            </w:r>
          </w:p>
        </w:tc>
        <w:tc>
          <w:tcPr>
            <w:tcW w:type="dxa" w:w="7710"/>
            <w:shd w:fill="163A5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作用</w:t>
            </w:r>
          </w:p>
        </w:tc>
      </w:tr>
      <w:tr>
        <w:trPr>
          <w:cantSplit/>
        </w:trPr>
        <w:tc>
          <w:tcPr>
            <w:tcW w:type="dxa" w:w="2437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5"/>
              </w:rPr>
              <w:t>主 Skill</w:t>
            </w:r>
          </w:p>
        </w:tc>
        <w:tc>
          <w:tcPr>
            <w:tcW w:type="dxa" w:w="7710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接收两份材料包；检查文件；识别场景并一包一路由；调用两个子 Skill；校验、合并并输出最终结果。</w:t>
            </w:r>
          </w:p>
        </w:tc>
      </w:tr>
      <w:tr>
        <w:trPr>
          <w:cantSplit/>
        </w:trPr>
        <w:tc>
          <w:tcPr>
            <w:tcW w:type="dxa" w:w="2437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5"/>
              </w:rPr>
              <w:t>子 Skill（人员激励）</w:t>
            </w:r>
          </w:p>
        </w:tc>
        <w:tc>
          <w:tcPr>
            <w:tcW w:type="dxa" w:w="7710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读取销售、结算和转账证据；逐商品匹配 SKU / 条码；汇总数量、复算奖励，并核对转账金额、身份和日期。</w:t>
            </w:r>
          </w:p>
        </w:tc>
      </w:tr>
      <w:tr>
        <w:trPr>
          <w:cantSplit/>
        </w:trPr>
        <w:tc>
          <w:tcPr>
            <w:tcW w:type="dxa" w:w="2437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5"/>
              </w:rPr>
              <w:t>子 Skill（堆头陈列）</w:t>
            </w:r>
          </w:p>
        </w:tc>
        <w:tc>
          <w:tcPr>
            <w:tcW w:type="dxa" w:w="7710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读取合同、销售和现场照片；逐门店核对照片、期间、地点、陈列与重复情况，并计算通过门店的支持金额。</w:t>
            </w:r>
          </w:p>
        </w:tc>
      </w:tr>
    </w:tbl>
    <w:p>
      <w:pPr>
        <w:keepNext w:val="0"/>
        <w:spacing w:before="0" w:after="20" w:line="240" w:lineRule="auto"/>
      </w:pPr>
    </w:p>
    <w:p>
      <w:r>
        <w:br w:type="page"/>
      </w:r>
    </w:p>
    <w:p>
      <w:pPr>
        <w:keepNext/>
        <w:spacing w:before="60" w:after="80" w:line="240" w:lineRule="auto"/>
        <w:pBdr>
          <w:bottom w:val="single" w:sz="10" w:space="4" w:color="163A5F"/>
        </w:pBdr>
      </w:pPr>
      <w:r>
        <w:rPr>
          <w:rFonts w:ascii="微软雅黑" w:hAnsi="微软雅黑" w:eastAsia="微软雅黑"/>
          <w:b/>
          <w:color w:val="163A5F"/>
          <w:sz w:val="28"/>
        </w:rPr>
        <w:t>2  Input：输入如何处理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3383"/>
        <w:gridCol w:w="3383"/>
        <w:gridCol w:w="3383"/>
      </w:tblGrid>
      <w:tr>
        <w:trPr>
          <w:tblHeader w:val="true"/>
          <w:cantSplit/>
        </w:trPr>
        <w:tc>
          <w:tcPr>
            <w:tcW w:type="dxa" w:w="2211"/>
            <w:shd w:fill="163A5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输入场景</w:t>
            </w:r>
          </w:p>
        </w:tc>
        <w:tc>
          <w:tcPr>
            <w:tcW w:type="dxa" w:w="3344"/>
            <w:shd w:fill="163A5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材料</w:t>
            </w:r>
          </w:p>
        </w:tc>
        <w:tc>
          <w:tcPr>
            <w:tcW w:type="dxa" w:w="4592"/>
            <w:shd w:fill="163A5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主要读取内容</w:t>
            </w:r>
          </w:p>
        </w:tc>
      </w:tr>
      <w:tr>
        <w:trPr>
          <w:cantSplit/>
        </w:trPr>
        <w:tc>
          <w:tcPr>
            <w:tcW w:type="dxa" w:w="2211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5"/>
              </w:rPr>
              <w:t>人员激励材料</w:t>
            </w:r>
          </w:p>
        </w:tc>
        <w:tc>
          <w:tcPr>
            <w:tcW w:type="dxa" w:w="3344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销售 Excel、结算单、转账截图</w:t>
            </w:r>
          </w:p>
        </w:tc>
        <w:tc>
          <w:tcPr>
            <w:tcW w:type="dxa" w:w="4592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商品 / 条码、数量、奖励标准、结算金额、收款与转账证据</w:t>
            </w:r>
          </w:p>
        </w:tc>
      </w:tr>
      <w:tr>
        <w:trPr>
          <w:cantSplit/>
        </w:trPr>
        <w:tc>
          <w:tcPr>
            <w:tcW w:type="dxa" w:w="2211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5"/>
              </w:rPr>
              <w:t>堆头陈列材料</w:t>
            </w:r>
          </w:p>
        </w:tc>
        <w:tc>
          <w:tcPr>
            <w:tcW w:type="dxa" w:w="3344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合同 PDF、销售 Excel、现场照片</w:t>
            </w:r>
          </w:p>
        </w:tc>
        <w:tc>
          <w:tcPr>
            <w:tcW w:type="dxa" w:w="4592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活动期间、门店清单、陈列标准、单店费用、照片日期地点和陈列情况</w:t>
            </w:r>
          </w:p>
        </w:tc>
      </w:tr>
    </w:tbl>
    <w:p>
      <w:pPr>
        <w:keepNext w:val="0"/>
        <w:spacing w:before="0" w:after="20" w:line="240" w:lineRule="auto"/>
      </w:pPr>
    </w:p>
    <w:p>
      <w:pPr>
        <w:keepNext w:val="0"/>
        <w:spacing w:before="0" w:after="60" w:line="264" w:lineRule="auto"/>
      </w:pPr>
      <w:r>
        <w:rPr>
          <w:rFonts w:ascii="微软雅黑" w:hAnsi="微软雅黑" w:eastAsia="微软雅黑"/>
          <w:b w:val="0"/>
          <w:color w:val="C95D00"/>
          <w:sz w:val="16"/>
        </w:rPr>
        <w:t>处理顺序：校验压缩包和文件完整性 → 安全解压与文件清单 → 按材料组成识别场景 → 分配给对应子 Skill。无法唯一分类、两包同类或关键材料缺失时停止并提示补充。</w:t>
      </w:r>
    </w:p>
    <w:p>
      <w:pPr>
        <w:keepNext/>
        <w:spacing w:before="60" w:after="80" w:line="240" w:lineRule="auto"/>
        <w:pBdr>
          <w:bottom w:val="single" w:sz="10" w:space="4" w:color="163A5F"/>
        </w:pBdr>
      </w:pPr>
      <w:r>
        <w:rPr>
          <w:rFonts w:ascii="微软雅黑" w:hAnsi="微软雅黑" w:eastAsia="微软雅黑"/>
          <w:b/>
          <w:color w:val="163A5F"/>
          <w:sz w:val="28"/>
        </w:rPr>
        <w:t>3  识别与核验如何实现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3383"/>
        <w:gridCol w:w="3383"/>
        <w:gridCol w:w="3383"/>
      </w:tblGrid>
      <w:tr>
        <w:trPr>
          <w:tblHeader w:val="true"/>
          <w:cantSplit/>
        </w:trPr>
        <w:tc>
          <w:tcPr>
            <w:tcW w:type="dxa" w:w="2267"/>
            <w:shd w:fill="008F8C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/>
                <w:sz w:val="14"/>
              </w:rPr>
              <w:t>技术方案</w:t>
            </w:r>
          </w:p>
        </w:tc>
        <w:tc>
          <w:tcPr>
            <w:tcW w:type="dxa" w:w="4422"/>
            <w:shd w:fill="008F8C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/>
                <w:sz w:val="14"/>
              </w:rPr>
              <w:t>Excel / 结构化数据</w:t>
            </w:r>
          </w:p>
        </w:tc>
        <w:tc>
          <w:tcPr>
            <w:tcW w:type="dxa" w:w="3458"/>
            <w:shd w:fill="008F8C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/>
                <w:sz w:val="14"/>
              </w:rPr>
              <w:t>图片 / PDF</w:t>
            </w:r>
          </w:p>
        </w:tc>
      </w:tr>
      <w:tr>
        <w:trPr>
          <w:cantSplit/>
        </w:trPr>
        <w:tc>
          <w:tcPr>
            <w:tcW w:type="dxa" w:w="2267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/>
                <w:sz w:val="14"/>
              </w:rPr>
              <w:t>视觉 AI 方案</w:t>
            </w:r>
          </w:p>
        </w:tc>
        <w:tc>
          <w:tcPr>
            <w:tcW w:type="dxa" w:w="4422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 w:val="0"/>
                <w:sz w:val="14"/>
              </w:rPr>
              <w:t>代码直接解析，保留工作表、行号、原值和字段映射。</w:t>
            </w:r>
          </w:p>
        </w:tc>
        <w:tc>
          <w:tcPr>
            <w:tcW w:type="dxa" w:w="3458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 w:val="0"/>
                <w:sz w:val="14"/>
              </w:rPr>
              <w:t>视觉 AI 直接读取，一次返回字段、来源位置、置信度和缺失原因。</w:t>
            </w:r>
          </w:p>
        </w:tc>
      </w:tr>
      <w:tr>
        <w:trPr>
          <w:cantSplit/>
        </w:trPr>
        <w:tc>
          <w:tcPr>
            <w:tcW w:type="dxa" w:w="2267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/>
                <w:sz w:val="14"/>
              </w:rPr>
              <w:t>OCR + AI 方案</w:t>
            </w:r>
          </w:p>
        </w:tc>
        <w:tc>
          <w:tcPr>
            <w:tcW w:type="dxa" w:w="4422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 w:val="0"/>
                <w:sz w:val="14"/>
              </w:rPr>
              <w:t>代码直接解析，不经过 OCR 或 AI。</w:t>
            </w:r>
          </w:p>
        </w:tc>
        <w:tc>
          <w:tcPr>
            <w:tcW w:type="dxa" w:w="3458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 w:val="0"/>
                <w:sz w:val="14"/>
              </w:rPr>
              <w:t>先由 OCR 提取文字、坐标与置信度，再由文本 AI 做字段归一、主体匹配和异常解释。</w:t>
            </w:r>
          </w:p>
        </w:tc>
      </w:tr>
    </w:tbl>
    <w:p>
      <w:pPr>
        <w:keepNext w:val="0"/>
        <w:spacing w:before="40" w:after="100" w:line="240" w:lineRule="auto"/>
        <w:jc w:val="left"/>
      </w:pPr>
      <w:r>
        <w:rPr>
          <w:rFonts w:ascii="Microsoft YaHei" w:hAnsi="Microsoft YaHei" w:eastAsia="微软雅黑"/>
          <w:b/>
          <w:color w:val="CA5A00"/>
          <w:sz w:val="16"/>
        </w:rPr>
        <w:t>选型关系：图片和 PDF 部署时二选一；视觉 AI 与 OCR + AI 是独立方案，不串联、不互为兜底。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5074"/>
        <w:gridCol w:w="5074"/>
      </w:tblGrid>
      <w:tr>
        <w:trPr>
          <w:tblHeader w:val="true"/>
          <w:cantSplit/>
        </w:trPr>
        <w:tc>
          <w:tcPr>
            <w:tcW w:type="dxa" w:w="2267"/>
            <w:shd w:fill="2F66B0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步骤</w:t>
            </w:r>
          </w:p>
        </w:tc>
        <w:tc>
          <w:tcPr>
            <w:tcW w:type="dxa" w:w="7880"/>
            <w:shd w:fill="2F66B0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实现要点</w:t>
            </w:r>
          </w:p>
        </w:tc>
      </w:tr>
      <w:tr>
        <w:trPr>
          <w:cantSplit/>
        </w:trPr>
        <w:tc>
          <w:tcPr>
            <w:tcW w:type="dxa" w:w="2267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4"/>
              </w:rPr>
              <w:t>结构化读取</w:t>
            </w:r>
          </w:p>
        </w:tc>
        <w:tc>
          <w:tcPr>
            <w:tcW w:type="dxa" w:w="7880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sz w:val="14"/>
              </w:rPr>
              <w:t>Excel / 可复制文本由代码直接解析，保留原始行号、工作表位置和原值，不调用视觉 AI、OCR 或文本 AI。</w:t>
            </w:r>
          </w:p>
        </w:tc>
      </w:tr>
      <w:tr>
        <w:trPr>
          <w:cantSplit/>
        </w:trPr>
        <w:tc>
          <w:tcPr>
            <w:tcW w:type="dxa" w:w="2267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4"/>
              </w:rPr>
              <w:t>统一证据</w:t>
            </w:r>
          </w:p>
        </w:tc>
        <w:tc>
          <w:tcPr>
            <w:tcW w:type="dxa" w:w="7880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4"/>
              </w:rPr>
              <w:t>所有识别结果转换为字段值、来源页 / 区域、置信度、缺失原因和原始材料定位。</w:t>
            </w:r>
          </w:p>
        </w:tc>
      </w:tr>
      <w:tr>
        <w:trPr>
          <w:cantSplit/>
        </w:trPr>
        <w:tc>
          <w:tcPr>
            <w:tcW w:type="dxa" w:w="2267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4"/>
              </w:rPr>
              <w:t>业务核验</w:t>
            </w:r>
          </w:p>
        </w:tc>
        <w:tc>
          <w:tcPr>
            <w:tcW w:type="dxa" w:w="7880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4"/>
              </w:rPr>
              <w:t>分别执行商品唯一映射、数量与奖励复算、转账覆盖，以及合同门店、照片日期地点、陈列和重复检查。</w:t>
            </w:r>
          </w:p>
        </w:tc>
      </w:tr>
      <w:tr>
        <w:trPr>
          <w:cantSplit/>
        </w:trPr>
        <w:tc>
          <w:tcPr>
            <w:tcW w:type="dxa" w:w="2267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4"/>
              </w:rPr>
              <w:t>固定规则</w:t>
            </w:r>
          </w:p>
        </w:tc>
        <w:tc>
          <w:tcPr>
            <w:tcW w:type="dxa" w:w="7880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4"/>
              </w:rPr>
              <w:t>只根据通过的明细计算证据支持金额；建议通过金额不得超过申报金额或证据支持金额。</w:t>
            </w:r>
          </w:p>
        </w:tc>
      </w:tr>
      <w:tr>
        <w:trPr>
          <w:cantSplit/>
        </w:trPr>
        <w:tc>
          <w:tcPr>
            <w:tcW w:type="dxa" w:w="2267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b/>
                <w:sz w:val="14"/>
              </w:rPr>
              <w:t>异常处理</w:t>
            </w:r>
          </w:p>
        </w:tc>
        <w:tc>
          <w:tcPr>
            <w:tcW w:type="dxa" w:w="7880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spacing w:line="250" w:lineRule="auto" w:before="0" w:after="0"/>
            </w:pPr>
            <w:r>
              <w:rPr>
                <w:rFonts w:ascii="Microsoft YaHei" w:hAnsi="Microsoft YaHei" w:eastAsia="微软雅黑"/>
                <w:sz w:val="14"/>
              </w:rPr>
              <w:t>关键字段缺失、格式异常或低于置信度阈值时，按当前方案重试或转人工，不自动切换另一方案。</w:t>
            </w:r>
          </w:p>
        </w:tc>
      </w:tr>
    </w:tbl>
    <w:p>
      <w:pPr>
        <w:keepNext w:val="0"/>
        <w:spacing w:before="0" w:after="20" w:line="240" w:lineRule="auto"/>
      </w:pPr>
    </w:p>
    <w:p>
      <w:pPr>
        <w:keepNext/>
        <w:spacing w:before="60" w:after="80" w:line="240" w:lineRule="auto"/>
        <w:pBdr>
          <w:bottom w:val="single" w:sz="10" w:space="4" w:color="163A5F"/>
        </w:pBdr>
      </w:pPr>
      <w:r>
        <w:rPr>
          <w:rFonts w:ascii="微软雅黑" w:hAnsi="微软雅黑" w:eastAsia="微软雅黑"/>
          <w:b/>
          <w:color w:val="163A5F"/>
          <w:sz w:val="28"/>
        </w:rPr>
        <w:t>4  Output：结果如何生成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CBD5E1"/>
          <w:left w:val="single" w:sz="5" w:space="0" w:color="CBD5E1"/>
          <w:bottom w:val="single" w:sz="5" w:space="0" w:color="CBD5E1"/>
          <w:right w:val="single" w:sz="5" w:space="0" w:color="CBD5E1"/>
          <w:insideH w:val="single" w:sz="5" w:space="0" w:color="CBD5E1"/>
          <w:insideV w:val="single" w:sz="5" w:space="0" w:color="CBD5E1"/>
        </w:tblBorders>
      </w:tblPr>
      <w:tblGrid>
        <w:gridCol w:w="5074"/>
        <w:gridCol w:w="5074"/>
      </w:tblGrid>
      <w:tr>
        <w:trPr>
          <w:tblHeader w:val="true"/>
          <w:cantSplit/>
        </w:trPr>
        <w:tc>
          <w:tcPr>
            <w:tcW w:type="dxa" w:w="2381"/>
            <w:shd w:fill="6B3FA0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输出模块</w:t>
            </w:r>
          </w:p>
        </w:tc>
        <w:tc>
          <w:tcPr>
            <w:tcW w:type="dxa" w:w="7766"/>
            <w:shd w:fill="6B3FA0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生成内容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5"/>
              </w:rPr>
              <w:t>AI 结果展示</w:t>
            </w:r>
          </w:p>
        </w:tc>
        <w:tc>
          <w:tcPr>
            <w:tcW w:type="dxa" w:w="7766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先展示通过、待补件、人工复核或异常，再展示人员激励与堆头陈列各自的判断。</w:t>
            </w:r>
          </w:p>
        </w:tc>
      </w:tr>
      <w:tr>
        <w:trPr>
          <w:cantSplit/>
        </w:trPr>
        <w:tc>
          <w:tcPr>
            <w:tcW w:type="dxa" w:w="2381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5"/>
              </w:rPr>
              <w:t>金额与依据</w:t>
            </w:r>
          </w:p>
        </w:tc>
        <w:tc>
          <w:tcPr>
            <w:tcW w:type="dxa" w:w="7766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展示申报金额、重新计算金额、证据支持金额、建议通过金额、暂挂金额及差异原因。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5"/>
              </w:rPr>
              <w:t>异常与补件</w:t>
            </w:r>
          </w:p>
        </w:tc>
        <w:tc>
          <w:tcPr>
            <w:tcW w:type="dxa" w:w="7766"/>
            <w:shd w:fill="FFFFFF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列出失败对象、影响金额、证据位置，以及需要补充的合同、截图、身份或日期材料。</w:t>
            </w:r>
          </w:p>
        </w:tc>
      </w:tr>
      <w:tr>
        <w:trPr>
          <w:cantSplit/>
        </w:trPr>
        <w:tc>
          <w:tcPr>
            <w:tcW w:type="dxa" w:w="2381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163A5F"/>
                <w:sz w:val="15"/>
              </w:rPr>
              <w:t>Excel 交付</w:t>
            </w:r>
          </w:p>
        </w:tc>
        <w:tc>
          <w:tcPr>
            <w:tcW w:type="dxa" w:w="7766"/>
            <w:shd w:fill="F4F7FB" w:val="clear"/>
            <w:tcMar>
              <w:top w:w="65" w:type="dxa"/>
              <w:start w:w="85" w:type="dxa"/>
              <w:bottom w:w="65" w:type="dxa"/>
              <w:end w:w="85" w:type="dxa"/>
            </w:tcMar>
            <w:vAlign w:val="center"/>
          </w:tcPr>
          <w:p>
            <w:pPr>
              <w:keepNext w:val="0"/>
              <w:spacing w:before="0" w:after="0" w:line="250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243447"/>
                <w:sz w:val="15"/>
              </w:rPr>
              <w:t>输出一份工作簿，每个场景一个明细页，包含逐项核验、底层来源、金额计算和补件清单。</w:t>
            </w:r>
          </w:p>
        </w:tc>
      </w:tr>
    </w:tbl>
    <w:p>
      <w:pPr>
        <w:keepNext w:val="0"/>
        <w:spacing w:before="0" w:after="20" w:line="240" w:lineRule="auto"/>
      </w:pPr>
    </w:p>
    <w:p>
      <w:pPr>
        <w:keepNext w:val="0"/>
        <w:spacing w:before="20" w:after="40" w:line="252" w:lineRule="auto"/>
      </w:pPr>
      <w:r>
        <w:rPr>
          <w:rFonts w:ascii="Microsoft YaHei" w:hAnsi="Microsoft YaHei" w:eastAsia="微软雅黑"/>
          <w:sz w:val="16"/>
        </w:rPr>
        <w:t>责任边界：选定的视觉 AI 或 OCR + AI 方案负责读取并整理图片 / PDF 证据；Excel 由代码读取；金额与通过状态由固定规则计算，冲突字段转人工复核。</w:t>
      </w:r>
    </w:p>
    <w:p>
      <w:pPr>
        <w:keepNext w:val="0"/>
        <w:spacing w:before="20" w:after="0" w:line="240" w:lineRule="auto"/>
        <w:jc w:val="center"/>
      </w:pPr>
      <w:r>
        <w:rPr>
          <w:rFonts w:ascii="Microsoft YaHei" w:hAnsi="Microsoft YaHei" w:eastAsia="微软雅黑"/>
          <w:sz w:val="16"/>
        </w:rPr>
        <w:t>最终流程：Input → 主 Skill 路由 → 两个子 Skill → Excel 代码读取 + 图片 / PDF 按所选方案识别 → 固定规则计算 → AI 展示与 Excel Output。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879" w:bottom="680" w:left="87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center"/>
    </w:pPr>
    <w:r>
      <w:rPr>
        <w:rFonts w:ascii="微软雅黑" w:hAnsi="微软雅黑" w:eastAsia="微软雅黑"/>
        <w:b w:val="0"/>
        <w:color w:val="64748B"/>
        <w:sz w:val="14"/>
      </w:rPr>
      <w:t xml:space="preserve">内部技术方案  ·  </w:t>
    </w:r>
    <w:r>
      <w:rPr>
        <w:rFonts w:ascii="微软雅黑" w:hAnsi="微软雅黑" w:eastAsia="微软雅黑"/>
        <w:b w:val="0"/>
        <w:color w:val="64748B"/>
        <w:sz w:val="14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hAnsi="微软雅黑" w:eastAsia="微软雅黑"/>
        <w:b w:val="0"/>
        <w:color w:val="64748B"/>
        <w:sz w:val="14"/>
      </w:rPr>
      <w:t xml:space="preserve"> / </w:t>
    </w:r>
    <w:r>
      <w:rPr>
        <w:rFonts w:ascii="微软雅黑" w:hAnsi="微软雅黑" w:eastAsia="微软雅黑"/>
        <w:b w:val="0"/>
        <w:color w:val="64748B"/>
        <w:sz w:val="14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right"/>
    </w:pPr>
    <w:r>
      <w:rPr>
        <w:rFonts w:ascii="微软雅黑" w:hAnsi="微软雅黑" w:eastAsia="微软雅黑"/>
        <w:b w:val="0"/>
        <w:color w:val="64748B"/>
        <w:sz w:val="14"/>
      </w:rPr>
      <w:t>线下活动核销 AI 系统｜技术架构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线下活动核销 AI 系统技术方案 V1.0</dc:title>
  <dc:subject>三 Skill 架构、输入、实现与输出</dc:subject>
  <dc:creator>项目技术组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