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2C216">
      <w:pPr>
        <w:pStyle w:val="5"/>
        <w:keepNext w:val="0"/>
        <w:keepLines w:val="0"/>
        <w:widowControl/>
        <w:suppressLineNumbers w:val="0"/>
        <w:spacing w:before="360" w:beforeAutospacing="0" w:after="130" w:afterAutospacing="0" w:line="223" w:lineRule="auto"/>
        <w:ind w:left="0" w:firstLine="0"/>
        <w:jc w:val="left"/>
        <w:rPr>
          <w:sz w:val="29"/>
          <w:szCs w:val="29"/>
        </w:rPr>
      </w:pPr>
      <w:r>
        <w:rPr>
          <w:rFonts w:ascii="Source Han Serif CN" w:hAnsi="Source Han Serif CN" w:eastAsia="Source Han Serif CN" w:cs="Source Han Serif CN"/>
          <w:b/>
          <w:bCs/>
          <w:color w:val="171A1D"/>
          <w:sz w:val="29"/>
          <w:szCs w:val="29"/>
        </w:rPr>
        <w:t>一、 总体方案：</w:t>
      </w:r>
    </w:p>
    <w:p w14:paraId="1E833B7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一个主 Skill 负责接收材料、分类路由、调用与汇总；两个子 Skill 分别处理人员激励和堆头陈列核销。Excel 始终由代码直接读取；图片和 PDF 在“视觉 AI”或“OCR + AI”中选择一种实现，二者不串联。金额和状态由固定规则计算。</w:t>
      </w:r>
    </w:p>
    <w:p w14:paraId="12429BC3">
      <w:pPr>
        <w:pStyle w:val="30"/>
        <w:keepNext w:val="0"/>
        <w:keepLines w:val="0"/>
        <w:widowControl/>
        <w:suppressLineNumbers w:val="0"/>
        <w:spacing w:before="0" w:beforeAutospacing="0" w:after="40" w:afterAutospacing="0"/>
        <w:ind w:left="0" w:firstLine="0"/>
        <w:jc w:val="left"/>
      </w:pPr>
      <w:r>
        <w:drawing>
          <wp:inline distT="0" distB="0" distL="114300" distR="114300">
            <wp:extent cx="6437630" cy="3620770"/>
            <wp:effectExtent l="0" t="0" r="1270" b="177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7630" cy="3620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线下活动核销AI系统技术流程图.jpeg"/>
      <w:bookmarkEnd w:id="0"/>
    </w:p>
    <w:p w14:paraId="3515085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18"/>
          <w:szCs w:val="18"/>
        </w:rPr>
        <w:t>流程：Input → 主 Skill 路由 → 两个子 Skill → Excel 代码读取 + 图片 / PDF 按所选方案识别 → 固定规则计算 →筛选出高置信度或低置信度→ AI 展示（高置信度自动核销，低置信度人工复核）与 Excel Output。</w:t>
      </w:r>
    </w:p>
    <w:p w14:paraId="0B067F56">
      <w:pPr>
        <w:pStyle w:val="5"/>
        <w:keepNext w:val="0"/>
        <w:keepLines w:val="0"/>
        <w:widowControl/>
        <w:suppressLineNumbers w:val="0"/>
        <w:spacing w:before="360" w:beforeAutospacing="0" w:after="130" w:afterAutospacing="0" w:line="223" w:lineRule="auto"/>
        <w:ind w:left="0" w:firstLine="0"/>
        <w:jc w:val="left"/>
        <w:rPr>
          <w:sz w:val="29"/>
          <w:szCs w:val="29"/>
        </w:rPr>
      </w:pPr>
      <w:r>
        <w:rPr>
          <w:b/>
          <w:bCs/>
          <w:sz w:val="29"/>
          <w:szCs w:val="29"/>
        </w:rPr>
        <w:t>二、 input：输入如何处理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3002"/>
        <w:gridCol w:w="6016"/>
      </w:tblGrid>
      <w:tr w14:paraId="3CC53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5F6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6798C7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center"/>
            </w:pPr>
            <w:r>
              <w:rPr>
                <w:color w:val="252527"/>
                <w:sz w:val="18"/>
                <w:szCs w:val="18"/>
                <w:shd w:val="clear" w:fill="FFFFFF"/>
              </w:rPr>
              <w:t>输入场景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5F6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CFC459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center"/>
            </w:pPr>
            <w:r>
              <w:rPr>
                <w:color w:val="252527"/>
                <w:sz w:val="18"/>
                <w:szCs w:val="18"/>
                <w:shd w:val="clear" w:fill="FFFFFF"/>
              </w:rPr>
              <w:t>材料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5F6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67165F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center"/>
            </w:pPr>
            <w:r>
              <w:rPr>
                <w:color w:val="252527"/>
                <w:sz w:val="18"/>
                <w:szCs w:val="18"/>
                <w:shd w:val="clear" w:fill="FFFFFF"/>
              </w:rPr>
              <w:t>主要读取内容</w:t>
            </w:r>
          </w:p>
        </w:tc>
      </w:tr>
      <w:tr w14:paraId="43A49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922A05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人员激励材料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209EB3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销售 Excel、结算单、转账截图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A7B9CE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商品 / 条码、数量、奖励标准、结算金额、收款与转账证据</w:t>
            </w:r>
          </w:p>
        </w:tc>
      </w:tr>
      <w:tr w14:paraId="58E41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BA050E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堆头陈列材料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868B73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合同 PDF、销售 Excel、现场照片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18EC51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活动期间、门店清单、陈列标准、单店费用、照片日期地点和陈列情况</w:t>
            </w:r>
          </w:p>
        </w:tc>
      </w:tr>
    </w:tbl>
    <w:p w14:paraId="3D37DB2E">
      <w:pPr>
        <w:pStyle w:val="30"/>
        <w:keepNext w:val="0"/>
        <w:keepLines w:val="0"/>
        <w:widowControl/>
        <w:suppressLineNumbers w:val="0"/>
        <w:spacing w:before="0" w:beforeAutospacing="0" w:after="60" w:afterAutospacing="0" w:line="276" w:lineRule="auto"/>
        <w:ind w:left="0" w:firstLine="0"/>
        <w:jc w:val="left"/>
      </w:pPr>
      <w:r>
        <w:rPr>
          <w:sz w:val="18"/>
          <w:szCs w:val="18"/>
        </w:rPr>
        <w:t>处理顺序：校验压缩包和文件完整性 → 安全解压与文件清单 → 按材料组成识别场景 → 分配给对应子 Skill。无法唯一分类、两包同类或关键材料缺失时停止并提示补充。</w:t>
      </w:r>
    </w:p>
    <w:p w14:paraId="68F4C79C">
      <w:pPr>
        <w:pStyle w:val="5"/>
        <w:keepNext w:val="0"/>
        <w:keepLines w:val="0"/>
        <w:widowControl/>
        <w:suppressLineNumbers w:val="0"/>
        <w:spacing w:before="360" w:beforeAutospacing="0" w:after="130" w:afterAutospacing="0" w:line="223" w:lineRule="auto"/>
        <w:ind w:left="0" w:firstLine="0"/>
        <w:jc w:val="left"/>
        <w:rPr>
          <w:sz w:val="29"/>
          <w:szCs w:val="29"/>
        </w:rPr>
      </w:pPr>
      <w:r>
        <w:rPr>
          <w:b/>
          <w:bCs/>
          <w:sz w:val="29"/>
          <w:szCs w:val="29"/>
        </w:rPr>
        <w:t>三、skill：工作流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7"/>
        <w:gridCol w:w="8291"/>
      </w:tblGrid>
      <w:tr w14:paraId="323F2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5F6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03F6FB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center"/>
            </w:pPr>
            <w:r>
              <w:rPr>
                <w:color w:val="252527"/>
                <w:sz w:val="18"/>
                <w:szCs w:val="18"/>
                <w:shd w:val="clear" w:fill="FFFFFF"/>
              </w:rPr>
              <w:t>角色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5F6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091DAB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center"/>
            </w:pPr>
            <w:r>
              <w:rPr>
                <w:color w:val="252527"/>
                <w:sz w:val="18"/>
                <w:szCs w:val="18"/>
                <w:shd w:val="clear" w:fill="FFFFFF"/>
              </w:rPr>
              <w:t>作用</w:t>
            </w:r>
          </w:p>
        </w:tc>
      </w:tr>
      <w:tr w14:paraId="00134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0C2646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主 Skill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81FE15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sz w:val="18"/>
                <w:szCs w:val="18"/>
              </w:rPr>
              <w:t xml:space="preserve">主 Skill 处理顺序：接收材料包 → 校验压缩包和文件完整性 → 安全解压并生成文件清单 </w:t>
            </w:r>
          </w:p>
          <w:p w14:paraId="0B625E5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sz w:val="18"/>
                <w:szCs w:val="18"/>
              </w:rPr>
              <w:t xml:space="preserve">→ 按材料组成识别场景 → 将材料包分配给对应的一个或两个子 Skill → 校验子 Skill 输 </w:t>
            </w:r>
          </w:p>
          <w:p w14:paraId="6AACAAA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sz w:val="18"/>
                <w:szCs w:val="18"/>
              </w:rPr>
              <w:t xml:space="preserve">出 → 合并并输出最终结果。无法唯一分类、存在两个或多个同类材料包，或关键材料缺失 </w:t>
            </w:r>
          </w:p>
          <w:p w14:paraId="3ED712A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sz w:val="18"/>
                <w:szCs w:val="18"/>
              </w:rPr>
              <w:t xml:space="preserve">时，停止处理并提示补充材料。 </w:t>
            </w:r>
          </w:p>
        </w:tc>
      </w:tr>
      <w:tr w14:paraId="389D9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AF0B1B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子 Skill（人员激励）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5315A0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sz w:val="18"/>
                <w:szCs w:val="18"/>
              </w:rPr>
              <w:t xml:space="preserve">子 Skill（人员激励）处理顺序：读取销售、结算和转账证据 → 逐商品匹配 SKU／条码 → </w:t>
            </w:r>
          </w:p>
          <w:p w14:paraId="0604352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sz w:val="18"/>
                <w:szCs w:val="18"/>
              </w:rPr>
              <w:t xml:space="preserve">汇总数量 → 按规则复算奖励 → 核对转账金额、身份和日期 → 划分高低置信度并标记。高 </w:t>
            </w:r>
          </w:p>
          <w:p w14:paraId="652A579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sz w:val="18"/>
                <w:szCs w:val="18"/>
              </w:rPr>
              <w:t xml:space="preserve">置信度进入自动核销，低置信度转人工复核；证据缺失、商品无法匹配或转账信息不一致 </w:t>
            </w:r>
          </w:p>
          <w:p w14:paraId="33C7987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sz w:val="18"/>
                <w:szCs w:val="18"/>
              </w:rPr>
              <w:t xml:space="preserve">时，标记异常并提示补充或复核。 </w:t>
            </w:r>
          </w:p>
        </w:tc>
      </w:tr>
      <w:tr w14:paraId="38ED4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8AB9BC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子 Skill（堆头陈列）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93A816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sz w:val="18"/>
                <w:szCs w:val="18"/>
              </w:rPr>
              <w:t>子 Skill（堆头陈列）处理顺序：读取合同、销售和现场照片 → 按门店关联材料 → 核对照</w:t>
            </w:r>
          </w:p>
          <w:p w14:paraId="198952F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sz w:val="18"/>
                <w:szCs w:val="18"/>
              </w:rPr>
              <w:t>片、活动期间、地点和陈列情况 → 检查重复照片或重复申报 → 计算通过门店的支持金额 →</w:t>
            </w:r>
          </w:p>
          <w:p w14:paraId="7310718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sz w:val="18"/>
                <w:szCs w:val="18"/>
              </w:rPr>
              <w:t>划分高低置信度并标记。高置信度进入自动核销，低置信度转人工复核；门店无法关联、关</w:t>
            </w:r>
          </w:p>
          <w:p w14:paraId="2E1264B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sz w:val="18"/>
                <w:szCs w:val="18"/>
              </w:rPr>
              <w:t xml:space="preserve">键材料缺失、期间或地点不符、陈列不合格或存在重复时，标记异常并提示补充或复核。 </w:t>
            </w:r>
          </w:p>
        </w:tc>
      </w:tr>
    </w:tbl>
    <w:p w14:paraId="4EFEA7BD">
      <w:pPr>
        <w:pStyle w:val="6"/>
        <w:keepNext w:val="0"/>
        <w:keepLines w:val="0"/>
        <w:widowControl/>
        <w:suppressLineNumbers w:val="0"/>
        <w:spacing w:before="320" w:beforeAutospacing="0" w:after="130" w:afterAutospacing="0" w:line="223" w:lineRule="auto"/>
        <w:ind w:left="0" w:firstLine="0"/>
        <w:jc w:val="left"/>
        <w:rPr>
          <w:sz w:val="27"/>
          <w:szCs w:val="27"/>
        </w:rPr>
      </w:pPr>
      <w:r>
        <w:rPr>
          <w:b/>
          <w:bCs/>
          <w:sz w:val="27"/>
          <w:szCs w:val="27"/>
        </w:rPr>
        <w:t>3.1 识别分析材料设计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7"/>
        <w:gridCol w:w="3593"/>
        <w:gridCol w:w="5538"/>
      </w:tblGrid>
      <w:tr w14:paraId="451B0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</w:trPr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5F6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248F96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color w:val="252527"/>
                <w:sz w:val="18"/>
                <w:szCs w:val="18"/>
                <w:shd w:val="clear" w:fill="FFFFFF"/>
              </w:rPr>
              <w:t>技术方案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5F6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141D20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color w:val="252527"/>
                <w:sz w:val="18"/>
                <w:szCs w:val="18"/>
                <w:shd w:val="clear" w:fill="FFFFFF"/>
              </w:rPr>
              <w:t>Excel / 结构化数据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5F6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7D558F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color w:val="252527"/>
                <w:sz w:val="18"/>
                <w:szCs w:val="18"/>
                <w:shd w:val="clear" w:fill="FFFFFF"/>
              </w:rPr>
              <w:t>图片 / PDF</w:t>
            </w:r>
          </w:p>
        </w:tc>
      </w:tr>
      <w:tr w14:paraId="4F6AF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49610F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视觉 AI 方案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7A1540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代码直接解析，保留工作表、行号、原值和字段映射。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599257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视觉 AI 直接读取，一次返回字段、来源位置、置信度和缺失原因。</w:t>
            </w:r>
          </w:p>
        </w:tc>
      </w:tr>
      <w:tr w14:paraId="0B1AA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75EB53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OCR + AI 方案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7D9CD2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代码直接解析，不经过 OCR 或 AI。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1EE9B3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先由 OCR 提取文字、坐标与置信度，再由文本 AI 做字段归一、主体匹配和异常解释。</w:t>
            </w:r>
          </w:p>
        </w:tc>
      </w:tr>
    </w:tbl>
    <w:p w14:paraId="34023F11">
      <w:pPr>
        <w:pStyle w:val="6"/>
        <w:keepNext w:val="0"/>
        <w:keepLines w:val="0"/>
        <w:widowControl/>
        <w:suppressLineNumbers w:val="0"/>
        <w:spacing w:before="320" w:beforeAutospacing="0" w:after="130" w:afterAutospacing="0" w:line="223" w:lineRule="auto"/>
        <w:ind w:left="0" w:firstLine="0"/>
        <w:jc w:val="left"/>
        <w:rPr>
          <w:sz w:val="27"/>
          <w:szCs w:val="27"/>
        </w:rPr>
      </w:pPr>
      <w:r>
        <w:rPr>
          <w:b/>
          <w:bCs/>
          <w:sz w:val="27"/>
          <w:szCs w:val="27"/>
        </w:rPr>
        <w:t>3.2 业务逻辑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9192"/>
      </w:tblGrid>
      <w:tr w14:paraId="0AB1F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5F6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416BCE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center"/>
            </w:pPr>
            <w:r>
              <w:rPr>
                <w:color w:val="252527"/>
                <w:sz w:val="18"/>
                <w:szCs w:val="18"/>
                <w:shd w:val="clear" w:fill="FFFFFF"/>
              </w:rPr>
              <w:t>步骤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5F6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F4EB20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center"/>
            </w:pPr>
            <w:r>
              <w:rPr>
                <w:color w:val="252527"/>
                <w:sz w:val="18"/>
                <w:szCs w:val="18"/>
                <w:shd w:val="clear" w:fill="FFFFFF"/>
              </w:rPr>
              <w:t>实现要点</w:t>
            </w:r>
          </w:p>
        </w:tc>
      </w:tr>
      <w:tr w14:paraId="01185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28A619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结构化读取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89F768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Excel / 可复制文本由代码直接解析，保留原始行号、工作表位置和原值，不调用视觉 AI、OCR 或文本 AI。</w:t>
            </w:r>
          </w:p>
        </w:tc>
      </w:tr>
      <w:tr w14:paraId="65C57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88BC34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统一证据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FB4B4E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所有识别结果转换为字段值、来源页 / 区域、置信度、缺失原因和原始材料定位。</w:t>
            </w:r>
          </w:p>
        </w:tc>
      </w:tr>
      <w:tr w14:paraId="64963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966377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业务核验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B35DF1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分别执行商品唯一映射、数量与奖励复算、转账覆盖，以及合同门店、照片日期地点、陈列和重复检查。</w:t>
            </w:r>
          </w:p>
        </w:tc>
      </w:tr>
      <w:tr w14:paraId="52A7F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0F92D5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固定规则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893D74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只根据通过的明细计算证据支持金额；建议通过金额不得超过申报金额或证据支持金额。</w:t>
            </w:r>
          </w:p>
        </w:tc>
      </w:tr>
      <w:tr w14:paraId="68146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1B425E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异常处理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4F545F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关键字段缺失、格式异常或低于置信度阈值时，按当前方案重试或转人工。</w:t>
            </w:r>
          </w:p>
        </w:tc>
      </w:tr>
    </w:tbl>
    <w:p w14:paraId="02ACDFB4">
      <w:pPr>
        <w:pStyle w:val="5"/>
        <w:keepNext w:val="0"/>
        <w:keepLines w:val="0"/>
        <w:widowControl/>
        <w:suppressLineNumbers w:val="0"/>
        <w:spacing w:before="360" w:beforeAutospacing="0" w:after="130" w:afterAutospacing="0" w:line="223" w:lineRule="auto"/>
        <w:ind w:left="0" w:firstLine="0"/>
        <w:jc w:val="left"/>
        <w:rPr>
          <w:sz w:val="29"/>
          <w:szCs w:val="29"/>
        </w:rPr>
      </w:pPr>
      <w:r>
        <w:rPr>
          <w:b/>
          <w:bCs/>
          <w:sz w:val="29"/>
          <w:szCs w:val="29"/>
        </w:rPr>
        <w:t>四、output：结果如何生成</w:t>
      </w:r>
    </w:p>
    <w:tbl>
      <w:tblPr>
        <w:tblW w:w="112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9685"/>
      </w:tblGrid>
      <w:tr w14:paraId="6AAAC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5F6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FF3818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center"/>
            </w:pPr>
            <w:r>
              <w:rPr>
                <w:sz w:val="18"/>
                <w:szCs w:val="18"/>
              </w:rPr>
              <w:t>输出模块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5F6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56F725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center"/>
            </w:pPr>
            <w:r>
              <w:rPr>
                <w:sz w:val="18"/>
                <w:szCs w:val="18"/>
              </w:rPr>
              <w:t>生成内容</w:t>
            </w:r>
          </w:p>
        </w:tc>
      </w:tr>
      <w:tr w14:paraId="311F9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093AD8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AI 结果展示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201AAE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先展示通过、待补件、人工复核或异常，再展示人员激励与堆头陈列各自的判断。</w:t>
            </w:r>
          </w:p>
        </w:tc>
      </w:tr>
      <w:tr w14:paraId="2A326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713347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金额与依据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3788A2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展示申报金额、重新计算金额、证据支持金额、建议通过金额、暂挂金额及差异原因。</w:t>
            </w:r>
          </w:p>
        </w:tc>
      </w:tr>
      <w:tr w14:paraId="603E0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948D0E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异常与补件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4A60FD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</w:rPr>
              <w:t>列出失败对象、影响金额、证据位置，以及需要补充的合同、截图、身份或日期材料。</w:t>
            </w:r>
          </w:p>
        </w:tc>
      </w:tr>
      <w:tr w14:paraId="0682B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C801EC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Excel 交付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4F7F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5D5B95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left"/>
            </w:pPr>
            <w:r>
              <w:rPr>
                <w:sz w:val="18"/>
                <w:szCs w:val="18"/>
                <w:shd w:val="clear" w:fill="F4F7FB"/>
              </w:rPr>
              <w:t>输出一份工作簿，每个场景一个明细页，包含逐项核验、底层来源、金额计算和补件清单。</w:t>
            </w:r>
          </w:p>
        </w:tc>
      </w:tr>
    </w:tbl>
    <w:p w14:paraId="2BF776D7">
      <w:pPr>
        <w:keepNext w:val="0"/>
        <w:spacing w:before="20" w:after="0" w:line="240" w:lineRule="auto"/>
        <w:jc w:val="center"/>
      </w:pPr>
      <w:bookmarkStart w:id="1" w:name="_GoBack"/>
      <w:bookmarkEnd w:id="1"/>
    </w:p>
    <w:sectPr>
      <w:headerReference r:id="rId5" w:type="default"/>
      <w:footerReference r:id="rId6" w:type="default"/>
      <w:pgSz w:w="11906" w:h="16838"/>
      <w:pgMar w:top="680" w:right="879" w:bottom="680" w:left="879" w:header="283" w:footer="28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urce Han Serif C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68E93">
    <w:pPr>
      <w:pStyle w:val="24"/>
      <w:keepNext w:val="0"/>
      <w:spacing w:before="0" w:after="0" w:line="240" w:lineRule="auto"/>
      <w:jc w:val="center"/>
    </w:pPr>
    <w:r>
      <w:rPr>
        <w:rFonts w:ascii="微软雅黑" w:hAnsi="微软雅黑" w:eastAsia="微软雅黑"/>
        <w:b w:val="0"/>
        <w:color w:val="64748B"/>
        <w:sz w:val="14"/>
      </w:rPr>
      <w:t xml:space="preserve">内部技术方案  ·  </w:t>
    </w:r>
    <w:r>
      <w:rPr>
        <w:rFonts w:ascii="微软雅黑" w:hAnsi="微软雅黑" w:eastAsia="微软雅黑"/>
        <w:b w:val="0"/>
        <w:color w:val="64748B"/>
        <w:sz w:val="14"/>
      </w:rPr>
      <w:fldChar w:fldCharType="begin"/>
    </w:r>
    <w:r>
      <w:rPr>
        <w:rFonts w:ascii="微软雅黑" w:hAnsi="微软雅黑" w:eastAsia="微软雅黑"/>
        <w:b w:val="0"/>
        <w:color w:val="64748B"/>
        <w:sz w:val="14"/>
      </w:rPr>
      <w:instrText xml:space="preserve">PAGE</w:instrText>
    </w:r>
    <w:r>
      <w:rPr>
        <w:rFonts w:ascii="微软雅黑" w:hAnsi="微软雅黑" w:eastAsia="微软雅黑"/>
        <w:b w:val="0"/>
        <w:color w:val="64748B"/>
        <w:sz w:val="14"/>
      </w:rPr>
      <w:fldChar w:fldCharType="separate"/>
    </w:r>
    <w:r>
      <w:rPr>
        <w:rFonts w:ascii="微软雅黑" w:hAnsi="微软雅黑" w:eastAsia="微软雅黑"/>
        <w:b w:val="0"/>
        <w:color w:val="64748B"/>
        <w:sz w:val="14"/>
      </w:rPr>
      <w:fldChar w:fldCharType="end"/>
    </w:r>
    <w:r>
      <w:rPr>
        <w:rFonts w:ascii="微软雅黑" w:hAnsi="微软雅黑" w:eastAsia="微软雅黑"/>
        <w:b w:val="0"/>
        <w:color w:val="64748B"/>
        <w:sz w:val="14"/>
      </w:rPr>
      <w:t xml:space="preserve"> / </w:t>
    </w:r>
    <w:r>
      <w:rPr>
        <w:rFonts w:ascii="微软雅黑" w:hAnsi="微软雅黑" w:eastAsia="微软雅黑"/>
        <w:b w:val="0"/>
        <w:color w:val="64748B"/>
        <w:sz w:val="14"/>
      </w:rPr>
      <w:fldChar w:fldCharType="begin"/>
    </w:r>
    <w:r>
      <w:rPr>
        <w:rFonts w:ascii="微软雅黑" w:hAnsi="微软雅黑" w:eastAsia="微软雅黑"/>
        <w:b w:val="0"/>
        <w:color w:val="64748B"/>
        <w:sz w:val="14"/>
      </w:rPr>
      <w:instrText xml:space="preserve">NUMPAGES</w:instrText>
    </w:r>
    <w:r>
      <w:rPr>
        <w:rFonts w:ascii="微软雅黑" w:hAnsi="微软雅黑" w:eastAsia="微软雅黑"/>
        <w:b w:val="0"/>
        <w:color w:val="64748B"/>
        <w:sz w:val="14"/>
      </w:rPr>
      <w:fldChar w:fldCharType="separate"/>
    </w:r>
    <w:r>
      <w:rPr>
        <w:rFonts w:ascii="微软雅黑" w:hAnsi="微软雅黑" w:eastAsia="微软雅黑"/>
        <w:b w:val="0"/>
        <w:color w:val="64748B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56248">
    <w:pPr>
      <w:pStyle w:val="25"/>
      <w:keepNext w:val="0"/>
      <w:spacing w:before="0" w:after="0" w:line="240" w:lineRule="auto"/>
      <w:jc w:val="right"/>
    </w:pPr>
    <w:r>
      <w:rPr>
        <w:rFonts w:ascii="微软雅黑" w:hAnsi="微软雅黑" w:eastAsia="微软雅黑"/>
        <w:b w:val="0"/>
        <w:color w:val="64748B"/>
        <w:sz w:val="14"/>
      </w:rPr>
      <w:t>线下活动核销 AI 系统｜技术架构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B6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1242</Words>
  <Characters>1416</Characters>
  <Lines>0</Lines>
  <Paragraphs>0</Paragraphs>
  <TotalTime>0</TotalTime>
  <ScaleCrop>false</ScaleCrop>
  <LinksUpToDate>false</LinksUpToDate>
  <CharactersWithSpaces>1540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项目技术组</dc:creator>
  <dc:description>generated by python-docx</dc:description>
  <cp:lastModifiedBy>张俊俊</cp:lastModifiedBy>
  <dcterms:modified xsi:type="dcterms:W3CDTF">2026-08-17T07:26:24Z</dcterms:modified>
  <dc:subject>三 Skill 架构、输入、实现与输出</dc:subject>
  <dc:title>线下活动核销 AI 系统技术方案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eyJoZGlkIjoiNjZiYWY4M2EyZTQ1YjVmM2VhZGUzNGZmMDA0NDRlNWQiLCJ1c2VySWQiOiIxNDU4NjM0NTI3In0=</vt:lpwstr>
  </property>
  <property fmtid="{D5CDD505-2E9C-101B-9397-08002B2CF9AE}" pid="3" name="KSOProductBuildVer">
    <vt:lpwstr>2052-12.1.0.28022</vt:lpwstr>
  </property>
  <property fmtid="{D5CDD505-2E9C-101B-9397-08002B2CF9AE}" pid="4" name="ICV">
    <vt:lpwstr>7654633E062E4634B8527B9193C213A4_12</vt:lpwstr>
  </property>
</Properties>
</file>