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25E6A9">
      <w:pPr>
        <w:spacing w:before="1900" w:after="220"/>
        <w:jc w:val="center"/>
      </w:pPr>
      <w:bookmarkStart w:id="70" w:name="_GoBack"/>
      <w:bookmarkEnd w:id="70"/>
      <w:r>
        <w:rPr>
          <w:rFonts w:ascii="Arial" w:hAnsi="Arial" w:eastAsia="微软雅黑"/>
          <w:b/>
          <w:bCs/>
          <w:color w:val="17365D"/>
          <w:sz w:val="46"/>
          <w:szCs w:val="46"/>
        </w:rPr>
        <w:t>线下市场费用核销</w:t>
      </w:r>
    </w:p>
    <w:p w14:paraId="286D6A18">
      <w:pPr>
        <w:spacing w:after="480"/>
        <w:jc w:val="center"/>
      </w:pPr>
      <w:r>
        <w:rPr>
          <w:rFonts w:ascii="Arial" w:hAnsi="Arial" w:eastAsia="微软雅黑"/>
          <w:b/>
          <w:bCs/>
          <w:color w:val="1F4E78"/>
          <w:sz w:val="72"/>
          <w:szCs w:val="72"/>
        </w:rPr>
        <w:t>AI 技术方案</w:t>
      </w:r>
    </w:p>
    <w:p w14:paraId="6E8AFA05">
      <w:pPr>
        <w:pBdr>
          <w:top w:val="single" w:color="2F75B5" w:sz="12" w:space="8"/>
        </w:pBdr>
        <w:spacing w:before="120" w:after="460"/>
        <w:jc w:val="center"/>
      </w:pPr>
      <w:r>
        <w:rPr>
          <w:rFonts w:ascii="Arial" w:hAnsi="Arial" w:eastAsia="微软雅黑"/>
          <w:b/>
          <w:bCs/>
          <w:color w:val="2F75B5"/>
          <w:sz w:val="28"/>
          <w:szCs w:val="28"/>
        </w:rPr>
        <w:t>地堆/陈列 · 人员激励</w:t>
      </w:r>
    </w:p>
    <w:p w14:paraId="76EB7F24">
      <w:pPr>
        <w:spacing w:after="100"/>
        <w:jc w:val="center"/>
      </w:pPr>
      <w:r>
        <w:rPr>
          <w:rFonts w:ascii="Arial" w:hAnsi="Arial" w:eastAsia="微软雅黑"/>
          <w:b/>
          <w:bCs/>
          <w:color w:val="1F2937"/>
          <w:sz w:val="24"/>
          <w:szCs w:val="24"/>
        </w:rPr>
        <w:t>客户同步版</w:t>
      </w:r>
    </w:p>
    <w:p w14:paraId="17549041">
      <w:pPr>
        <w:spacing w:after="80"/>
        <w:jc w:val="center"/>
      </w:pPr>
      <w:r>
        <w:rPr>
          <w:rFonts w:ascii="Arial" w:hAnsi="Arial" w:eastAsia="微软雅黑"/>
          <w:color w:val="64748B"/>
          <w:sz w:val="21"/>
          <w:szCs w:val="21"/>
        </w:rPr>
        <w:t>文档版本：V1.0</w:t>
      </w:r>
    </w:p>
    <w:p w14:paraId="37C61A09">
      <w:pPr>
        <w:spacing w:after="80"/>
        <w:jc w:val="center"/>
      </w:pPr>
      <w:r>
        <w:rPr>
          <w:rFonts w:ascii="Arial" w:hAnsi="Arial" w:eastAsia="微软雅黑"/>
          <w:color w:val="64748B"/>
          <w:sz w:val="21"/>
          <w:szCs w:val="21"/>
        </w:rPr>
        <w:t>编制日期：2026 年 8 月 14 日</w:t>
      </w:r>
    </w:p>
    <w:p w14:paraId="32DE2C3F">
      <w:pPr>
        <w:spacing w:before="900" w:after="0"/>
        <w:jc w:val="center"/>
      </w:pPr>
      <w:r>
        <w:rPr>
          <w:rFonts w:ascii="Arial" w:hAnsi="Arial" w:eastAsia="微软雅黑"/>
          <w:color w:val="64748B"/>
          <w:sz w:val="20"/>
          <w:szCs w:val="20"/>
        </w:rPr>
        <w:t>纯技术方案 · 不含商务报价</w:t>
      </w:r>
    </w:p>
    <w:p w14:paraId="11BBB77A">
      <w:r>
        <w:br w:type="page"/>
      </w:r>
    </w:p>
    <w:p w14:paraId="7661EE2A">
      <w:pPr>
        <w:pStyle w:val="2"/>
        <w:pBdr>
          <w:bottom w:val="single" w:color="2F75B5" w:sz="6" w:space="6"/>
        </w:pBdr>
        <w:spacing w:after="220"/>
      </w:pPr>
      <w:bookmarkStart w:id="0" w:name="_Toc14713"/>
      <w:r>
        <w:rPr>
          <w:rFonts w:ascii="Arial" w:hAnsi="Arial" w:eastAsia="微软雅黑"/>
          <w:b/>
          <w:bCs/>
          <w:color w:val="17365D"/>
          <w:sz w:val="34"/>
          <w:szCs w:val="34"/>
        </w:rPr>
        <w:t>目录</w:t>
      </w:r>
      <w:bookmarkEnd w:id="0"/>
    </w:p>
    <w:sdt>
      <w:sdtPr>
        <w:id w:val="147467575"/>
      </w:sdtPr>
      <w:sdtContent>
        <w:p w14:paraId="092F5230">
          <w:pPr>
            <w:rPr>
              <w:rFonts w:ascii="Arial" w:hAnsi="Arial" w:eastAsia="Arial" w:cs="Arial"/>
              <w:color w:val="1F2937"/>
              <w:sz w:val="21"/>
              <w:szCs w:val="21"/>
            </w:rPr>
          </w:pPr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 w14:paraId="234CC851">
          <w:pPr>
            <w:pStyle w:val="10"/>
            <w:tabs>
              <w:tab w:val="right" w:leader="dot" w:pos="9354"/>
            </w:tabs>
          </w:pPr>
          <w:r>
            <w:fldChar w:fldCharType="begin"/>
          </w:r>
          <w:r>
            <w:instrText xml:space="preserve"> HYPERLINK \l _Toc14713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34"/>
            </w:rPr>
            <w:t>目录</w:t>
          </w:r>
          <w:r>
            <w:tab/>
          </w:r>
          <w:r>
            <w:fldChar w:fldCharType="begin"/>
          </w:r>
          <w:r>
            <w:instrText xml:space="preserve"> PAGEREF _Toc14713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7B7C7215">
          <w:pPr>
            <w:pStyle w:val="12"/>
            <w:tabs>
              <w:tab w:val="right" w:leader="dot" w:pos="9354"/>
            </w:tabs>
          </w:pPr>
          <w:r>
            <w:fldChar w:fldCharType="begin"/>
          </w:r>
          <w:r>
            <w:instrText xml:space="preserve"> HYPERLINK \l _Toc7400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7"/>
            </w:rPr>
            <w:t>1. 方案摘要</w:t>
          </w:r>
          <w:r>
            <w:tab/>
          </w:r>
          <w:r>
            <w:fldChar w:fldCharType="begin"/>
          </w:r>
          <w:r>
            <w:instrText xml:space="preserve"> PAGEREF _Toc7400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2D95AE9">
          <w:pPr>
            <w:pStyle w:val="12"/>
            <w:tabs>
              <w:tab w:val="right" w:leader="dot" w:pos="9354"/>
            </w:tabs>
          </w:pPr>
          <w:r>
            <w:fldChar w:fldCharType="begin"/>
          </w:r>
          <w:r>
            <w:instrText xml:space="preserve"> HYPERLINK \l _Toc20022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7"/>
            </w:rPr>
            <w:t>2. 建设范围与技术边界</w:t>
          </w:r>
          <w:r>
            <w:tab/>
          </w:r>
          <w:r>
            <w:fldChar w:fldCharType="begin"/>
          </w:r>
          <w:r>
            <w:instrText xml:space="preserve"> PAGEREF _Toc20022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DB77585">
          <w:pPr>
            <w:pStyle w:val="8"/>
            <w:tabs>
              <w:tab w:val="right" w:leader="dot" w:pos="9354"/>
            </w:tabs>
          </w:pPr>
          <w:r>
            <w:fldChar w:fldCharType="begin"/>
          </w:r>
          <w:r>
            <w:instrText xml:space="preserve"> HYPERLINK \l _Toc2609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3"/>
            </w:rPr>
            <w:t>2.1 建设范围</w:t>
          </w:r>
          <w:r>
            <w:tab/>
          </w:r>
          <w:r>
            <w:fldChar w:fldCharType="begin"/>
          </w:r>
          <w:r>
            <w:instrText xml:space="preserve"> PAGEREF _Toc2609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6DF491C">
          <w:pPr>
            <w:pStyle w:val="8"/>
            <w:tabs>
              <w:tab w:val="right" w:leader="dot" w:pos="9354"/>
            </w:tabs>
          </w:pPr>
          <w:r>
            <w:fldChar w:fldCharType="begin"/>
          </w:r>
          <w:r>
            <w:instrText xml:space="preserve"> HYPERLINK \l _Toc32383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3"/>
            </w:rPr>
            <w:t>2.2 技术边界</w:t>
          </w:r>
          <w:r>
            <w:tab/>
          </w:r>
          <w:r>
            <w:fldChar w:fldCharType="begin"/>
          </w:r>
          <w:r>
            <w:instrText xml:space="preserve"> PAGEREF _Toc32383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2C927FC">
          <w:pPr>
            <w:pStyle w:val="12"/>
            <w:tabs>
              <w:tab w:val="right" w:leader="dot" w:pos="9354"/>
            </w:tabs>
          </w:pPr>
          <w:r>
            <w:fldChar w:fldCharType="begin"/>
          </w:r>
          <w:r>
            <w:instrText xml:space="preserve"> HYPERLINK \l _Toc8453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7"/>
            </w:rPr>
            <w:t>3. 审核标准结构化</w:t>
          </w:r>
          <w:r>
            <w:tab/>
          </w:r>
          <w:r>
            <w:fldChar w:fldCharType="begin"/>
          </w:r>
          <w:r>
            <w:instrText xml:space="preserve"> PAGEREF _Toc8453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EB6D2C3">
          <w:pPr>
            <w:pStyle w:val="8"/>
            <w:tabs>
              <w:tab w:val="right" w:leader="dot" w:pos="9354"/>
            </w:tabs>
          </w:pPr>
          <w:r>
            <w:fldChar w:fldCharType="begin"/>
          </w:r>
          <w:r>
            <w:instrText xml:space="preserve"> HYPERLINK \l _Toc4756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3"/>
            </w:rPr>
            <w:t>3.1 地堆/陈列核销规则</w:t>
          </w:r>
          <w:r>
            <w:tab/>
          </w:r>
          <w:r>
            <w:fldChar w:fldCharType="begin"/>
          </w:r>
          <w:r>
            <w:instrText xml:space="preserve"> PAGEREF _Toc4756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C4C973F">
          <w:pPr>
            <w:pStyle w:val="8"/>
            <w:tabs>
              <w:tab w:val="right" w:leader="dot" w:pos="9354"/>
            </w:tabs>
          </w:pPr>
          <w:r>
            <w:fldChar w:fldCharType="begin"/>
          </w:r>
          <w:r>
            <w:instrText xml:space="preserve"> HYPERLINK \l _Toc27696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3"/>
            </w:rPr>
            <w:t>3.2 人员激励核销规则</w:t>
          </w:r>
          <w:r>
            <w:tab/>
          </w:r>
          <w:r>
            <w:fldChar w:fldCharType="begin"/>
          </w:r>
          <w:r>
            <w:instrText xml:space="preserve"> PAGEREF _Toc27696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109F518">
          <w:pPr>
            <w:pStyle w:val="12"/>
            <w:tabs>
              <w:tab w:val="right" w:leader="dot" w:pos="9354"/>
            </w:tabs>
          </w:pPr>
          <w:r>
            <w:fldChar w:fldCharType="begin"/>
          </w:r>
          <w:r>
            <w:instrText xml:space="preserve"> HYPERLINK \l _Toc26484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7"/>
            </w:rPr>
            <w:t>4. 总体技术架构</w:t>
          </w:r>
          <w:r>
            <w:tab/>
          </w:r>
          <w:r>
            <w:fldChar w:fldCharType="begin"/>
          </w:r>
          <w:r>
            <w:instrText xml:space="preserve"> PAGEREF _Toc26484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25EDBB6">
          <w:pPr>
            <w:pStyle w:val="8"/>
            <w:tabs>
              <w:tab w:val="right" w:leader="dot" w:pos="9354"/>
            </w:tabs>
          </w:pPr>
          <w:r>
            <w:fldChar w:fldCharType="begin"/>
          </w:r>
          <w:r>
            <w:instrText xml:space="preserve"> HYPERLINK \l _Toc25745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3"/>
            </w:rPr>
            <w:t>4.1 逻辑链路</w:t>
          </w:r>
          <w:r>
            <w:tab/>
          </w:r>
          <w:r>
            <w:fldChar w:fldCharType="begin"/>
          </w:r>
          <w:r>
            <w:instrText xml:space="preserve"> PAGEREF _Toc25745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E3E8FC8">
          <w:pPr>
            <w:pStyle w:val="8"/>
            <w:tabs>
              <w:tab w:val="right" w:leader="dot" w:pos="9354"/>
            </w:tabs>
          </w:pPr>
          <w:r>
            <w:fldChar w:fldCharType="begin"/>
          </w:r>
          <w:r>
            <w:instrText xml:space="preserve"> HYPERLINK \l _Toc19185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3"/>
            </w:rPr>
            <w:t>4.2 核心组件</w:t>
          </w:r>
          <w:r>
            <w:tab/>
          </w:r>
          <w:r>
            <w:fldChar w:fldCharType="begin"/>
          </w:r>
          <w:r>
            <w:instrText xml:space="preserve"> PAGEREF _Toc19185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43C8B26">
          <w:pPr>
            <w:pStyle w:val="8"/>
            <w:tabs>
              <w:tab w:val="right" w:leader="dot" w:pos="9354"/>
            </w:tabs>
          </w:pPr>
          <w:r>
            <w:fldChar w:fldCharType="begin"/>
          </w:r>
          <w:r>
            <w:instrText xml:space="preserve"> HYPERLINK \l _Toc16215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3"/>
            </w:rPr>
            <w:t>4.3 生产化运行方式</w:t>
          </w:r>
          <w:r>
            <w:tab/>
          </w:r>
          <w:r>
            <w:fldChar w:fldCharType="begin"/>
          </w:r>
          <w:r>
            <w:instrText xml:space="preserve"> PAGEREF _Toc16215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1DD1748">
          <w:pPr>
            <w:pStyle w:val="12"/>
            <w:tabs>
              <w:tab w:val="right" w:leader="dot" w:pos="9354"/>
            </w:tabs>
          </w:pPr>
          <w:r>
            <w:fldChar w:fldCharType="begin"/>
          </w:r>
          <w:r>
            <w:instrText xml:space="preserve"> HYPERLINK \l _Toc27010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7"/>
            </w:rPr>
            <w:t>5. 全流程处理逻辑</w:t>
          </w:r>
          <w:r>
            <w:tab/>
          </w:r>
          <w:r>
            <w:fldChar w:fldCharType="begin"/>
          </w:r>
          <w:r>
            <w:instrText xml:space="preserve"> PAGEREF _Toc27010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FF9FD9E">
          <w:pPr>
            <w:pStyle w:val="8"/>
            <w:tabs>
              <w:tab w:val="right" w:leader="dot" w:pos="9354"/>
            </w:tabs>
          </w:pPr>
          <w:r>
            <w:fldChar w:fldCharType="begin"/>
          </w:r>
          <w:r>
            <w:instrText xml:space="preserve"> HYPERLINK \l _Toc6942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3"/>
            </w:rPr>
            <w:t>5.1 状态机</w:t>
          </w:r>
          <w:r>
            <w:tab/>
          </w:r>
          <w:r>
            <w:fldChar w:fldCharType="begin"/>
          </w:r>
          <w:r>
            <w:instrText xml:space="preserve"> PAGEREF _Toc6942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36C85F2">
          <w:pPr>
            <w:pStyle w:val="8"/>
            <w:tabs>
              <w:tab w:val="right" w:leader="dot" w:pos="9354"/>
            </w:tabs>
          </w:pPr>
          <w:r>
            <w:fldChar w:fldCharType="begin"/>
          </w:r>
          <w:r>
            <w:instrText xml:space="preserve"> HYPERLINK \l _Toc25443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3"/>
            </w:rPr>
            <w:t>5.2 分步处理</w:t>
          </w:r>
          <w:r>
            <w:tab/>
          </w:r>
          <w:r>
            <w:fldChar w:fldCharType="begin"/>
          </w:r>
          <w:r>
            <w:instrText xml:space="preserve"> PAGEREF _Toc25443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8B0EEFE">
          <w:pPr>
            <w:pStyle w:val="12"/>
            <w:tabs>
              <w:tab w:val="right" w:leader="dot" w:pos="9354"/>
            </w:tabs>
          </w:pPr>
          <w:r>
            <w:fldChar w:fldCharType="begin"/>
          </w:r>
          <w:r>
            <w:instrText xml:space="preserve"> HYPERLINK \l _Toc27381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7"/>
            </w:rPr>
            <w:t>6. 统一证据数据模型</w:t>
          </w:r>
          <w:r>
            <w:tab/>
          </w:r>
          <w:r>
            <w:fldChar w:fldCharType="begin"/>
          </w:r>
          <w:r>
            <w:instrText xml:space="preserve"> PAGEREF _Toc27381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F970858">
          <w:pPr>
            <w:pStyle w:val="8"/>
            <w:tabs>
              <w:tab w:val="right" w:leader="dot" w:pos="9354"/>
            </w:tabs>
          </w:pPr>
          <w:r>
            <w:fldChar w:fldCharType="begin"/>
          </w:r>
          <w:r>
            <w:instrText xml:space="preserve"> HYPERLINK \l _Toc3084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3"/>
            </w:rPr>
            <w:t>6.1 字段证据结构</w:t>
          </w:r>
          <w:r>
            <w:tab/>
          </w:r>
          <w:r>
            <w:fldChar w:fldCharType="begin"/>
          </w:r>
          <w:r>
            <w:instrText xml:space="preserve"> PAGEREF _Toc3084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2F495E16">
          <w:pPr>
            <w:pStyle w:val="8"/>
            <w:tabs>
              <w:tab w:val="right" w:leader="dot" w:pos="9354"/>
            </w:tabs>
          </w:pPr>
          <w:r>
            <w:fldChar w:fldCharType="begin"/>
          </w:r>
          <w:r>
            <w:instrText xml:space="preserve"> HYPERLINK \l _Toc13972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3"/>
            </w:rPr>
            <w:t>6.2 规则结果结构</w:t>
          </w:r>
          <w:r>
            <w:tab/>
          </w:r>
          <w:r>
            <w:fldChar w:fldCharType="begin"/>
          </w:r>
          <w:r>
            <w:instrText xml:space="preserve"> PAGEREF _Toc13972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2B50DCE1">
          <w:pPr>
            <w:pStyle w:val="8"/>
            <w:tabs>
              <w:tab w:val="right" w:leader="dot" w:pos="9354"/>
            </w:tabs>
          </w:pPr>
          <w:r>
            <w:fldChar w:fldCharType="begin"/>
          </w:r>
          <w:r>
            <w:instrText xml:space="preserve"> HYPERLINK \l _Toc11779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3"/>
            </w:rPr>
            <w:t>6.3 数据实体</w:t>
          </w:r>
          <w:r>
            <w:tab/>
          </w:r>
          <w:r>
            <w:fldChar w:fldCharType="begin"/>
          </w:r>
          <w:r>
            <w:instrText xml:space="preserve"> PAGEREF _Toc11779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4C45F67">
          <w:pPr>
            <w:pStyle w:val="12"/>
            <w:tabs>
              <w:tab w:val="right" w:leader="dot" w:pos="9354"/>
            </w:tabs>
          </w:pPr>
          <w:r>
            <w:fldChar w:fldCharType="begin"/>
          </w:r>
          <w:r>
            <w:instrText xml:space="preserve"> HYPERLINK \l _Toc16719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7"/>
            </w:rPr>
            <w:t>7. Skill 体系设计</w:t>
          </w:r>
          <w:r>
            <w:tab/>
          </w:r>
          <w:r>
            <w:fldChar w:fldCharType="begin"/>
          </w:r>
          <w:r>
            <w:instrText xml:space="preserve"> PAGEREF _Toc16719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5209DC3D">
          <w:pPr>
            <w:pStyle w:val="8"/>
            <w:tabs>
              <w:tab w:val="right" w:leader="dot" w:pos="9354"/>
            </w:tabs>
          </w:pPr>
          <w:r>
            <w:fldChar w:fldCharType="begin"/>
          </w:r>
          <w:r>
            <w:instrText xml:space="preserve"> HYPERLINK \l _Toc16018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3"/>
            </w:rPr>
            <w:t>7.1 Skill 拆分</w:t>
          </w:r>
          <w:r>
            <w:tab/>
          </w:r>
          <w:r>
            <w:fldChar w:fldCharType="begin"/>
          </w:r>
          <w:r>
            <w:instrText xml:space="preserve"> PAGEREF _Toc16018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719272C3">
          <w:pPr>
            <w:pStyle w:val="8"/>
            <w:tabs>
              <w:tab w:val="right" w:leader="dot" w:pos="9354"/>
            </w:tabs>
          </w:pPr>
          <w:r>
            <w:fldChar w:fldCharType="begin"/>
          </w:r>
          <w:r>
            <w:instrText xml:space="preserve"> HYPERLINK \l _Toc30084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3"/>
            </w:rPr>
            <w:t>7.2 各 Skill 职责</w:t>
          </w:r>
          <w:r>
            <w:tab/>
          </w:r>
          <w:r>
            <w:fldChar w:fldCharType="begin"/>
          </w:r>
          <w:r>
            <w:instrText xml:space="preserve"> PAGEREF _Toc30084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5E724E30">
          <w:pPr>
            <w:pStyle w:val="8"/>
            <w:tabs>
              <w:tab w:val="right" w:leader="dot" w:pos="9354"/>
            </w:tabs>
          </w:pPr>
          <w:r>
            <w:fldChar w:fldCharType="begin"/>
          </w:r>
          <w:r>
            <w:instrText xml:space="preserve"> HYPERLINK \l _Toc2032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3"/>
            </w:rPr>
            <w:t>7.3 主编排 Skill 工作流</w:t>
          </w:r>
          <w:r>
            <w:tab/>
          </w:r>
          <w:r>
            <w:fldChar w:fldCharType="begin"/>
          </w:r>
          <w:r>
            <w:instrText xml:space="preserve"> PAGEREF _Toc2032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3CBF3213">
          <w:pPr>
            <w:pStyle w:val="8"/>
            <w:tabs>
              <w:tab w:val="right" w:leader="dot" w:pos="9354"/>
            </w:tabs>
          </w:pPr>
          <w:r>
            <w:fldChar w:fldCharType="begin"/>
          </w:r>
          <w:r>
            <w:instrText xml:space="preserve"> HYPERLINK \l _Toc8341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3"/>
            </w:rPr>
            <w:t>7.4 判断 Skill 核心约束示例</w:t>
          </w:r>
          <w:r>
            <w:tab/>
          </w:r>
          <w:r>
            <w:fldChar w:fldCharType="begin"/>
          </w:r>
          <w:r>
            <w:instrText xml:space="preserve"> PAGEREF _Toc8341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249CC3DC">
          <w:pPr>
            <w:pStyle w:val="8"/>
            <w:tabs>
              <w:tab w:val="right" w:leader="dot" w:pos="9354"/>
            </w:tabs>
          </w:pPr>
          <w:r>
            <w:fldChar w:fldCharType="begin"/>
          </w:r>
          <w:r>
            <w:instrText xml:space="preserve"> HYPERLINK \l _Toc17877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3"/>
            </w:rPr>
            <w:t>7.5 Skill 验证机制</w:t>
          </w:r>
          <w:r>
            <w:tab/>
          </w:r>
          <w:r>
            <w:fldChar w:fldCharType="begin"/>
          </w:r>
          <w:r>
            <w:instrText xml:space="preserve"> PAGEREF _Toc17877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51675191">
          <w:pPr>
            <w:pStyle w:val="12"/>
            <w:tabs>
              <w:tab w:val="right" w:leader="dot" w:pos="9354"/>
            </w:tabs>
          </w:pPr>
          <w:r>
            <w:fldChar w:fldCharType="begin"/>
          </w:r>
          <w:r>
            <w:instrText xml:space="preserve"> HYPERLINK \l _Toc11192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7"/>
            </w:rPr>
            <w:t>8. OCR 与视觉识别方案</w:t>
          </w:r>
          <w:r>
            <w:tab/>
          </w:r>
          <w:r>
            <w:fldChar w:fldCharType="begin"/>
          </w:r>
          <w:r>
            <w:instrText xml:space="preserve"> PAGEREF _Toc11192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1C88C9DF">
          <w:pPr>
            <w:pStyle w:val="8"/>
            <w:tabs>
              <w:tab w:val="right" w:leader="dot" w:pos="9354"/>
            </w:tabs>
          </w:pPr>
          <w:r>
            <w:fldChar w:fldCharType="begin"/>
          </w:r>
          <w:r>
            <w:instrText xml:space="preserve"> HYPERLINK \l _Toc20375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3"/>
            </w:rPr>
            <w:t>8.1 通用图像预处理</w:t>
          </w:r>
          <w:r>
            <w:tab/>
          </w:r>
          <w:r>
            <w:fldChar w:fldCharType="begin"/>
          </w:r>
          <w:r>
            <w:instrText xml:space="preserve"> PAGEREF _Toc20375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2FEFD5A1">
          <w:pPr>
            <w:pStyle w:val="8"/>
            <w:tabs>
              <w:tab w:val="right" w:leader="dot" w:pos="9354"/>
            </w:tabs>
          </w:pPr>
          <w:r>
            <w:fldChar w:fldCharType="begin"/>
          </w:r>
          <w:r>
            <w:instrText xml:space="preserve"> HYPERLINK \l _Toc8213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3"/>
            </w:rPr>
            <w:t>8.2 材料分类</w:t>
          </w:r>
          <w:r>
            <w:tab/>
          </w:r>
          <w:r>
            <w:fldChar w:fldCharType="begin"/>
          </w:r>
          <w:r>
            <w:instrText xml:space="preserve"> PAGEREF _Toc8213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1A27AC29">
          <w:pPr>
            <w:pStyle w:val="8"/>
            <w:tabs>
              <w:tab w:val="right" w:leader="dot" w:pos="9354"/>
            </w:tabs>
          </w:pPr>
          <w:r>
            <w:fldChar w:fldCharType="begin"/>
          </w:r>
          <w:r>
            <w:instrText xml:space="preserve"> HYPERLINK \l _Toc1084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3"/>
            </w:rPr>
            <w:t>8.3 统一结算单 OCR</w:t>
          </w:r>
          <w:r>
            <w:tab/>
          </w:r>
          <w:r>
            <w:fldChar w:fldCharType="begin"/>
          </w:r>
          <w:r>
            <w:instrText xml:space="preserve"> PAGEREF _Toc1084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6AF344A6">
          <w:pPr>
            <w:pStyle w:val="8"/>
            <w:tabs>
              <w:tab w:val="right" w:leader="dot" w:pos="9354"/>
            </w:tabs>
          </w:pPr>
          <w:r>
            <w:fldChar w:fldCharType="begin"/>
          </w:r>
          <w:r>
            <w:instrText xml:space="preserve"> HYPERLINK \l _Toc30991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3"/>
            </w:rPr>
            <w:t>8.4 合同 OCR 与签章</w:t>
          </w:r>
          <w:r>
            <w:tab/>
          </w:r>
          <w:r>
            <w:fldChar w:fldCharType="begin"/>
          </w:r>
          <w:r>
            <w:instrText xml:space="preserve"> PAGEREF _Toc30991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3149F8EC">
          <w:pPr>
            <w:pStyle w:val="8"/>
            <w:tabs>
              <w:tab w:val="right" w:leader="dot" w:pos="9354"/>
            </w:tabs>
          </w:pPr>
          <w:r>
            <w:fldChar w:fldCharType="begin"/>
          </w:r>
          <w:r>
            <w:instrText xml:space="preserve"> HYPERLINK \l _Toc4145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3"/>
            </w:rPr>
            <w:t>8.5 盖章 POS 与电子 POS</w:t>
          </w:r>
          <w:r>
            <w:tab/>
          </w:r>
          <w:r>
            <w:fldChar w:fldCharType="begin"/>
          </w:r>
          <w:r>
            <w:instrText xml:space="preserve"> PAGEREF _Toc4145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1C4CB335">
          <w:pPr>
            <w:pStyle w:val="8"/>
            <w:tabs>
              <w:tab w:val="right" w:leader="dot" w:pos="9354"/>
            </w:tabs>
          </w:pPr>
          <w:r>
            <w:fldChar w:fldCharType="begin"/>
          </w:r>
          <w:r>
            <w:instrText xml:space="preserve"> HYPERLINK \l _Toc7599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3"/>
            </w:rPr>
            <w:t>8.6 红包、转账及工资打款识别</w:t>
          </w:r>
          <w:r>
            <w:tab/>
          </w:r>
          <w:r>
            <w:fldChar w:fldCharType="begin"/>
          </w:r>
          <w:r>
            <w:instrText xml:space="preserve"> PAGEREF _Toc7599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7DE26930">
          <w:pPr>
            <w:pStyle w:val="8"/>
            <w:tabs>
              <w:tab w:val="right" w:leader="dot" w:pos="9354"/>
            </w:tabs>
          </w:pPr>
          <w:r>
            <w:fldChar w:fldCharType="begin"/>
          </w:r>
          <w:r>
            <w:instrText xml:space="preserve"> HYPERLINK \l _Toc8567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3"/>
            </w:rPr>
            <w:t>8.7 地堆照片水印 OCR</w:t>
          </w:r>
          <w:r>
            <w:tab/>
          </w:r>
          <w:r>
            <w:fldChar w:fldCharType="begin"/>
          </w:r>
          <w:r>
            <w:instrText xml:space="preserve"> PAGEREF _Toc8567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25E280A1">
          <w:pPr>
            <w:pStyle w:val="8"/>
            <w:tabs>
              <w:tab w:val="right" w:leader="dot" w:pos="9354"/>
            </w:tabs>
          </w:pPr>
          <w:r>
            <w:fldChar w:fldCharType="begin"/>
          </w:r>
          <w:r>
            <w:instrText xml:space="preserve"> HYPERLINK \l _Toc25224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3"/>
            </w:rPr>
            <w:t>8.8 地堆/陈列视觉识别</w:t>
          </w:r>
          <w:r>
            <w:tab/>
          </w:r>
          <w:r>
            <w:fldChar w:fldCharType="begin"/>
          </w:r>
          <w:r>
            <w:instrText xml:space="preserve"> PAGEREF _Toc25224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2687C815">
          <w:pPr>
            <w:pStyle w:val="8"/>
            <w:tabs>
              <w:tab w:val="right" w:leader="dot" w:pos="9354"/>
            </w:tabs>
          </w:pPr>
          <w:r>
            <w:fldChar w:fldCharType="begin"/>
          </w:r>
          <w:r>
            <w:instrText xml:space="preserve"> HYPERLINK \l _Toc1676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3"/>
            </w:rPr>
            <w:t>8.9 重复与复用检测</w:t>
          </w:r>
          <w:r>
            <w:tab/>
          </w:r>
          <w:r>
            <w:fldChar w:fldCharType="begin"/>
          </w:r>
          <w:r>
            <w:instrText xml:space="preserve"> PAGEREF _Toc1676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55CC2B7B">
          <w:pPr>
            <w:pStyle w:val="12"/>
            <w:tabs>
              <w:tab w:val="right" w:leader="dot" w:pos="9354"/>
            </w:tabs>
          </w:pPr>
          <w:r>
            <w:fldChar w:fldCharType="begin"/>
          </w:r>
          <w:r>
            <w:instrText xml:space="preserve"> HYPERLINK \l _Toc16265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7"/>
            </w:rPr>
            <w:t>9. OCR/视觉模型微调方案</w:t>
          </w:r>
          <w:r>
            <w:tab/>
          </w:r>
          <w:r>
            <w:fldChar w:fldCharType="begin"/>
          </w:r>
          <w:r>
            <w:instrText xml:space="preserve"> PAGEREF _Toc16265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0AD66EF3">
          <w:pPr>
            <w:pStyle w:val="8"/>
            <w:tabs>
              <w:tab w:val="right" w:leader="dot" w:pos="9354"/>
            </w:tabs>
          </w:pPr>
          <w:r>
            <w:fldChar w:fldCharType="begin"/>
          </w:r>
          <w:r>
            <w:instrText xml:space="preserve"> HYPERLINK \l _Toc21858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3"/>
            </w:rPr>
            <w:t>9.1 分阶段策略</w:t>
          </w:r>
          <w:r>
            <w:tab/>
          </w:r>
          <w:r>
            <w:fldChar w:fldCharType="begin"/>
          </w:r>
          <w:r>
            <w:instrText xml:space="preserve"> PAGEREF _Toc21858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42F12D1D">
          <w:pPr>
            <w:pStyle w:val="8"/>
            <w:tabs>
              <w:tab w:val="right" w:leader="dot" w:pos="9354"/>
            </w:tabs>
          </w:pPr>
          <w:r>
            <w:fldChar w:fldCharType="begin"/>
          </w:r>
          <w:r>
            <w:instrText xml:space="preserve"> HYPERLINK \l _Toc412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3"/>
            </w:rPr>
            <w:t>9.2 标注规范</w:t>
          </w:r>
          <w:r>
            <w:tab/>
          </w:r>
          <w:r>
            <w:fldChar w:fldCharType="begin"/>
          </w:r>
          <w:r>
            <w:instrText xml:space="preserve"> PAGEREF _Toc412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79A3A1E8">
          <w:pPr>
            <w:pStyle w:val="8"/>
            <w:tabs>
              <w:tab w:val="right" w:leader="dot" w:pos="9354"/>
            </w:tabs>
          </w:pPr>
          <w:r>
            <w:fldChar w:fldCharType="begin"/>
          </w:r>
          <w:r>
            <w:instrText xml:space="preserve"> HYPERLINK \l _Toc25359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3"/>
            </w:rPr>
            <w:t>9.3 数据集建议</w:t>
          </w:r>
          <w:r>
            <w:tab/>
          </w:r>
          <w:r>
            <w:fldChar w:fldCharType="begin"/>
          </w:r>
          <w:r>
            <w:instrText xml:space="preserve"> PAGEREF _Toc25359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10AAB3F9">
          <w:pPr>
            <w:pStyle w:val="8"/>
            <w:tabs>
              <w:tab w:val="right" w:leader="dot" w:pos="9354"/>
            </w:tabs>
          </w:pPr>
          <w:r>
            <w:fldChar w:fldCharType="begin"/>
          </w:r>
          <w:r>
            <w:instrText xml:space="preserve"> HYPERLINK \l _Toc15876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3"/>
            </w:rPr>
            <w:t>9.4 词典与归一化</w:t>
          </w:r>
          <w:r>
            <w:tab/>
          </w:r>
          <w:r>
            <w:fldChar w:fldCharType="begin"/>
          </w:r>
          <w:r>
            <w:instrText xml:space="preserve"> PAGEREF _Toc15876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242795AA">
          <w:pPr>
            <w:pStyle w:val="8"/>
            <w:tabs>
              <w:tab w:val="right" w:leader="dot" w:pos="9354"/>
            </w:tabs>
          </w:pPr>
          <w:r>
            <w:fldChar w:fldCharType="begin"/>
          </w:r>
          <w:r>
            <w:instrText xml:space="preserve"> HYPERLINK \l _Toc23084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3"/>
            </w:rPr>
            <w:t>9.5 置信度校准</w:t>
          </w:r>
          <w:r>
            <w:tab/>
          </w:r>
          <w:r>
            <w:fldChar w:fldCharType="begin"/>
          </w:r>
          <w:r>
            <w:instrText xml:space="preserve"> PAGEREF _Toc23084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772B4038">
          <w:pPr>
            <w:pStyle w:val="8"/>
            <w:tabs>
              <w:tab w:val="right" w:leader="dot" w:pos="9354"/>
            </w:tabs>
          </w:pPr>
          <w:r>
            <w:fldChar w:fldCharType="begin"/>
          </w:r>
          <w:r>
            <w:instrText xml:space="preserve"> HYPERLINK \l _Toc15825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3"/>
            </w:rPr>
            <w:t>9.6 持续优化闭环</w:t>
          </w:r>
          <w:r>
            <w:tab/>
          </w:r>
          <w:r>
            <w:fldChar w:fldCharType="begin"/>
          </w:r>
          <w:r>
            <w:instrText xml:space="preserve"> PAGEREF _Toc15825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7D4645C8">
          <w:pPr>
            <w:pStyle w:val="12"/>
            <w:tabs>
              <w:tab w:val="right" w:leader="dot" w:pos="9354"/>
            </w:tabs>
          </w:pPr>
          <w:r>
            <w:fldChar w:fldCharType="begin"/>
          </w:r>
          <w:r>
            <w:instrText xml:space="preserve"> HYPERLINK \l _Toc27897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7"/>
            </w:rPr>
            <w:t>10. 确定性规则与金额引擎</w:t>
          </w:r>
          <w:r>
            <w:tab/>
          </w:r>
          <w:r>
            <w:fldChar w:fldCharType="begin"/>
          </w:r>
          <w:r>
            <w:instrText xml:space="preserve"> PAGEREF _Toc27897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27066963">
          <w:pPr>
            <w:pStyle w:val="8"/>
            <w:tabs>
              <w:tab w:val="right" w:leader="dot" w:pos="9354"/>
            </w:tabs>
          </w:pPr>
          <w:r>
            <w:fldChar w:fldCharType="begin"/>
          </w:r>
          <w:r>
            <w:instrText xml:space="preserve"> HYPERLINK \l _Toc2542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3"/>
            </w:rPr>
            <w:t>10.1 执行顺序</w:t>
          </w:r>
          <w:r>
            <w:tab/>
          </w:r>
          <w:r>
            <w:fldChar w:fldCharType="begin"/>
          </w:r>
          <w:r>
            <w:instrText xml:space="preserve"> PAGEREF _Toc2542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014ED8DE">
          <w:pPr>
            <w:pStyle w:val="8"/>
            <w:tabs>
              <w:tab w:val="right" w:leader="dot" w:pos="9354"/>
            </w:tabs>
          </w:pPr>
          <w:r>
            <w:fldChar w:fldCharType="begin"/>
          </w:r>
          <w:r>
            <w:instrText xml:space="preserve"> HYPERLINK \l _Toc18872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3"/>
            </w:rPr>
            <w:t>10.2 规则配置</w:t>
          </w:r>
          <w:r>
            <w:tab/>
          </w:r>
          <w:r>
            <w:fldChar w:fldCharType="begin"/>
          </w:r>
          <w:r>
            <w:instrText xml:space="preserve"> PAGEREF _Toc18872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48850729">
          <w:pPr>
            <w:pStyle w:val="8"/>
            <w:tabs>
              <w:tab w:val="right" w:leader="dot" w:pos="9354"/>
            </w:tabs>
          </w:pPr>
          <w:r>
            <w:fldChar w:fldCharType="begin"/>
          </w:r>
          <w:r>
            <w:instrText xml:space="preserve"> HYPERLINK \l _Toc17548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3"/>
            </w:rPr>
            <w:t>10.3 金额安全约束</w:t>
          </w:r>
          <w:r>
            <w:tab/>
          </w:r>
          <w:r>
            <w:fldChar w:fldCharType="begin"/>
          </w:r>
          <w:r>
            <w:instrText xml:space="preserve"> PAGEREF _Toc17548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0B31A019">
          <w:pPr>
            <w:pStyle w:val="12"/>
            <w:tabs>
              <w:tab w:val="right" w:leader="dot" w:pos="9354"/>
            </w:tabs>
          </w:pPr>
          <w:r>
            <w:fldChar w:fldCharType="begin"/>
          </w:r>
          <w:r>
            <w:instrText xml:space="preserve"> HYPERLINK \l _Toc27369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7"/>
            </w:rPr>
            <w:t>11. Agent 最终判断设计</w:t>
          </w:r>
          <w:r>
            <w:tab/>
          </w:r>
          <w:r>
            <w:fldChar w:fldCharType="begin"/>
          </w:r>
          <w:r>
            <w:instrText xml:space="preserve"> PAGEREF _Toc27369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503D80E3">
          <w:pPr>
            <w:pStyle w:val="8"/>
            <w:tabs>
              <w:tab w:val="right" w:leader="dot" w:pos="9354"/>
            </w:tabs>
          </w:pPr>
          <w:r>
            <w:fldChar w:fldCharType="begin"/>
          </w:r>
          <w:r>
            <w:instrText xml:space="preserve"> HYPERLINK \l _Toc8953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3"/>
            </w:rPr>
            <w:t>11.1 Agent 的输入与职责</w:t>
          </w:r>
          <w:r>
            <w:tab/>
          </w:r>
          <w:r>
            <w:fldChar w:fldCharType="begin"/>
          </w:r>
          <w:r>
            <w:instrText xml:space="preserve"> PAGEREF _Toc8953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728A50DA">
          <w:pPr>
            <w:pStyle w:val="8"/>
            <w:tabs>
              <w:tab w:val="right" w:leader="dot" w:pos="9354"/>
            </w:tabs>
          </w:pPr>
          <w:r>
            <w:fldChar w:fldCharType="begin"/>
          </w:r>
          <w:r>
            <w:instrText xml:space="preserve"> HYPERLINK \l _Toc27203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3"/>
            </w:rPr>
            <w:t>11.2 建议状态</w:t>
          </w:r>
          <w:r>
            <w:tab/>
          </w:r>
          <w:r>
            <w:fldChar w:fldCharType="begin"/>
          </w:r>
          <w:r>
            <w:instrText xml:space="preserve"> PAGEREF _Toc27203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0C0AFF09">
          <w:pPr>
            <w:pStyle w:val="8"/>
            <w:tabs>
              <w:tab w:val="right" w:leader="dot" w:pos="9354"/>
            </w:tabs>
          </w:pPr>
          <w:r>
            <w:fldChar w:fldCharType="begin"/>
          </w:r>
          <w:r>
            <w:instrText xml:space="preserve"> HYPERLINK \l _Toc13094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3"/>
            </w:rPr>
            <w:t>11.3 Decision Guard</w:t>
          </w:r>
          <w:r>
            <w:tab/>
          </w:r>
          <w:r>
            <w:fldChar w:fldCharType="begin"/>
          </w:r>
          <w:r>
            <w:instrText xml:space="preserve"> PAGEREF _Toc13094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433A0AB2">
          <w:pPr>
            <w:pStyle w:val="8"/>
            <w:tabs>
              <w:tab w:val="right" w:leader="dot" w:pos="9354"/>
            </w:tabs>
          </w:pPr>
          <w:r>
            <w:fldChar w:fldCharType="begin"/>
          </w:r>
          <w:r>
            <w:instrText xml:space="preserve"> HYPERLINK \l _Toc29859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3"/>
            </w:rPr>
            <w:t>11.4 最终输出结构</w:t>
          </w:r>
          <w:r>
            <w:tab/>
          </w:r>
          <w:r>
            <w:fldChar w:fldCharType="begin"/>
          </w:r>
          <w:r>
            <w:instrText xml:space="preserve"> PAGEREF _Toc29859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4DDA0D02">
          <w:pPr>
            <w:pStyle w:val="12"/>
            <w:tabs>
              <w:tab w:val="right" w:leader="dot" w:pos="9354"/>
            </w:tabs>
          </w:pPr>
          <w:r>
            <w:fldChar w:fldCharType="begin"/>
          </w:r>
          <w:r>
            <w:instrText xml:space="preserve"> HYPERLINK \l _Toc12907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7"/>
            </w:rPr>
            <w:t>12. 接口与集成设计</w:t>
          </w:r>
          <w:r>
            <w:tab/>
          </w:r>
          <w:r>
            <w:fldChar w:fldCharType="begin"/>
          </w:r>
          <w:r>
            <w:instrText xml:space="preserve"> PAGEREF _Toc12907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7273D0FC">
          <w:pPr>
            <w:pStyle w:val="8"/>
            <w:tabs>
              <w:tab w:val="right" w:leader="dot" w:pos="9354"/>
            </w:tabs>
          </w:pPr>
          <w:r>
            <w:fldChar w:fldCharType="begin"/>
          </w:r>
          <w:r>
            <w:instrText xml:space="preserve"> HYPERLINK \l _Toc11848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3"/>
            </w:rPr>
            <w:t>12.1 核心 API</w:t>
          </w:r>
          <w:r>
            <w:tab/>
          </w:r>
          <w:r>
            <w:fldChar w:fldCharType="begin"/>
          </w:r>
          <w:r>
            <w:instrText xml:space="preserve"> PAGEREF _Toc11848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456C9E9E">
          <w:pPr>
            <w:pStyle w:val="8"/>
            <w:tabs>
              <w:tab w:val="right" w:leader="dot" w:pos="9354"/>
            </w:tabs>
          </w:pPr>
          <w:r>
            <w:fldChar w:fldCharType="begin"/>
          </w:r>
          <w:r>
            <w:instrText xml:space="preserve"> HYPERLINK \l _Toc10051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3"/>
            </w:rPr>
            <w:t>12.2 幂等与回调</w:t>
          </w:r>
          <w:r>
            <w:tab/>
          </w:r>
          <w:r>
            <w:fldChar w:fldCharType="begin"/>
          </w:r>
          <w:r>
            <w:instrText xml:space="preserve"> PAGEREF _Toc10051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6780820A">
          <w:pPr>
            <w:pStyle w:val="12"/>
            <w:tabs>
              <w:tab w:val="right" w:leader="dot" w:pos="9354"/>
            </w:tabs>
          </w:pPr>
          <w:r>
            <w:fldChar w:fldCharType="begin"/>
          </w:r>
          <w:r>
            <w:instrText xml:space="preserve"> HYPERLINK \l _Toc4625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7"/>
            </w:rPr>
            <w:t>13. 人工复核 H5</w:t>
          </w:r>
          <w:r>
            <w:tab/>
          </w:r>
          <w:r>
            <w:fldChar w:fldCharType="begin"/>
          </w:r>
          <w:r>
            <w:instrText xml:space="preserve"> PAGEREF _Toc4625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24B97267">
          <w:pPr>
            <w:pStyle w:val="12"/>
            <w:tabs>
              <w:tab w:val="right" w:leader="dot" w:pos="9354"/>
            </w:tabs>
          </w:pPr>
          <w:r>
            <w:fldChar w:fldCharType="begin"/>
          </w:r>
          <w:r>
            <w:instrText xml:space="preserve"> HYPERLINK \l _Toc15896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7"/>
            </w:rPr>
            <w:t>14. 安全、审计与隐私</w:t>
          </w:r>
          <w:r>
            <w:tab/>
          </w:r>
          <w:r>
            <w:fldChar w:fldCharType="begin"/>
          </w:r>
          <w:r>
            <w:instrText xml:space="preserve"> PAGEREF _Toc15896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7017AA19">
          <w:pPr>
            <w:pStyle w:val="12"/>
            <w:tabs>
              <w:tab w:val="right" w:leader="dot" w:pos="9354"/>
            </w:tabs>
          </w:pPr>
          <w:r>
            <w:fldChar w:fldCharType="begin"/>
          </w:r>
          <w:r>
            <w:instrText xml:space="preserve"> HYPERLINK \l _Toc27552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7"/>
            </w:rPr>
            <w:t>15. 稳定性与运维</w:t>
          </w:r>
          <w:r>
            <w:tab/>
          </w:r>
          <w:r>
            <w:fldChar w:fldCharType="begin"/>
          </w:r>
          <w:r>
            <w:instrText xml:space="preserve"> PAGEREF _Toc27552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27DB8D2A">
          <w:pPr>
            <w:pStyle w:val="12"/>
            <w:tabs>
              <w:tab w:val="right" w:leader="dot" w:pos="9354"/>
            </w:tabs>
          </w:pPr>
          <w:r>
            <w:fldChar w:fldCharType="begin"/>
          </w:r>
          <w:r>
            <w:instrText xml:space="preserve"> HYPERLINK \l _Toc10591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7"/>
            </w:rPr>
            <w:t>16. 测试与验收</w:t>
          </w:r>
          <w:r>
            <w:tab/>
          </w:r>
          <w:r>
            <w:fldChar w:fldCharType="begin"/>
          </w:r>
          <w:r>
            <w:instrText xml:space="preserve"> PAGEREF _Toc10591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4CF97EDD">
          <w:pPr>
            <w:pStyle w:val="8"/>
            <w:tabs>
              <w:tab w:val="right" w:leader="dot" w:pos="9354"/>
            </w:tabs>
          </w:pPr>
          <w:r>
            <w:fldChar w:fldCharType="begin"/>
          </w:r>
          <w:r>
            <w:instrText xml:space="preserve"> HYPERLINK \l _Toc19336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3"/>
            </w:rPr>
            <w:t>16.1 必测用例</w:t>
          </w:r>
          <w:r>
            <w:tab/>
          </w:r>
          <w:r>
            <w:fldChar w:fldCharType="begin"/>
          </w:r>
          <w:r>
            <w:instrText xml:space="preserve"> PAGEREF _Toc19336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65209C9C">
          <w:pPr>
            <w:pStyle w:val="8"/>
            <w:tabs>
              <w:tab w:val="right" w:leader="dot" w:pos="9354"/>
            </w:tabs>
          </w:pPr>
          <w:r>
            <w:fldChar w:fldCharType="begin"/>
          </w:r>
          <w:r>
            <w:instrText xml:space="preserve"> HYPERLINK \l _Toc1933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3"/>
            </w:rPr>
            <w:t>16.2 建议验收指标</w:t>
          </w:r>
          <w:r>
            <w:tab/>
          </w:r>
          <w:r>
            <w:fldChar w:fldCharType="begin"/>
          </w:r>
          <w:r>
            <w:instrText xml:space="preserve"> PAGEREF _Toc1933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38E37906">
          <w:pPr>
            <w:pStyle w:val="8"/>
            <w:tabs>
              <w:tab w:val="right" w:leader="dot" w:pos="9354"/>
            </w:tabs>
          </w:pPr>
          <w:r>
            <w:fldChar w:fldCharType="begin"/>
          </w:r>
          <w:r>
            <w:instrText xml:space="preserve"> HYPERLINK \l _Toc3566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3"/>
            </w:rPr>
            <w:t>16.3 回归与发布门禁</w:t>
          </w:r>
          <w:r>
            <w:tab/>
          </w:r>
          <w:r>
            <w:fldChar w:fldCharType="begin"/>
          </w:r>
          <w:r>
            <w:instrText xml:space="preserve"> PAGEREF _Toc3566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3AE699E7">
          <w:pPr>
            <w:pStyle w:val="12"/>
            <w:tabs>
              <w:tab w:val="right" w:leader="dot" w:pos="9354"/>
            </w:tabs>
          </w:pPr>
          <w:r>
            <w:fldChar w:fldCharType="begin"/>
          </w:r>
          <w:r>
            <w:instrText xml:space="preserve"> HYPERLINK \l _Toc9642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7"/>
            </w:rPr>
            <w:t>17. 实施与上线计划</w:t>
          </w:r>
          <w:r>
            <w:tab/>
          </w:r>
          <w:r>
            <w:fldChar w:fldCharType="begin"/>
          </w:r>
          <w:r>
            <w:instrText xml:space="preserve"> PAGEREF _Toc9642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08AF7D03">
          <w:pPr>
            <w:pStyle w:val="8"/>
            <w:tabs>
              <w:tab w:val="right" w:leader="dot" w:pos="9354"/>
            </w:tabs>
          </w:pPr>
          <w:r>
            <w:fldChar w:fldCharType="begin"/>
          </w:r>
          <w:r>
            <w:instrText xml:space="preserve"> HYPERLINK \l _Toc3917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3"/>
            </w:rPr>
            <w:t>阶段 1：规则与数据契约冻结</w:t>
          </w:r>
          <w:r>
            <w:tab/>
          </w:r>
          <w:r>
            <w:fldChar w:fldCharType="begin"/>
          </w:r>
          <w:r>
            <w:instrText xml:space="preserve"> PAGEREF _Toc3917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6143A58D">
          <w:pPr>
            <w:pStyle w:val="8"/>
            <w:tabs>
              <w:tab w:val="right" w:leader="dot" w:pos="9354"/>
            </w:tabs>
          </w:pPr>
          <w:r>
            <w:fldChar w:fldCharType="begin"/>
          </w:r>
          <w:r>
            <w:instrText xml:space="preserve"> HYPERLINK \l _Toc27535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3"/>
            </w:rPr>
            <w:t>阶段 2：OCR/视觉与规则引擎建设</w:t>
          </w:r>
          <w:r>
            <w:tab/>
          </w:r>
          <w:r>
            <w:fldChar w:fldCharType="begin"/>
          </w:r>
          <w:r>
            <w:instrText xml:space="preserve"> PAGEREF _Toc27535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1BC87373">
          <w:pPr>
            <w:pStyle w:val="8"/>
            <w:tabs>
              <w:tab w:val="right" w:leader="dot" w:pos="9354"/>
            </w:tabs>
          </w:pPr>
          <w:r>
            <w:fldChar w:fldCharType="begin"/>
          </w:r>
          <w:r>
            <w:instrText xml:space="preserve"> HYPERLINK \l _Toc18490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3"/>
            </w:rPr>
            <w:t>阶段 3：Agent 判断、H5 与系统集成</w:t>
          </w:r>
          <w:r>
            <w:tab/>
          </w:r>
          <w:r>
            <w:fldChar w:fldCharType="begin"/>
          </w:r>
          <w:r>
            <w:instrText xml:space="preserve"> PAGEREF _Toc18490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5214CA8A">
          <w:pPr>
            <w:pStyle w:val="8"/>
            <w:tabs>
              <w:tab w:val="right" w:leader="dot" w:pos="9354"/>
            </w:tabs>
          </w:pPr>
          <w:r>
            <w:fldChar w:fldCharType="begin"/>
          </w:r>
          <w:r>
            <w:instrText xml:space="preserve"> HYPERLINK \l _Toc26390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3"/>
            </w:rPr>
            <w:t>阶段 4：历史回放与 UAT</w:t>
          </w:r>
          <w:r>
            <w:tab/>
          </w:r>
          <w:r>
            <w:fldChar w:fldCharType="begin"/>
          </w:r>
          <w:r>
            <w:instrText xml:space="preserve"> PAGEREF _Toc26390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7D9BA47A">
          <w:pPr>
            <w:pStyle w:val="8"/>
            <w:tabs>
              <w:tab w:val="right" w:leader="dot" w:pos="9354"/>
            </w:tabs>
          </w:pPr>
          <w:r>
            <w:fldChar w:fldCharType="begin"/>
          </w:r>
          <w:r>
            <w:instrText xml:space="preserve"> HYPERLINK \l _Toc4184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3"/>
            </w:rPr>
            <w:t>阶段 5：影子运行与灰度</w:t>
          </w:r>
          <w:r>
            <w:tab/>
          </w:r>
          <w:r>
            <w:fldChar w:fldCharType="begin"/>
          </w:r>
          <w:r>
            <w:instrText xml:space="preserve"> PAGEREF _Toc4184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093010D9">
          <w:pPr>
            <w:pStyle w:val="12"/>
            <w:tabs>
              <w:tab w:val="right" w:leader="dot" w:pos="9354"/>
            </w:tabs>
          </w:pPr>
          <w:r>
            <w:fldChar w:fldCharType="begin"/>
          </w:r>
          <w:r>
            <w:instrText xml:space="preserve"> HYPERLINK \l _Toc21956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7"/>
            </w:rPr>
            <w:t>18. 现有验证工程的生产化改造重点</w:t>
          </w:r>
          <w:r>
            <w:tab/>
          </w:r>
          <w:r>
            <w:fldChar w:fldCharType="begin"/>
          </w:r>
          <w:r>
            <w:instrText xml:space="preserve"> PAGEREF _Toc21956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58ADCD64">
          <w:pPr>
            <w:pStyle w:val="12"/>
            <w:tabs>
              <w:tab w:val="right" w:leader="dot" w:pos="9354"/>
            </w:tabs>
          </w:pPr>
          <w:r>
            <w:fldChar w:fldCharType="begin"/>
          </w:r>
          <w:r>
            <w:instrText xml:space="preserve"> HYPERLINK \l _Toc2524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7"/>
            </w:rPr>
            <w:t>19. 客户侧技术准备项</w:t>
          </w:r>
          <w:r>
            <w:tab/>
          </w:r>
          <w:r>
            <w:fldChar w:fldCharType="begin"/>
          </w:r>
          <w:r>
            <w:instrText xml:space="preserve"> PAGEREF _Toc2524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60D7E76C">
          <w:pPr>
            <w:pStyle w:val="12"/>
            <w:tabs>
              <w:tab w:val="right" w:leader="dot" w:pos="9354"/>
            </w:tabs>
          </w:pPr>
          <w:r>
            <w:fldChar w:fldCharType="begin"/>
          </w:r>
          <w:r>
            <w:instrText xml:space="preserve"> HYPERLINK \l _Toc18606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7"/>
            </w:rPr>
            <w:t>20. 最终技术结论</w:t>
          </w:r>
          <w:r>
            <w:tab/>
          </w:r>
          <w:r>
            <w:fldChar w:fldCharType="begin"/>
          </w:r>
          <w:r>
            <w:instrText xml:space="preserve"> PAGEREF _Toc18606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1D5E8E00">
          <w:r>
            <w:fldChar w:fldCharType="end"/>
          </w:r>
        </w:p>
      </w:sdtContent>
    </w:sdt>
    <w:p w14:paraId="14AFD0A6">
      <w:r>
        <w:br w:type="page"/>
      </w:r>
    </w:p>
    <w:p w14:paraId="724B00BC">
      <w:pPr>
        <w:pStyle w:val="3"/>
        <w:keepNext/>
        <w:spacing w:before="220" w:after="110"/>
      </w:pPr>
      <w:bookmarkStart w:id="1" w:name="_Toc7400"/>
      <w:r>
        <w:rPr>
          <w:rFonts w:ascii="Arial" w:hAnsi="Arial" w:eastAsia="微软雅黑"/>
          <w:b/>
          <w:bCs/>
          <w:color w:val="1F4E78"/>
          <w:sz w:val="27"/>
          <w:szCs w:val="27"/>
        </w:rPr>
        <w:t>1. 方案摘要</w:t>
      </w:r>
      <w:bookmarkEnd w:id="1"/>
    </w:p>
    <w:p w14:paraId="4A7BEEDA">
      <w:pPr>
        <w:keepNext w:val="0"/>
        <w:spacing w:before="0" w:after="110" w:line="330" w:lineRule="auto"/>
        <w:ind w:firstLine="420"/>
        <w:jc w:val="both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本方案建设一套以“证据结构化、确定性规则核验、Agent 受控判断、人工最终审批”为核心的线下市场费用核销系统，覆盖地堆/陈列与人员激励两类业务。</w:t>
      </w:r>
    </w:p>
    <w:p w14:paraId="2D3590E7">
      <w:pPr>
        <w:keepNext w:val="0"/>
        <w:spacing w:before="0" w:after="110" w:line="330" w:lineRule="auto"/>
        <w:ind w:firstLine="420"/>
        <w:jc w:val="both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系统接收图片、PDF、Excel/CSV 及压缩包后，依次完成材料归集、文件分类、OCR/视觉识别、证据标准化、跨材料勾稽、金额重算、风险判断、补件提示、人工复核及结果回写。所有关键字段和判断必须保留原始文件、页码/工作表/行号、坐标区域、文件哈希、识别版本和规则版本，确保结论可解释、可复核、可追溯。</w:t>
      </w:r>
    </w:p>
    <w:p w14:paraId="770FA588">
      <w:pPr>
        <w:keepNext w:val="0"/>
        <w:spacing w:before="0" w:after="110" w:line="330" w:lineRule="auto"/>
        <w:ind w:firstLine="420"/>
        <w:jc w:val="both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核心技术原则如下：</w:t>
      </w:r>
    </w:p>
    <w:p w14:paraId="17A04B72">
      <w:pPr>
        <w:pStyle w:val="19"/>
        <w:numPr>
          <w:ilvl w:val="0"/>
          <w:numId w:val="1"/>
        </w:numPr>
        <w:spacing w:after="70" w:line="310" w:lineRule="auto"/>
        <w:ind w:left="680" w:hanging="360"/>
      </w:pPr>
      <w:r>
        <w:rPr>
          <w:rFonts w:ascii="Arial" w:hAnsi="Arial" w:eastAsia="微软雅黑"/>
          <w:b/>
          <w:bCs/>
          <w:color w:val="1F2937"/>
          <w:sz w:val="21"/>
          <w:szCs w:val="21"/>
        </w:rPr>
        <w:t>模型负责识别事实，不直接计算可核销金额。</w:t>
      </w: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 xml:space="preserve"> OCR/视觉模型只输出结构化证据及置信度。</w:t>
      </w:r>
    </w:p>
    <w:p w14:paraId="5E3C6FEC">
      <w:pPr>
        <w:pStyle w:val="19"/>
        <w:numPr>
          <w:ilvl w:val="0"/>
          <w:numId w:val="1"/>
        </w:numPr>
        <w:spacing w:after="70" w:line="310" w:lineRule="auto"/>
        <w:ind w:left="680" w:hanging="360"/>
      </w:pPr>
      <w:r>
        <w:rPr>
          <w:rFonts w:ascii="Arial" w:hAnsi="Arial" w:eastAsia="微软雅黑"/>
          <w:b/>
          <w:bCs/>
          <w:color w:val="1F2937"/>
          <w:sz w:val="21"/>
          <w:szCs w:val="21"/>
        </w:rPr>
        <w:t>金额、日期、数量、门店和材料完整性由确定性程序判断。</w:t>
      </w: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 xml:space="preserve"> 规则引擎完成逐 SKU、逐门店及逐笔支付勾稽。</w:t>
      </w:r>
    </w:p>
    <w:p w14:paraId="2D24EB56">
      <w:pPr>
        <w:pStyle w:val="19"/>
        <w:numPr>
          <w:ilvl w:val="0"/>
          <w:numId w:val="1"/>
        </w:numPr>
        <w:spacing w:after="70" w:line="310" w:lineRule="auto"/>
        <w:ind w:left="680" w:hanging="360"/>
      </w:pPr>
      <w:r>
        <w:rPr>
          <w:rFonts w:ascii="Arial" w:hAnsi="Arial" w:eastAsia="微软雅黑"/>
          <w:b/>
          <w:bCs/>
          <w:color w:val="1F2937"/>
          <w:sz w:val="21"/>
          <w:szCs w:val="21"/>
        </w:rPr>
        <w:t>Agent 负责最终建议与解释，但必须经过 Decision Guard 校验。</w:t>
      </w: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 xml:space="preserve"> Agent 不能覆盖硬规则、不能抬高程序计算的支持金额。</w:t>
      </w:r>
    </w:p>
    <w:p w14:paraId="48479642">
      <w:pPr>
        <w:pStyle w:val="19"/>
        <w:numPr>
          <w:ilvl w:val="0"/>
          <w:numId w:val="1"/>
        </w:numPr>
        <w:spacing w:after="70" w:line="310" w:lineRule="auto"/>
        <w:ind w:left="680" w:hanging="360"/>
      </w:pPr>
      <w:r>
        <w:rPr>
          <w:rFonts w:ascii="Arial" w:hAnsi="Arial" w:eastAsia="微软雅黑"/>
          <w:b/>
          <w:bCs/>
          <w:color w:val="1F2937"/>
          <w:sz w:val="21"/>
          <w:szCs w:val="21"/>
        </w:rPr>
        <w:t>缺证、低置信度或证据冲突不得自动通过。</w:t>
      </w: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 xml:space="preserve"> 统一进入“待补件”或“人工复核”。</w:t>
      </w:r>
    </w:p>
    <w:p w14:paraId="40F8CF34">
      <w:pPr>
        <w:pStyle w:val="19"/>
        <w:numPr>
          <w:ilvl w:val="0"/>
          <w:numId w:val="1"/>
        </w:numPr>
        <w:spacing w:after="70" w:line="310" w:lineRule="auto"/>
        <w:ind w:left="680" w:hanging="360"/>
      </w:pPr>
      <w:r>
        <w:rPr>
          <w:rFonts w:ascii="Arial" w:hAnsi="Arial" w:eastAsia="微软雅黑"/>
          <w:b/>
          <w:bCs/>
          <w:color w:val="1F2937"/>
          <w:sz w:val="21"/>
          <w:szCs w:val="21"/>
        </w:rPr>
        <w:t>总金额相同不等于证据链完整。</w:t>
      </w: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 xml:space="preserve"> 必须同时验证材料类型、主体、期间、明细、签章、支付来源和唯一性。</w:t>
      </w:r>
    </w:p>
    <w:p w14:paraId="3C83E679">
      <w:pPr>
        <w:pStyle w:val="19"/>
        <w:numPr>
          <w:ilvl w:val="0"/>
          <w:numId w:val="1"/>
        </w:numPr>
        <w:spacing w:after="70" w:line="310" w:lineRule="auto"/>
        <w:ind w:left="680" w:hanging="360"/>
      </w:pPr>
      <w:r>
        <w:rPr>
          <w:rFonts w:ascii="Arial" w:hAnsi="Arial" w:eastAsia="微软雅黑"/>
          <w:b/>
          <w:bCs/>
          <w:color w:val="1F2937"/>
          <w:sz w:val="21"/>
          <w:szCs w:val="21"/>
        </w:rPr>
        <w:t>真实性能力按证据边界表述。</w:t>
      </w: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 xml:space="preserve"> 水印、文件哈希和感知哈希只能提供一致性或重复风险线索，不能单独证明现场真实或文件未被篡改。</w:t>
      </w:r>
    </w:p>
    <w:p w14:paraId="3CB520B1">
      <w:pPr>
        <w:pStyle w:val="3"/>
        <w:keepNext/>
        <w:spacing w:before="220" w:after="110"/>
      </w:pPr>
      <w:bookmarkStart w:id="2" w:name="_Toc20022"/>
      <w:r>
        <w:rPr>
          <w:rFonts w:ascii="Arial" w:hAnsi="Arial" w:eastAsia="微软雅黑"/>
          <w:b/>
          <w:bCs/>
          <w:color w:val="1F4E78"/>
          <w:sz w:val="27"/>
          <w:szCs w:val="27"/>
        </w:rPr>
        <w:t>2. 建设范围与技术边界</w:t>
      </w:r>
      <w:bookmarkEnd w:id="2"/>
    </w:p>
    <w:p w14:paraId="2776DCFB">
      <w:pPr>
        <w:pStyle w:val="4"/>
        <w:keepNext/>
        <w:spacing w:before="170" w:after="90"/>
      </w:pPr>
      <w:bookmarkStart w:id="3" w:name="_Toc2609"/>
      <w:r>
        <w:rPr>
          <w:rFonts w:ascii="Arial" w:hAnsi="Arial" w:eastAsia="微软雅黑"/>
          <w:b/>
          <w:bCs/>
          <w:color w:val="2F75B5"/>
          <w:sz w:val="23"/>
          <w:szCs w:val="23"/>
        </w:rPr>
        <w:t>2.1 建设范围</w:t>
      </w:r>
      <w:bookmarkEnd w:id="3"/>
    </w:p>
    <w:p w14:paraId="6482001D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对接勤策核销单、钉钉群机器人或 H5 上传入口。</w:t>
      </w:r>
    </w:p>
    <w:p w14:paraId="0B861208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支持单个核销单独立提交，也支持批量导入历史核销包。</w:t>
      </w:r>
    </w:p>
    <w:p w14:paraId="4F790B2F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支持地堆/陈列、人员激励两个场景的材料自动分类。</w:t>
      </w:r>
    </w:p>
    <w:p w14:paraId="075A875B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支持结算单、促销合同、盖章 POS、POS 电子表、红包/工资打款截图、微信批量导出明细、现场照片的识别与校验。</w:t>
      </w:r>
    </w:p>
    <w:p w14:paraId="62F6A1C5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支持统一结算单模板识别、客户印章可见性检测、合同签章检测和电子签名校验。</w:t>
      </w:r>
    </w:p>
    <w:p w14:paraId="7B487CB1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支持逐门店、逐 SKU、逐笔支付的证据链与核销金额计算。</w:t>
      </w:r>
    </w:p>
    <w:p w14:paraId="024F4E78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支持结果 Excel/JSON、H5 复核任务、补件清单、审计日志及勤策状态回写。</w:t>
      </w:r>
    </w:p>
    <w:p w14:paraId="2BD73032">
      <w:pPr>
        <w:pStyle w:val="4"/>
        <w:keepNext/>
        <w:spacing w:before="170" w:after="90"/>
      </w:pPr>
      <w:bookmarkStart w:id="4" w:name="_Toc32383"/>
      <w:r>
        <w:rPr>
          <w:rFonts w:ascii="Arial" w:hAnsi="Arial" w:eastAsia="微软雅黑"/>
          <w:b/>
          <w:bCs/>
          <w:color w:val="2F75B5"/>
          <w:sz w:val="23"/>
          <w:szCs w:val="23"/>
        </w:rPr>
        <w:t>2.2 技术边界</w:t>
      </w:r>
      <w:bookmarkEnd w:id="4"/>
    </w:p>
    <w:p w14:paraId="6F838DB1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图片中“可见印章”只代表检测到印章图像，不等同于司法或公安意义上的印章真伪鉴定。</w:t>
      </w:r>
    </w:p>
    <w:p w14:paraId="536E0844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无可信 EXIF/GPS、可信时间戳或平台定位记录时，画面水印只能作为可见信息，不能单独证明拍摄时空真实性。</w:t>
      </w:r>
    </w:p>
    <w:p w14:paraId="063A4C9A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pHash/dHash/图像向量用于筛查完全重复或近似复用候选，不作为像素级篡改鉴定结论。</w:t>
      </w:r>
    </w:p>
    <w:p w14:paraId="5B530FFD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二维照片无法可靠测量真实面积。合同要求“1 平方米或 4 纵陈列”时，系统可识别可见纵列；面积要求若缺少尺度参照，应输出“不确定”并转人工。</w:t>
      </w:r>
    </w:p>
    <w:p w14:paraId="3A783084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只有聊天截图、无交易单号/完整日期/付款主体时，只能证明画面存在相应金额卡片，不能证明完整发放链路。</w:t>
      </w:r>
    </w:p>
    <w:p w14:paraId="0CCE14ED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AI 输出为审核建议，资金审批和最终付款仍由授权人员完成。</w:t>
      </w:r>
    </w:p>
    <w:p w14:paraId="661C5AF6">
      <w:pPr>
        <w:pStyle w:val="3"/>
        <w:keepNext/>
        <w:spacing w:before="220" w:after="110"/>
      </w:pPr>
      <w:bookmarkStart w:id="5" w:name="_Toc8453"/>
      <w:r>
        <w:rPr>
          <w:rFonts w:ascii="Arial" w:hAnsi="Arial" w:eastAsia="微软雅黑"/>
          <w:b/>
          <w:bCs/>
          <w:color w:val="1F4E78"/>
          <w:sz w:val="27"/>
          <w:szCs w:val="27"/>
        </w:rPr>
        <w:t>3. 审核标准结构化</w:t>
      </w:r>
      <w:bookmarkEnd w:id="5"/>
    </w:p>
    <w:p w14:paraId="6F3ACEFE">
      <w:pPr>
        <w:keepNext w:val="0"/>
        <w:spacing w:before="0" w:after="110" w:line="330" w:lineRule="auto"/>
        <w:ind w:firstLine="420"/>
        <w:jc w:val="both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 xml:space="preserve">系统不采用不可解释的综合打分替代硬规则。每条规则输出 </w:t>
      </w:r>
      <w:r>
        <w:rPr>
          <w:rFonts w:ascii="Consolas" w:hAnsi="Consolas" w:eastAsia="微软雅黑"/>
          <w:color w:val="17365D"/>
          <w:sz w:val="19"/>
          <w:szCs w:val="19"/>
          <w:shd w:val="clear" w:fill="E8EEF3"/>
        </w:rPr>
        <w:t>PASS</w:t>
      </w: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、</w:t>
      </w:r>
      <w:r>
        <w:rPr>
          <w:rFonts w:ascii="Consolas" w:hAnsi="Consolas" w:eastAsia="微软雅黑"/>
          <w:color w:val="17365D"/>
          <w:sz w:val="19"/>
          <w:szCs w:val="19"/>
          <w:shd w:val="clear" w:fill="E8EEF3"/>
        </w:rPr>
        <w:t>FAIL</w:t>
      </w: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、</w:t>
      </w:r>
      <w:r>
        <w:rPr>
          <w:rFonts w:ascii="Consolas" w:hAnsi="Consolas" w:eastAsia="微软雅黑"/>
          <w:color w:val="17365D"/>
          <w:sz w:val="19"/>
          <w:szCs w:val="19"/>
          <w:shd w:val="clear" w:fill="E8EEF3"/>
        </w:rPr>
        <w:t>UNKNOWN</w:t>
      </w: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 xml:space="preserve"> 或 </w:t>
      </w:r>
      <w:r>
        <w:rPr>
          <w:rFonts w:ascii="Consolas" w:hAnsi="Consolas" w:eastAsia="微软雅黑"/>
          <w:color w:val="17365D"/>
          <w:sz w:val="19"/>
          <w:szCs w:val="19"/>
          <w:shd w:val="clear" w:fill="E8EEF3"/>
        </w:rPr>
        <w:t>NOT_APPLICABLE</w:t>
      </w: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，并携带证据引用、金额影响和补件要求。</w:t>
      </w:r>
    </w:p>
    <w:p w14:paraId="26D9B23C">
      <w:pPr>
        <w:pStyle w:val="4"/>
        <w:keepNext/>
        <w:spacing w:before="170" w:after="90"/>
      </w:pPr>
      <w:bookmarkStart w:id="6" w:name="_Toc4756"/>
      <w:r>
        <w:rPr>
          <w:rFonts w:ascii="Arial" w:hAnsi="Arial" w:eastAsia="微软雅黑"/>
          <w:b/>
          <w:bCs/>
          <w:color w:val="2F75B5"/>
          <w:sz w:val="23"/>
          <w:szCs w:val="23"/>
        </w:rPr>
        <w:t>3.1 地堆/陈列核销规则</w:t>
      </w:r>
      <w:bookmarkEnd w:id="6"/>
    </w:p>
    <w:tbl>
      <w:tblPr>
        <w:tblStyle w:val="14"/>
        <w:tblW w:w="9354" w:type="dxa"/>
        <w:tblInd w:w="0" w:type="dxa"/>
        <w:tblBorders>
          <w:top w:val="single" w:color="B7C9D6" w:sz="2" w:space="0"/>
          <w:left w:val="single" w:color="B7C9D6" w:sz="2" w:space="0"/>
          <w:bottom w:val="single" w:color="B7C9D6" w:sz="2" w:space="0"/>
          <w:right w:val="single" w:color="B7C9D6" w:sz="2" w:space="0"/>
          <w:insideH w:val="single" w:color="B7C9D6" w:sz="2" w:space="0"/>
          <w:insideV w:val="single" w:color="B7C9D6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11"/>
        <w:gridCol w:w="1825"/>
        <w:gridCol w:w="3650"/>
        <w:gridCol w:w="2168"/>
      </w:tblGrid>
      <w:tr w14:paraId="10B2AA2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711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803863">
            <w:pPr>
              <w:spacing w:after="0" w:line="250" w:lineRule="auto"/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7"/>
                <w:szCs w:val="17"/>
              </w:rPr>
              <w:t>规则 ID</w:t>
            </w:r>
          </w:p>
        </w:tc>
        <w:tc>
          <w:tcPr>
            <w:tcW w:w="1825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D3E630">
            <w:pPr>
              <w:spacing w:after="0" w:line="250" w:lineRule="auto"/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7"/>
                <w:szCs w:val="17"/>
              </w:rPr>
              <w:t>核验对象</w:t>
            </w:r>
          </w:p>
        </w:tc>
        <w:tc>
          <w:tcPr>
            <w:tcW w:w="365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D84AF4">
            <w:pPr>
              <w:spacing w:after="0" w:line="250" w:lineRule="auto"/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7"/>
                <w:szCs w:val="17"/>
              </w:rPr>
              <w:t>技术核验方式</w:t>
            </w:r>
          </w:p>
        </w:tc>
        <w:tc>
          <w:tcPr>
            <w:tcW w:w="216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640CD1">
            <w:pPr>
              <w:spacing w:after="0" w:line="250" w:lineRule="auto"/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7"/>
                <w:szCs w:val="17"/>
              </w:rPr>
              <w:t>未通过处理</w:t>
            </w:r>
          </w:p>
        </w:tc>
      </w:tr>
      <w:tr w14:paraId="72979DC6">
        <w:tblPrEx>
          <w:tblBorders>
            <w:top w:val="single" w:color="B7C9D6" w:sz="2" w:space="0"/>
            <w:left w:val="single" w:color="B7C9D6" w:sz="2" w:space="0"/>
            <w:bottom w:val="single" w:color="B7C9D6" w:sz="2" w:space="0"/>
            <w:right w:val="single" w:color="B7C9D6" w:sz="2" w:space="0"/>
            <w:insideH w:val="single" w:color="B7C9D6" w:sz="2" w:space="0"/>
            <w:insideV w:val="single" w:color="B7C9D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1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87C9F3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GD-MAT-001</w:t>
            </w:r>
          </w:p>
        </w:tc>
        <w:tc>
          <w:tcPr>
            <w:tcW w:w="182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12DCCA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活动照片存在</w:t>
            </w:r>
          </w:p>
        </w:tc>
        <w:tc>
          <w:tcPr>
            <w:tcW w:w="36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2A1678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材料分类 + 文件清单</w:t>
            </w:r>
          </w:p>
        </w:tc>
        <w:tc>
          <w:tcPr>
            <w:tcW w:w="2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D9C537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全局待补件或对应门店不支持</w:t>
            </w:r>
          </w:p>
        </w:tc>
      </w:tr>
      <w:tr w14:paraId="110A740A">
        <w:tblPrEx>
          <w:tblBorders>
            <w:top w:val="single" w:color="B7C9D6" w:sz="2" w:space="0"/>
            <w:left w:val="single" w:color="B7C9D6" w:sz="2" w:space="0"/>
            <w:bottom w:val="single" w:color="B7C9D6" w:sz="2" w:space="0"/>
            <w:right w:val="single" w:color="B7C9D6" w:sz="2" w:space="0"/>
            <w:insideH w:val="single" w:color="B7C9D6" w:sz="2" w:space="0"/>
            <w:insideV w:val="single" w:color="B7C9D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11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3F86DB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GD-WM-001</w:t>
            </w:r>
          </w:p>
        </w:tc>
        <w:tc>
          <w:tcPr>
            <w:tcW w:w="1825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F7EA81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照片可见日期、地址、拍摄时间水印</w:t>
            </w:r>
          </w:p>
        </w:tc>
        <w:tc>
          <w:tcPr>
            <w:tcW w:w="3650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5D5974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水印区域检测 + OCR + 日期/地址解析</w:t>
            </w:r>
          </w:p>
        </w:tc>
        <w:tc>
          <w:tcPr>
            <w:tcW w:w="2168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86C4EB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对应门店待补件</w:t>
            </w:r>
          </w:p>
        </w:tc>
      </w:tr>
      <w:tr w14:paraId="371D7B86">
        <w:tblPrEx>
          <w:tblBorders>
            <w:top w:val="single" w:color="B7C9D6" w:sz="2" w:space="0"/>
            <w:left w:val="single" w:color="B7C9D6" w:sz="2" w:space="0"/>
            <w:bottom w:val="single" w:color="B7C9D6" w:sz="2" w:space="0"/>
            <w:right w:val="single" w:color="B7C9D6" w:sz="2" w:space="0"/>
            <w:insideH w:val="single" w:color="B7C9D6" w:sz="2" w:space="0"/>
            <w:insideV w:val="single" w:color="B7C9D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1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165E14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GD-TIME-001</w:t>
            </w:r>
          </w:p>
        </w:tc>
        <w:tc>
          <w:tcPr>
            <w:tcW w:w="182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37EC2A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水印日期在合同活动期间内</w:t>
            </w:r>
          </w:p>
        </w:tc>
        <w:tc>
          <w:tcPr>
            <w:tcW w:w="36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C0C888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规范化日期与合同起止日闭区间比较</w:t>
            </w:r>
          </w:p>
        </w:tc>
        <w:tc>
          <w:tcPr>
            <w:tcW w:w="2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496A52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对应门店不支持，人工复核</w:t>
            </w:r>
          </w:p>
        </w:tc>
      </w:tr>
      <w:tr w14:paraId="06B029B7">
        <w:tblPrEx>
          <w:tblBorders>
            <w:top w:val="single" w:color="B7C9D6" w:sz="2" w:space="0"/>
            <w:left w:val="single" w:color="B7C9D6" w:sz="2" w:space="0"/>
            <w:bottom w:val="single" w:color="B7C9D6" w:sz="2" w:space="0"/>
            <w:right w:val="single" w:color="B7C9D6" w:sz="2" w:space="0"/>
            <w:insideH w:val="single" w:color="B7C9D6" w:sz="2" w:space="0"/>
            <w:insideV w:val="single" w:color="B7C9D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11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06C1EF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GD-STORE-001</w:t>
            </w:r>
          </w:p>
        </w:tc>
        <w:tc>
          <w:tcPr>
            <w:tcW w:w="1825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45E6C0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水印地点/门店与合同门店一致</w:t>
            </w:r>
          </w:p>
        </w:tc>
        <w:tc>
          <w:tcPr>
            <w:tcW w:w="3650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3AD7B1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门店主数据、地址、经确认别名映射</w:t>
            </w:r>
          </w:p>
        </w:tc>
        <w:tc>
          <w:tcPr>
            <w:tcW w:w="2168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BA45B8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未映射时不得由模型猜测</w:t>
            </w:r>
          </w:p>
        </w:tc>
      </w:tr>
      <w:tr w14:paraId="2CE35B48">
        <w:tblPrEx>
          <w:tblBorders>
            <w:top w:val="single" w:color="B7C9D6" w:sz="2" w:space="0"/>
            <w:left w:val="single" w:color="B7C9D6" w:sz="2" w:space="0"/>
            <w:bottom w:val="single" w:color="B7C9D6" w:sz="2" w:space="0"/>
            <w:right w:val="single" w:color="B7C9D6" w:sz="2" w:space="0"/>
            <w:insideH w:val="single" w:color="B7C9D6" w:sz="2" w:space="0"/>
            <w:insideV w:val="single" w:color="B7C9D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1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AFBBD5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GD-SCENE-001</w:t>
            </w:r>
          </w:p>
        </w:tc>
        <w:tc>
          <w:tcPr>
            <w:tcW w:w="182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6EE21D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清晰展示堆头/陈列全貌</w:t>
            </w:r>
          </w:p>
        </w:tc>
        <w:tc>
          <w:tcPr>
            <w:tcW w:w="36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C50FEA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画面完整度、遮挡、模糊、裁切检测</w:t>
            </w:r>
          </w:p>
        </w:tc>
        <w:tc>
          <w:tcPr>
            <w:tcW w:w="2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EF293A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对应门店待补件</w:t>
            </w:r>
          </w:p>
        </w:tc>
      </w:tr>
      <w:tr w14:paraId="3C4B6CE0">
        <w:tblPrEx>
          <w:tblBorders>
            <w:top w:val="single" w:color="B7C9D6" w:sz="2" w:space="0"/>
            <w:left w:val="single" w:color="B7C9D6" w:sz="2" w:space="0"/>
            <w:bottom w:val="single" w:color="B7C9D6" w:sz="2" w:space="0"/>
            <w:right w:val="single" w:color="B7C9D6" w:sz="2" w:space="0"/>
            <w:insideH w:val="single" w:color="B7C9D6" w:sz="2" w:space="0"/>
            <w:insideV w:val="single" w:color="B7C9D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11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1F3B2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GD-PRODUCT-001</w:t>
            </w:r>
          </w:p>
        </w:tc>
        <w:tc>
          <w:tcPr>
            <w:tcW w:w="1825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67F4BF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活动产品摆放可见</w:t>
            </w:r>
          </w:p>
        </w:tc>
        <w:tc>
          <w:tcPr>
            <w:tcW w:w="3650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97EB4F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商品/品牌识别 + 证据框</w:t>
            </w:r>
          </w:p>
        </w:tc>
        <w:tc>
          <w:tcPr>
            <w:tcW w:w="2168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6CEE78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对应门店待补件或不支持</w:t>
            </w:r>
          </w:p>
        </w:tc>
      </w:tr>
      <w:tr w14:paraId="33D93120">
        <w:tblPrEx>
          <w:tblBorders>
            <w:top w:val="single" w:color="B7C9D6" w:sz="2" w:space="0"/>
            <w:left w:val="single" w:color="B7C9D6" w:sz="2" w:space="0"/>
            <w:bottom w:val="single" w:color="B7C9D6" w:sz="2" w:space="0"/>
            <w:right w:val="single" w:color="B7C9D6" w:sz="2" w:space="0"/>
            <w:insideH w:val="single" w:color="B7C9D6" w:sz="2" w:space="0"/>
            <w:insideV w:val="single" w:color="B7C9D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1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DA577F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GD-PROMO-001</w:t>
            </w:r>
          </w:p>
        </w:tc>
        <w:tc>
          <w:tcPr>
            <w:tcW w:w="182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A62F79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促销标识可见</w:t>
            </w:r>
          </w:p>
        </w:tc>
        <w:tc>
          <w:tcPr>
            <w:tcW w:w="36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D4232B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价签、促销牌、物料检测</w:t>
            </w:r>
          </w:p>
        </w:tc>
        <w:tc>
          <w:tcPr>
            <w:tcW w:w="2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FB19EE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按合同硬性要求处理</w:t>
            </w:r>
          </w:p>
        </w:tc>
      </w:tr>
      <w:tr w14:paraId="39A41537">
        <w:tblPrEx>
          <w:tblBorders>
            <w:top w:val="single" w:color="B7C9D6" w:sz="2" w:space="0"/>
            <w:left w:val="single" w:color="B7C9D6" w:sz="2" w:space="0"/>
            <w:bottom w:val="single" w:color="B7C9D6" w:sz="2" w:space="0"/>
            <w:right w:val="single" w:color="B7C9D6" w:sz="2" w:space="0"/>
            <w:insideH w:val="single" w:color="B7C9D6" w:sz="2" w:space="0"/>
            <w:insideV w:val="single" w:color="B7C9D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11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F822CB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GD-STANDARD-001</w:t>
            </w:r>
          </w:p>
        </w:tc>
        <w:tc>
          <w:tcPr>
            <w:tcW w:w="1825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D7FCF1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达到约定陈列标准</w:t>
            </w:r>
          </w:p>
        </w:tc>
        <w:tc>
          <w:tcPr>
            <w:tcW w:w="3650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995672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纵列计数、堆头/货架分类、可见尺度判断</w:t>
            </w:r>
          </w:p>
        </w:tc>
        <w:tc>
          <w:tcPr>
            <w:tcW w:w="2168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026B94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不确定时转人工，不自动通过</w:t>
            </w:r>
          </w:p>
        </w:tc>
      </w:tr>
      <w:tr w14:paraId="6E2A7858">
        <w:tblPrEx>
          <w:tblBorders>
            <w:top w:val="single" w:color="B7C9D6" w:sz="2" w:space="0"/>
            <w:left w:val="single" w:color="B7C9D6" w:sz="2" w:space="0"/>
            <w:bottom w:val="single" w:color="B7C9D6" w:sz="2" w:space="0"/>
            <w:right w:val="single" w:color="B7C9D6" w:sz="2" w:space="0"/>
            <w:insideH w:val="single" w:color="B7C9D6" w:sz="2" w:space="0"/>
            <w:insideV w:val="single" w:color="B7C9D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1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5EF8B9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GD-DUP-001</w:t>
            </w:r>
          </w:p>
        </w:tc>
        <w:tc>
          <w:tcPr>
            <w:tcW w:w="182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E31E63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未重复使用照片</w:t>
            </w:r>
          </w:p>
        </w:tc>
        <w:tc>
          <w:tcPr>
            <w:tcW w:w="36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9BCD67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SHA-256 + pHash/dHash + 图像向量 + 历史指纹库</w:t>
            </w:r>
          </w:p>
        </w:tc>
        <w:tc>
          <w:tcPr>
            <w:tcW w:w="2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B0993C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精确重复阻断；近似重复人工并排复核</w:t>
            </w:r>
          </w:p>
        </w:tc>
      </w:tr>
      <w:tr w14:paraId="56EF4378">
        <w:tblPrEx>
          <w:tblBorders>
            <w:top w:val="single" w:color="B7C9D6" w:sz="2" w:space="0"/>
            <w:left w:val="single" w:color="B7C9D6" w:sz="2" w:space="0"/>
            <w:bottom w:val="single" w:color="B7C9D6" w:sz="2" w:space="0"/>
            <w:right w:val="single" w:color="B7C9D6" w:sz="2" w:space="0"/>
            <w:insideH w:val="single" w:color="B7C9D6" w:sz="2" w:space="0"/>
            <w:insideV w:val="single" w:color="B7C9D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11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D5E728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GD-SET-001</w:t>
            </w:r>
          </w:p>
        </w:tc>
        <w:tc>
          <w:tcPr>
            <w:tcW w:w="1825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1B40D1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公司统一模板结算单存在</w:t>
            </w:r>
          </w:p>
        </w:tc>
        <w:tc>
          <w:tcPr>
            <w:tcW w:w="3650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240B9F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文档分类 + 模板注册表匹配</w:t>
            </w:r>
          </w:p>
        </w:tc>
        <w:tc>
          <w:tcPr>
            <w:tcW w:w="2168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F9C92F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全局待补件，全部金额暂缓</w:t>
            </w:r>
          </w:p>
        </w:tc>
      </w:tr>
      <w:tr w14:paraId="13328892">
        <w:tblPrEx>
          <w:tblBorders>
            <w:top w:val="single" w:color="B7C9D6" w:sz="2" w:space="0"/>
            <w:left w:val="single" w:color="B7C9D6" w:sz="2" w:space="0"/>
            <w:bottom w:val="single" w:color="B7C9D6" w:sz="2" w:space="0"/>
            <w:right w:val="single" w:color="B7C9D6" w:sz="2" w:space="0"/>
            <w:insideH w:val="single" w:color="B7C9D6" w:sz="2" w:space="0"/>
            <w:insideV w:val="single" w:color="B7C9D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1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95D448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GD-SET-002</w:t>
            </w:r>
          </w:p>
        </w:tc>
        <w:tc>
          <w:tcPr>
            <w:tcW w:w="182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BD0FA9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结算单有客户盖章</w:t>
            </w:r>
          </w:p>
        </w:tc>
        <w:tc>
          <w:tcPr>
            <w:tcW w:w="36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3471AF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印章检测 + 印章文字 OCR + 客户主体比对</w:t>
            </w:r>
          </w:p>
        </w:tc>
        <w:tc>
          <w:tcPr>
            <w:tcW w:w="2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6F3D22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全局待补件/人工复核</w:t>
            </w:r>
          </w:p>
        </w:tc>
      </w:tr>
      <w:tr w14:paraId="3DF16E48">
        <w:tblPrEx>
          <w:tblBorders>
            <w:top w:val="single" w:color="B7C9D6" w:sz="2" w:space="0"/>
            <w:left w:val="single" w:color="B7C9D6" w:sz="2" w:space="0"/>
            <w:bottom w:val="single" w:color="B7C9D6" w:sz="2" w:space="0"/>
            <w:right w:val="single" w:color="B7C9D6" w:sz="2" w:space="0"/>
            <w:insideH w:val="single" w:color="B7C9D6" w:sz="2" w:space="0"/>
            <w:insideV w:val="single" w:color="B7C9D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11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8A5EB7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GD-CON-001</w:t>
            </w:r>
          </w:p>
        </w:tc>
        <w:tc>
          <w:tcPr>
            <w:tcW w:w="1825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8F485D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签章促销合同存在</w:t>
            </w:r>
          </w:p>
        </w:tc>
        <w:tc>
          <w:tcPr>
            <w:tcW w:w="3650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54F439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PDF/图片分类、签章可见性、电子签名验证</w:t>
            </w:r>
          </w:p>
        </w:tc>
        <w:tc>
          <w:tcPr>
            <w:tcW w:w="2168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893D8E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全局待补件，全部金额暂缓</w:t>
            </w:r>
          </w:p>
        </w:tc>
      </w:tr>
      <w:tr w14:paraId="04D50DBB">
        <w:tblPrEx>
          <w:tblBorders>
            <w:top w:val="single" w:color="B7C9D6" w:sz="2" w:space="0"/>
            <w:left w:val="single" w:color="B7C9D6" w:sz="2" w:space="0"/>
            <w:bottom w:val="single" w:color="B7C9D6" w:sz="2" w:space="0"/>
            <w:right w:val="single" w:color="B7C9D6" w:sz="2" w:space="0"/>
            <w:insideH w:val="single" w:color="B7C9D6" w:sz="2" w:space="0"/>
            <w:insideV w:val="single" w:color="B7C9D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1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2A5C43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GD-CON-002</w:t>
            </w:r>
          </w:p>
        </w:tc>
        <w:tc>
          <w:tcPr>
            <w:tcW w:w="182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6307DB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合同期间、门店、标准、单价完整</w:t>
            </w:r>
          </w:p>
        </w:tc>
        <w:tc>
          <w:tcPr>
            <w:tcW w:w="36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0FA959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合同 OCR/表格结构化</w:t>
            </w:r>
          </w:p>
        </w:tc>
        <w:tc>
          <w:tcPr>
            <w:tcW w:w="2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6F29BD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无法确定规则时整单人工复核</w:t>
            </w:r>
          </w:p>
        </w:tc>
      </w:tr>
      <w:tr w14:paraId="6FE6D31F">
        <w:tblPrEx>
          <w:tblBorders>
            <w:top w:val="single" w:color="B7C9D6" w:sz="2" w:space="0"/>
            <w:left w:val="single" w:color="B7C9D6" w:sz="2" w:space="0"/>
            <w:bottom w:val="single" w:color="B7C9D6" w:sz="2" w:space="0"/>
            <w:right w:val="single" w:color="B7C9D6" w:sz="2" w:space="0"/>
            <w:insideH w:val="single" w:color="B7C9D6" w:sz="2" w:space="0"/>
            <w:insideV w:val="single" w:color="B7C9D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11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D37ECE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GD-AMT-001</w:t>
            </w:r>
          </w:p>
        </w:tc>
        <w:tc>
          <w:tcPr>
            <w:tcW w:w="1825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DFEBC0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结算金额与逐店支持金额一致</w:t>
            </w:r>
          </w:p>
        </w:tc>
        <w:tc>
          <w:tcPr>
            <w:tcW w:w="3650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B24E9A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 xml:space="preserve">程序计算 </w:t>
            </w:r>
            <w:r>
              <w:rPr>
                <w:rFonts w:ascii="Consolas" w:hAnsi="Consolas" w:eastAsia="微软雅黑"/>
                <w:color w:val="17365D"/>
                <w:sz w:val="17"/>
                <w:szCs w:val="17"/>
                <w:shd w:val="clear" w:fill="E8EEF3"/>
              </w:rPr>
              <w:t>Σ合格门店费用</w:t>
            </w:r>
          </w:p>
        </w:tc>
        <w:tc>
          <w:tcPr>
            <w:tcW w:w="2168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42B6DE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超报部分暂缓，不允许 Agent 覆盖</w:t>
            </w:r>
          </w:p>
        </w:tc>
      </w:tr>
    </w:tbl>
    <w:p w14:paraId="1DD8E181">
      <w:pPr>
        <w:spacing w:after="90"/>
      </w:pPr>
    </w:p>
    <w:p w14:paraId="73D537F1">
      <w:pPr>
        <w:keepNext w:val="0"/>
        <w:spacing w:before="0" w:after="110" w:line="330" w:lineRule="auto"/>
        <w:ind w:firstLine="420"/>
        <w:jc w:val="both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地堆支持金额按门店计算：</w:t>
      </w:r>
    </w:p>
    <w:p w14:paraId="7F1720E6">
      <w:pPr>
        <w:pBdr>
          <w:top w:val="single" w:color="D8DEE5" w:sz="2" w:space="3"/>
          <w:left w:val="single" w:color="2F75B5" w:sz="10" w:space="6"/>
          <w:bottom w:val="single" w:color="D8DEE5" w:sz="2" w:space="3"/>
          <w:right w:val="single" w:color="D8DEE5" w:sz="2" w:space="3"/>
        </w:pBdr>
        <w:shd w:val="clear" w:fill="F3F5F7"/>
        <w:spacing w:before="80" w:after="150" w:line="260" w:lineRule="auto"/>
        <w:ind w:left="260" w:right="180"/>
      </w:pPr>
      <w:r>
        <w:rPr>
          <w:rFonts w:ascii="Consolas" w:hAnsi="Consolas" w:eastAsia="微软雅黑"/>
          <w:color w:val="243447"/>
          <w:sz w:val="17"/>
          <w:szCs w:val="17"/>
        </w:rPr>
        <w:t>store_supported_amount =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 xml:space="preserve">  fee_per_store，若该门店所有强制规则均为 PASS；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 xml:space="preserve">  0，若任一强制规则为 FAIL 或 UNKNOWN。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>case_supported_amount = min(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 xml:space="preserve">  claimed_amount,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 xml:space="preserve">  settlement_amount,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 xml:space="preserve">  Σ store_supported_amount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>)</w:t>
      </w:r>
    </w:p>
    <w:p w14:paraId="1028BA67">
      <w:pPr>
        <w:keepNext w:val="0"/>
        <w:spacing w:before="0" w:after="110" w:line="330" w:lineRule="auto"/>
        <w:ind w:firstLine="420"/>
        <w:jc w:val="both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 xml:space="preserve">若统一结算单或签章合同等全局材料缺失，即使部分门店照片通过，也只记录“潜在支持金额”，整单建议金额暂置为 0，状态为 </w:t>
      </w:r>
      <w:r>
        <w:rPr>
          <w:rFonts w:ascii="Consolas" w:hAnsi="Consolas" w:eastAsia="微软雅黑"/>
          <w:color w:val="17365D"/>
          <w:sz w:val="19"/>
          <w:szCs w:val="19"/>
          <w:shd w:val="clear" w:fill="E8EEF3"/>
        </w:rPr>
        <w:t>NEED_SUPPLEMENT</w:t>
      </w: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。补件后可复用已完成的逐店识别结果，无需全部重跑。</w:t>
      </w:r>
    </w:p>
    <w:p w14:paraId="43DF66E8">
      <w:pPr>
        <w:pStyle w:val="4"/>
        <w:keepNext/>
        <w:spacing w:before="170" w:after="90"/>
      </w:pPr>
      <w:bookmarkStart w:id="7" w:name="_Toc27696"/>
      <w:r>
        <w:rPr>
          <w:rFonts w:ascii="Arial" w:hAnsi="Arial" w:eastAsia="微软雅黑"/>
          <w:b/>
          <w:bCs/>
          <w:color w:val="2F75B5"/>
          <w:sz w:val="23"/>
          <w:szCs w:val="23"/>
        </w:rPr>
        <w:t>3.2 人员激励核销规则</w:t>
      </w:r>
      <w:bookmarkEnd w:id="7"/>
    </w:p>
    <w:tbl>
      <w:tblPr>
        <w:tblStyle w:val="14"/>
        <w:tblW w:w="9354" w:type="dxa"/>
        <w:tblInd w:w="0" w:type="dxa"/>
        <w:tblBorders>
          <w:top w:val="single" w:color="B7C9D6" w:sz="2" w:space="0"/>
          <w:left w:val="single" w:color="B7C9D6" w:sz="2" w:space="0"/>
          <w:bottom w:val="single" w:color="B7C9D6" w:sz="2" w:space="0"/>
          <w:right w:val="single" w:color="B7C9D6" w:sz="2" w:space="0"/>
          <w:insideH w:val="single" w:color="B7C9D6" w:sz="2" w:space="0"/>
          <w:insideV w:val="single" w:color="B7C9D6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2275"/>
        <w:gridCol w:w="3408"/>
        <w:gridCol w:w="2171"/>
      </w:tblGrid>
      <w:tr w14:paraId="07FCFAF6">
        <w:tblPrEx>
          <w:tblBorders>
            <w:top w:val="single" w:color="B7C9D6" w:sz="2" w:space="0"/>
            <w:left w:val="single" w:color="B7C9D6" w:sz="2" w:space="0"/>
            <w:bottom w:val="single" w:color="B7C9D6" w:sz="2" w:space="0"/>
            <w:right w:val="single" w:color="B7C9D6" w:sz="2" w:space="0"/>
            <w:insideH w:val="single" w:color="B7C9D6" w:sz="2" w:space="0"/>
            <w:insideV w:val="single" w:color="B7C9D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3408C6">
            <w:pPr>
              <w:spacing w:after="0" w:line="250" w:lineRule="auto"/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7"/>
                <w:szCs w:val="17"/>
              </w:rPr>
              <w:t>规则 ID</w:t>
            </w:r>
          </w:p>
        </w:tc>
        <w:tc>
          <w:tcPr>
            <w:tcW w:w="2275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EF63B">
            <w:pPr>
              <w:spacing w:after="0" w:line="250" w:lineRule="auto"/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7"/>
                <w:szCs w:val="17"/>
              </w:rPr>
              <w:t>核验对象</w:t>
            </w:r>
          </w:p>
        </w:tc>
        <w:tc>
          <w:tcPr>
            <w:tcW w:w="340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817A80">
            <w:pPr>
              <w:spacing w:after="0" w:line="250" w:lineRule="auto"/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7"/>
                <w:szCs w:val="17"/>
              </w:rPr>
              <w:t>技术核验方式</w:t>
            </w:r>
          </w:p>
        </w:tc>
        <w:tc>
          <w:tcPr>
            <w:tcW w:w="2171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711C86">
            <w:pPr>
              <w:spacing w:after="0" w:line="250" w:lineRule="auto"/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7"/>
                <w:szCs w:val="17"/>
              </w:rPr>
              <w:t>未通过处理</w:t>
            </w:r>
          </w:p>
        </w:tc>
      </w:tr>
      <w:tr w14:paraId="41FEF0DF">
        <w:tblPrEx>
          <w:tblBorders>
            <w:top w:val="single" w:color="B7C9D6" w:sz="2" w:space="0"/>
            <w:left w:val="single" w:color="B7C9D6" w:sz="2" w:space="0"/>
            <w:bottom w:val="single" w:color="B7C9D6" w:sz="2" w:space="0"/>
            <w:right w:val="single" w:color="B7C9D6" w:sz="2" w:space="0"/>
            <w:insideH w:val="single" w:color="B7C9D6" w:sz="2" w:space="0"/>
            <w:insideV w:val="single" w:color="B7C9D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0BDA86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PI-POS-001</w:t>
            </w:r>
          </w:p>
        </w:tc>
        <w:tc>
          <w:tcPr>
            <w:tcW w:w="227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4B5CF2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POS 电子表存在且可读取</w:t>
            </w:r>
          </w:p>
        </w:tc>
        <w:tc>
          <w:tcPr>
            <w:tcW w:w="34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3833D0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原生 Excel/CSV 解析，不对电子表截图做 OCR</w:t>
            </w:r>
          </w:p>
        </w:tc>
        <w:tc>
          <w:tcPr>
            <w:tcW w:w="21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CA260D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全局待补件</w:t>
            </w:r>
          </w:p>
        </w:tc>
      </w:tr>
      <w:tr w14:paraId="23EF538F">
        <w:tblPrEx>
          <w:tblBorders>
            <w:top w:val="single" w:color="B7C9D6" w:sz="2" w:space="0"/>
            <w:left w:val="single" w:color="B7C9D6" w:sz="2" w:space="0"/>
            <w:bottom w:val="single" w:color="B7C9D6" w:sz="2" w:space="0"/>
            <w:right w:val="single" w:color="B7C9D6" w:sz="2" w:space="0"/>
            <w:insideH w:val="single" w:color="B7C9D6" w:sz="2" w:space="0"/>
            <w:insideV w:val="single" w:color="B7C9D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2D2960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PI-POS-002</w:t>
            </w:r>
          </w:p>
        </w:tc>
        <w:tc>
          <w:tcPr>
            <w:tcW w:w="2275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97B231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经销商盖章 POS 存在</w:t>
            </w:r>
          </w:p>
        </w:tc>
        <w:tc>
          <w:tcPr>
            <w:tcW w:w="3408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A76B1E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盖章 PDF/图片分类、印章检测与主体比对</w:t>
            </w:r>
          </w:p>
        </w:tc>
        <w:tc>
          <w:tcPr>
            <w:tcW w:w="2171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70028B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全局待补件</w:t>
            </w:r>
          </w:p>
        </w:tc>
      </w:tr>
      <w:tr w14:paraId="48ED71A1">
        <w:tblPrEx>
          <w:tblBorders>
            <w:top w:val="single" w:color="B7C9D6" w:sz="2" w:space="0"/>
            <w:left w:val="single" w:color="B7C9D6" w:sz="2" w:space="0"/>
            <w:bottom w:val="single" w:color="B7C9D6" w:sz="2" w:space="0"/>
            <w:right w:val="single" w:color="B7C9D6" w:sz="2" w:space="0"/>
            <w:insideH w:val="single" w:color="B7C9D6" w:sz="2" w:space="0"/>
            <w:insideV w:val="single" w:color="B7C9D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544DCC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PI-POS-003</w:t>
            </w:r>
          </w:p>
        </w:tc>
        <w:tc>
          <w:tcPr>
            <w:tcW w:w="227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D2A62C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盖章 POS 与电子表一致</w:t>
            </w:r>
          </w:p>
        </w:tc>
        <w:tc>
          <w:tcPr>
            <w:tcW w:w="34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816F31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门店、SKU、数量、金额汇总勾稽</w:t>
            </w:r>
          </w:p>
        </w:tc>
        <w:tc>
          <w:tcPr>
            <w:tcW w:w="21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CD1F00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冲突时人工复核</w:t>
            </w:r>
          </w:p>
        </w:tc>
      </w:tr>
      <w:tr w14:paraId="167B7789">
        <w:tblPrEx>
          <w:tblBorders>
            <w:top w:val="single" w:color="B7C9D6" w:sz="2" w:space="0"/>
            <w:left w:val="single" w:color="B7C9D6" w:sz="2" w:space="0"/>
            <w:bottom w:val="single" w:color="B7C9D6" w:sz="2" w:space="0"/>
            <w:right w:val="single" w:color="B7C9D6" w:sz="2" w:space="0"/>
            <w:insideH w:val="single" w:color="B7C9D6" w:sz="2" w:space="0"/>
            <w:insideV w:val="single" w:color="B7C9D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321130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PI-TIME-001</w:t>
            </w:r>
          </w:p>
        </w:tc>
        <w:tc>
          <w:tcPr>
            <w:tcW w:w="2275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698D5C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POS 销售发生在活动期间</w:t>
            </w:r>
          </w:p>
        </w:tc>
        <w:tc>
          <w:tcPr>
            <w:tcW w:w="3408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20E820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逐行日期解析与活动期间比较</w:t>
            </w:r>
          </w:p>
        </w:tc>
        <w:tc>
          <w:tcPr>
            <w:tcW w:w="2171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3B5CED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期外行剔除并列明金额影响</w:t>
            </w:r>
          </w:p>
        </w:tc>
      </w:tr>
      <w:tr w14:paraId="243741F4">
        <w:tblPrEx>
          <w:tblBorders>
            <w:top w:val="single" w:color="B7C9D6" w:sz="2" w:space="0"/>
            <w:left w:val="single" w:color="B7C9D6" w:sz="2" w:space="0"/>
            <w:bottom w:val="single" w:color="B7C9D6" w:sz="2" w:space="0"/>
            <w:right w:val="single" w:color="B7C9D6" w:sz="2" w:space="0"/>
            <w:insideH w:val="single" w:color="B7C9D6" w:sz="2" w:space="0"/>
            <w:insideV w:val="single" w:color="B7C9D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475A8A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PI-SKU-001</w:t>
            </w:r>
          </w:p>
        </w:tc>
        <w:tc>
          <w:tcPr>
            <w:tcW w:w="227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FEF05F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结算 SKU 与 POS SKU 唯一映射</w:t>
            </w:r>
          </w:p>
        </w:tc>
        <w:tc>
          <w:tcPr>
            <w:tcW w:w="34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1B7E8F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条码优先；商品主数据次之</w:t>
            </w:r>
          </w:p>
        </w:tc>
        <w:tc>
          <w:tcPr>
            <w:tcW w:w="21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7A1594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模糊映射不得自动通过</w:t>
            </w:r>
          </w:p>
        </w:tc>
      </w:tr>
      <w:tr w14:paraId="724B265D">
        <w:tblPrEx>
          <w:tblBorders>
            <w:top w:val="single" w:color="B7C9D6" w:sz="2" w:space="0"/>
            <w:left w:val="single" w:color="B7C9D6" w:sz="2" w:space="0"/>
            <w:bottom w:val="single" w:color="B7C9D6" w:sz="2" w:space="0"/>
            <w:right w:val="single" w:color="B7C9D6" w:sz="2" w:space="0"/>
            <w:insideH w:val="single" w:color="B7C9D6" w:sz="2" w:space="0"/>
            <w:insideV w:val="single" w:color="B7C9D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A20BB1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PI-QTY-001</w:t>
            </w:r>
          </w:p>
        </w:tc>
        <w:tc>
          <w:tcPr>
            <w:tcW w:w="2275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C86DE6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结算数量与 POS 数量一致</w:t>
            </w:r>
          </w:p>
        </w:tc>
        <w:tc>
          <w:tcPr>
            <w:tcW w:w="3408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0558A0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逐 SKU、逐门店程序汇总</w:t>
            </w:r>
          </w:p>
        </w:tc>
        <w:tc>
          <w:tcPr>
            <w:tcW w:w="2171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4C8F85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按较低的已证实数量计算</w:t>
            </w:r>
          </w:p>
        </w:tc>
      </w:tr>
      <w:tr w14:paraId="6358830D">
        <w:tblPrEx>
          <w:tblBorders>
            <w:top w:val="single" w:color="B7C9D6" w:sz="2" w:space="0"/>
            <w:left w:val="single" w:color="B7C9D6" w:sz="2" w:space="0"/>
            <w:bottom w:val="single" w:color="B7C9D6" w:sz="2" w:space="0"/>
            <w:right w:val="single" w:color="B7C9D6" w:sz="2" w:space="0"/>
            <w:insideH w:val="single" w:color="B7C9D6" w:sz="2" w:space="0"/>
            <w:insideV w:val="single" w:color="B7C9D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E28CE2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PI-RATE-001</w:t>
            </w:r>
          </w:p>
        </w:tc>
        <w:tc>
          <w:tcPr>
            <w:tcW w:w="227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84A5C2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奖励单价符合合同</w:t>
            </w:r>
          </w:p>
        </w:tc>
        <w:tc>
          <w:tcPr>
            <w:tcW w:w="34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86DE55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合同条款结构化 + 行级计算</w:t>
            </w:r>
          </w:p>
        </w:tc>
        <w:tc>
          <w:tcPr>
            <w:tcW w:w="21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E69CDE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不一致行暂缓</w:t>
            </w:r>
          </w:p>
        </w:tc>
      </w:tr>
      <w:tr w14:paraId="71D7CAD3">
        <w:tblPrEx>
          <w:tblBorders>
            <w:top w:val="single" w:color="B7C9D6" w:sz="2" w:space="0"/>
            <w:left w:val="single" w:color="B7C9D6" w:sz="2" w:space="0"/>
            <w:bottom w:val="single" w:color="B7C9D6" w:sz="2" w:space="0"/>
            <w:right w:val="single" w:color="B7C9D6" w:sz="2" w:space="0"/>
            <w:insideH w:val="single" w:color="B7C9D6" w:sz="2" w:space="0"/>
            <w:insideV w:val="single" w:color="B7C9D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EE5FA4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PI-SET-001</w:t>
            </w:r>
          </w:p>
        </w:tc>
        <w:tc>
          <w:tcPr>
            <w:tcW w:w="2275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1D8F9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统一模板结算单存在</w:t>
            </w:r>
          </w:p>
        </w:tc>
        <w:tc>
          <w:tcPr>
            <w:tcW w:w="3408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01C3CC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模板注册表匹配</w:t>
            </w:r>
          </w:p>
        </w:tc>
        <w:tc>
          <w:tcPr>
            <w:tcW w:w="2171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CE8350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全局待补件</w:t>
            </w:r>
          </w:p>
        </w:tc>
      </w:tr>
      <w:tr w14:paraId="3390A2EE">
        <w:tblPrEx>
          <w:tblBorders>
            <w:top w:val="single" w:color="B7C9D6" w:sz="2" w:space="0"/>
            <w:left w:val="single" w:color="B7C9D6" w:sz="2" w:space="0"/>
            <w:bottom w:val="single" w:color="B7C9D6" w:sz="2" w:space="0"/>
            <w:right w:val="single" w:color="B7C9D6" w:sz="2" w:space="0"/>
            <w:insideH w:val="single" w:color="B7C9D6" w:sz="2" w:space="0"/>
            <w:insideV w:val="single" w:color="B7C9D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746EBF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PI-SET-002</w:t>
            </w:r>
          </w:p>
        </w:tc>
        <w:tc>
          <w:tcPr>
            <w:tcW w:w="227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280362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结算单有客户盖章</w:t>
            </w:r>
          </w:p>
        </w:tc>
        <w:tc>
          <w:tcPr>
            <w:tcW w:w="34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9B886B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印章检测 + 主体比对</w:t>
            </w:r>
          </w:p>
        </w:tc>
        <w:tc>
          <w:tcPr>
            <w:tcW w:w="21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B54780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全局待补件/人工复核</w:t>
            </w:r>
          </w:p>
        </w:tc>
      </w:tr>
      <w:tr w14:paraId="0669059C">
        <w:tblPrEx>
          <w:tblBorders>
            <w:top w:val="single" w:color="B7C9D6" w:sz="2" w:space="0"/>
            <w:left w:val="single" w:color="B7C9D6" w:sz="2" w:space="0"/>
            <w:bottom w:val="single" w:color="B7C9D6" w:sz="2" w:space="0"/>
            <w:right w:val="single" w:color="B7C9D6" w:sz="2" w:space="0"/>
            <w:insideH w:val="single" w:color="B7C9D6" w:sz="2" w:space="0"/>
            <w:insideV w:val="single" w:color="B7C9D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DF9FC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PI-CON-001</w:t>
            </w:r>
          </w:p>
        </w:tc>
        <w:tc>
          <w:tcPr>
            <w:tcW w:w="2275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2F68DC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签章促销合同存在</w:t>
            </w:r>
          </w:p>
        </w:tc>
        <w:tc>
          <w:tcPr>
            <w:tcW w:w="3408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B8EC5A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合同识别、签章/电子签名核验</w:t>
            </w:r>
          </w:p>
        </w:tc>
        <w:tc>
          <w:tcPr>
            <w:tcW w:w="2171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0A3210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全局待补件</w:t>
            </w:r>
          </w:p>
        </w:tc>
      </w:tr>
      <w:tr w14:paraId="4D2D99D5">
        <w:tblPrEx>
          <w:tblBorders>
            <w:top w:val="single" w:color="B7C9D6" w:sz="2" w:space="0"/>
            <w:left w:val="single" w:color="B7C9D6" w:sz="2" w:space="0"/>
            <w:bottom w:val="single" w:color="B7C9D6" w:sz="2" w:space="0"/>
            <w:right w:val="single" w:color="B7C9D6" w:sz="2" w:space="0"/>
            <w:insideH w:val="single" w:color="B7C9D6" w:sz="2" w:space="0"/>
            <w:insideV w:val="single" w:color="B7C9D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333488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PI-PAY-001</w:t>
            </w:r>
          </w:p>
        </w:tc>
        <w:tc>
          <w:tcPr>
            <w:tcW w:w="227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C2914D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红包/工资打款或批量导出明细存在</w:t>
            </w:r>
          </w:p>
        </w:tc>
        <w:tc>
          <w:tcPr>
            <w:tcW w:w="34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DF39BD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截图卡片检测或结构化明细读取</w:t>
            </w:r>
          </w:p>
        </w:tc>
        <w:tc>
          <w:tcPr>
            <w:tcW w:w="21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5DCC9F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全局待补件</w:t>
            </w:r>
          </w:p>
        </w:tc>
      </w:tr>
      <w:tr w14:paraId="0BF856A2">
        <w:tblPrEx>
          <w:tblBorders>
            <w:top w:val="single" w:color="B7C9D6" w:sz="2" w:space="0"/>
            <w:left w:val="single" w:color="B7C9D6" w:sz="2" w:space="0"/>
            <w:bottom w:val="single" w:color="B7C9D6" w:sz="2" w:space="0"/>
            <w:right w:val="single" w:color="B7C9D6" w:sz="2" w:space="0"/>
            <w:insideH w:val="single" w:color="B7C9D6" w:sz="2" w:space="0"/>
            <w:insideV w:val="single" w:color="B7C9D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58AF9D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PI-PAY-002</w:t>
            </w:r>
          </w:p>
        </w:tc>
        <w:tc>
          <w:tcPr>
            <w:tcW w:w="2275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080DDA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发放主体含本公司名称</w:t>
            </w:r>
          </w:p>
        </w:tc>
        <w:tc>
          <w:tcPr>
            <w:tcW w:w="3408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D3B6CD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付款主体字段识别并与公司主数据精确/别名匹配</w:t>
            </w:r>
          </w:p>
        </w:tc>
        <w:tc>
          <w:tcPr>
            <w:tcW w:w="2171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FF01D1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缺失时不得以群名或文件名替代</w:t>
            </w:r>
          </w:p>
        </w:tc>
      </w:tr>
      <w:tr w14:paraId="246421C6">
        <w:tblPrEx>
          <w:tblBorders>
            <w:top w:val="single" w:color="B7C9D6" w:sz="2" w:space="0"/>
            <w:left w:val="single" w:color="B7C9D6" w:sz="2" w:space="0"/>
            <w:bottom w:val="single" w:color="B7C9D6" w:sz="2" w:space="0"/>
            <w:right w:val="single" w:color="B7C9D6" w:sz="2" w:space="0"/>
            <w:insideH w:val="single" w:color="B7C9D6" w:sz="2" w:space="0"/>
            <w:insideV w:val="single" w:color="B7C9D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774035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PI-PAY-003</w:t>
            </w:r>
          </w:p>
        </w:tc>
        <w:tc>
          <w:tcPr>
            <w:tcW w:w="227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C0F9BF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发放状态有效</w:t>
            </w:r>
          </w:p>
        </w:tc>
        <w:tc>
          <w:tcPr>
            <w:tcW w:w="34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796246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识别“已接收/已收款/成功”等状态</w:t>
            </w:r>
          </w:p>
        </w:tc>
        <w:tc>
          <w:tcPr>
            <w:tcW w:w="21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1DC83E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失败、撤回或未知记录不计入</w:t>
            </w:r>
          </w:p>
        </w:tc>
      </w:tr>
      <w:tr w14:paraId="516CA39E">
        <w:tblPrEx>
          <w:tblBorders>
            <w:top w:val="single" w:color="B7C9D6" w:sz="2" w:space="0"/>
            <w:left w:val="single" w:color="B7C9D6" w:sz="2" w:space="0"/>
            <w:bottom w:val="single" w:color="B7C9D6" w:sz="2" w:space="0"/>
            <w:right w:val="single" w:color="B7C9D6" w:sz="2" w:space="0"/>
            <w:insideH w:val="single" w:color="B7C9D6" w:sz="2" w:space="0"/>
            <w:insideV w:val="single" w:color="B7C9D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E91C13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PI-PAY-004</w:t>
            </w:r>
          </w:p>
        </w:tc>
        <w:tc>
          <w:tcPr>
            <w:tcW w:w="2275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ED70D8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发放时间在活动期间内</w:t>
            </w:r>
          </w:p>
        </w:tc>
        <w:tc>
          <w:tcPr>
            <w:tcW w:w="3408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04B40D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逐笔交易日期与活动期间比较</w:t>
            </w:r>
          </w:p>
        </w:tc>
        <w:tc>
          <w:tcPr>
            <w:tcW w:w="2171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A71BEC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顶部手机时间或聊天分隔时间不作为交易日期</w:t>
            </w:r>
          </w:p>
        </w:tc>
      </w:tr>
      <w:tr w14:paraId="58A1D8F3">
        <w:tblPrEx>
          <w:tblBorders>
            <w:top w:val="single" w:color="B7C9D6" w:sz="2" w:space="0"/>
            <w:left w:val="single" w:color="B7C9D6" w:sz="2" w:space="0"/>
            <w:bottom w:val="single" w:color="B7C9D6" w:sz="2" w:space="0"/>
            <w:right w:val="single" w:color="B7C9D6" w:sz="2" w:space="0"/>
            <w:insideH w:val="single" w:color="B7C9D6" w:sz="2" w:space="0"/>
            <w:insideV w:val="single" w:color="B7C9D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108C1D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PI-PAY-005</w:t>
            </w:r>
          </w:p>
        </w:tc>
        <w:tc>
          <w:tcPr>
            <w:tcW w:w="227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E35679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发放记录唯一且可追踪</w:t>
            </w:r>
          </w:p>
        </w:tc>
        <w:tc>
          <w:tcPr>
            <w:tcW w:w="34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116BA2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交易单号优先；组合键和截图配对仅作辅助</w:t>
            </w:r>
          </w:p>
        </w:tc>
        <w:tc>
          <w:tcPr>
            <w:tcW w:w="21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B66C93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无交易唯一标识时转人工</w:t>
            </w:r>
          </w:p>
        </w:tc>
      </w:tr>
      <w:tr w14:paraId="2C1BE26D">
        <w:tblPrEx>
          <w:tblBorders>
            <w:top w:val="single" w:color="B7C9D6" w:sz="2" w:space="0"/>
            <w:left w:val="single" w:color="B7C9D6" w:sz="2" w:space="0"/>
            <w:bottom w:val="single" w:color="B7C9D6" w:sz="2" w:space="0"/>
            <w:right w:val="single" w:color="B7C9D6" w:sz="2" w:space="0"/>
            <w:insideH w:val="single" w:color="B7C9D6" w:sz="2" w:space="0"/>
            <w:insideV w:val="single" w:color="B7C9D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390436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PI-PAY-006</w:t>
            </w:r>
          </w:p>
        </w:tc>
        <w:tc>
          <w:tcPr>
            <w:tcW w:w="2275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5A85B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全部发放明细合计等于核销金额</w:t>
            </w:r>
          </w:p>
        </w:tc>
        <w:tc>
          <w:tcPr>
            <w:tcW w:w="3408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6BFFA0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去重后逐笔程序求和</w:t>
            </w:r>
          </w:p>
        </w:tc>
        <w:tc>
          <w:tcPr>
            <w:tcW w:w="2171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8BC0F4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不一致时按较低证据金额暂缓差额</w:t>
            </w:r>
          </w:p>
        </w:tc>
      </w:tr>
      <w:tr w14:paraId="395137D2">
        <w:tblPrEx>
          <w:tblBorders>
            <w:top w:val="single" w:color="B7C9D6" w:sz="2" w:space="0"/>
            <w:left w:val="single" w:color="B7C9D6" w:sz="2" w:space="0"/>
            <w:bottom w:val="single" w:color="B7C9D6" w:sz="2" w:space="0"/>
            <w:right w:val="single" w:color="B7C9D6" w:sz="2" w:space="0"/>
            <w:insideH w:val="single" w:color="B7C9D6" w:sz="2" w:space="0"/>
            <w:insideV w:val="single" w:color="B7C9D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D5553F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PI-DAY-001</w:t>
            </w:r>
          </w:p>
        </w:tc>
        <w:tc>
          <w:tcPr>
            <w:tcW w:w="227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F96C8F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日结材料（条件规则）</w:t>
            </w:r>
          </w:p>
        </w:tc>
        <w:tc>
          <w:tcPr>
            <w:tcW w:w="34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8F81D4">
            <w:pPr>
              <w:spacing w:after="0" w:line="250" w:lineRule="auto"/>
              <w:jc w:val="left"/>
            </w:pPr>
            <w:r>
              <w:rPr>
                <w:rFonts w:ascii="Consolas" w:hAnsi="Consolas" w:eastAsia="微软雅黑"/>
                <w:color w:val="17365D"/>
                <w:sz w:val="17"/>
                <w:szCs w:val="17"/>
                <w:shd w:val="clear" w:fill="E8EEF3"/>
              </w:rPr>
              <w:t>settlement_mode=daily</w:t>
            </w: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 xml:space="preserve"> 时要求现场照与工资打款凭证</w:t>
            </w:r>
          </w:p>
        </w:tc>
        <w:tc>
          <w:tcPr>
            <w:tcW w:w="21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79D82D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7"/>
                <w:szCs w:val="17"/>
              </w:rPr>
              <w:t>条件触发但缺失则待补件</w:t>
            </w:r>
          </w:p>
        </w:tc>
      </w:tr>
    </w:tbl>
    <w:p w14:paraId="2F058E94">
      <w:pPr>
        <w:spacing w:after="90"/>
      </w:pPr>
    </w:p>
    <w:p w14:paraId="4FB26D8F">
      <w:pPr>
        <w:keepNext w:val="0"/>
        <w:spacing w:before="0" w:after="110" w:line="330" w:lineRule="auto"/>
        <w:ind w:firstLine="420"/>
        <w:jc w:val="both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人员激励支持金额按证据上限计算：</w:t>
      </w:r>
    </w:p>
    <w:p w14:paraId="04669B5A">
      <w:pPr>
        <w:pBdr>
          <w:top w:val="single" w:color="D8DEE5" w:sz="2" w:space="3"/>
          <w:left w:val="single" w:color="2F75B5" w:sz="10" w:space="6"/>
          <w:bottom w:val="single" w:color="D8DEE5" w:sz="2" w:space="3"/>
          <w:right w:val="single" w:color="D8DEE5" w:sz="2" w:space="3"/>
        </w:pBdr>
        <w:shd w:val="clear" w:fill="F3F5F7"/>
        <w:spacing w:before="80" w:after="150" w:line="260" w:lineRule="auto"/>
        <w:ind w:left="260" w:right="180"/>
      </w:pPr>
      <w:r>
        <w:rPr>
          <w:rFonts w:ascii="Consolas" w:hAnsi="Consolas" w:eastAsia="微软雅黑"/>
          <w:color w:val="243447"/>
          <w:sz w:val="17"/>
          <w:szCs w:val="17"/>
        </w:rPr>
        <w:t>pos_supported_reward = Σ(min(POS合格数量, 结算数量) × 合同奖励单价)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>valid_payment_total  = Σ(去重后、主体有效、状态有效、日期有效的发放金额)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>case_supported_amount = min(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 xml:space="preserve">  claimed_amount,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 xml:space="preserve">  settlement_amount,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 xml:space="preserve">  pos_supported_reward,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 xml:space="preserve">  valid_payment_total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>)</w:t>
      </w:r>
    </w:p>
    <w:p w14:paraId="2C9DFB14">
      <w:pPr>
        <w:keepNext w:val="0"/>
        <w:spacing w:before="0" w:after="110" w:line="330" w:lineRule="auto"/>
        <w:ind w:firstLine="420"/>
        <w:jc w:val="both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盖章 POS、统一结算单、签章合同和有效付款主体均属于全局硬门槛。缺少其中任一项时，不得因为 POS、结算单和截图总金额相同而输出通过建议。</w:t>
      </w:r>
    </w:p>
    <w:p w14:paraId="7EE609C4">
      <w:pPr>
        <w:pStyle w:val="3"/>
        <w:keepNext/>
        <w:spacing w:before="220" w:after="110"/>
      </w:pPr>
      <w:bookmarkStart w:id="8" w:name="_Toc26484"/>
      <w:r>
        <w:rPr>
          <w:rFonts w:ascii="Arial" w:hAnsi="Arial" w:eastAsia="微软雅黑"/>
          <w:b/>
          <w:bCs/>
          <w:color w:val="1F4E78"/>
          <w:sz w:val="27"/>
          <w:szCs w:val="27"/>
        </w:rPr>
        <w:t>4. 总体技术架构</w:t>
      </w:r>
      <w:bookmarkEnd w:id="8"/>
    </w:p>
    <w:p w14:paraId="4FD2BCFF">
      <w:pPr>
        <w:pStyle w:val="4"/>
        <w:keepNext/>
        <w:spacing w:before="170" w:after="90"/>
      </w:pPr>
      <w:bookmarkStart w:id="9" w:name="_Toc25745"/>
      <w:r>
        <w:rPr>
          <w:rFonts w:ascii="Arial" w:hAnsi="Arial" w:eastAsia="微软雅黑"/>
          <w:b/>
          <w:bCs/>
          <w:color w:val="2F75B5"/>
          <w:sz w:val="23"/>
          <w:szCs w:val="23"/>
        </w:rPr>
        <w:t>4.1 逻辑链路</w:t>
      </w:r>
      <w:bookmarkEnd w:id="9"/>
    </w:p>
    <w:p w14:paraId="673B1AF3">
      <w:pPr>
        <w:pBdr>
          <w:top w:val="single" w:color="D8DEE5" w:sz="2" w:space="3"/>
          <w:left w:val="single" w:color="2F75B5" w:sz="10" w:space="6"/>
          <w:bottom w:val="single" w:color="D8DEE5" w:sz="2" w:space="3"/>
          <w:right w:val="single" w:color="D8DEE5" w:sz="2" w:space="3"/>
        </w:pBdr>
        <w:shd w:val="clear" w:fill="F3F5F7"/>
        <w:spacing w:before="80" w:after="150" w:line="260" w:lineRule="auto"/>
        <w:ind w:left="260" w:right="180"/>
      </w:pPr>
      <w:r>
        <w:rPr>
          <w:rFonts w:ascii="Consolas" w:hAnsi="Consolas" w:eastAsia="微软雅黑"/>
          <w:color w:val="243447"/>
          <w:sz w:val="17"/>
          <w:szCs w:val="17"/>
        </w:rPr>
        <w:t>勤策/钉钉/H5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 xml:space="preserve">    → 接入网关与文件归集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 xml:space="preserve">    → 材料分类与质量预检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 xml:space="preserve">    → OCR/文档理解/现场视觉识别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 xml:space="preserve">    → 统一证据模型与证据仓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 xml:space="preserve">    → 确定性规则引擎与金额引擎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 xml:space="preserve">    → Agent 最终判断与补件说明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 xml:space="preserve">    → Decision Guard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 xml:space="preserve">    → H5 人工复核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 xml:space="preserve">    → 勤策状态回写与审计归档</w:t>
      </w:r>
    </w:p>
    <w:p w14:paraId="1CF4341E">
      <w:pPr>
        <w:pStyle w:val="4"/>
        <w:keepNext/>
        <w:spacing w:before="170" w:after="90"/>
      </w:pPr>
      <w:bookmarkStart w:id="10" w:name="_Toc19185"/>
      <w:r>
        <w:rPr>
          <w:rFonts w:ascii="Arial" w:hAnsi="Arial" w:eastAsia="微软雅黑"/>
          <w:b/>
          <w:bCs/>
          <w:color w:val="2F75B5"/>
          <w:sz w:val="23"/>
          <w:szCs w:val="23"/>
        </w:rPr>
        <w:t>4.2 核心组件</w:t>
      </w:r>
      <w:bookmarkEnd w:id="10"/>
    </w:p>
    <w:tbl>
      <w:tblPr>
        <w:tblStyle w:val="14"/>
        <w:tblW w:w="9354" w:type="dxa"/>
        <w:tblInd w:w="0" w:type="dxa"/>
        <w:tblBorders>
          <w:top w:val="single" w:color="B7C9D6" w:sz="2" w:space="0"/>
          <w:left w:val="single" w:color="B7C9D6" w:sz="2" w:space="0"/>
          <w:bottom w:val="single" w:color="B7C9D6" w:sz="2" w:space="0"/>
          <w:right w:val="single" w:color="B7C9D6" w:sz="2" w:space="0"/>
          <w:insideH w:val="single" w:color="B7C9D6" w:sz="2" w:space="0"/>
          <w:insideV w:val="single" w:color="B7C9D6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52"/>
        <w:gridCol w:w="4048"/>
        <w:gridCol w:w="2654"/>
      </w:tblGrid>
      <w:tr w14:paraId="5202BE06">
        <w:tblPrEx>
          <w:tblBorders>
            <w:top w:val="single" w:color="B7C9D6" w:sz="2" w:space="0"/>
            <w:left w:val="single" w:color="B7C9D6" w:sz="2" w:space="0"/>
            <w:bottom w:val="single" w:color="B7C9D6" w:sz="2" w:space="0"/>
            <w:right w:val="single" w:color="B7C9D6" w:sz="2" w:space="0"/>
            <w:insideH w:val="single" w:color="B7C9D6" w:sz="2" w:space="0"/>
            <w:insideV w:val="single" w:color="B7C9D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652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4F99A4">
            <w:pPr>
              <w:spacing w:after="0" w:line="250" w:lineRule="auto"/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8"/>
                <w:szCs w:val="18"/>
              </w:rPr>
              <w:t>组件</w:t>
            </w:r>
          </w:p>
        </w:tc>
        <w:tc>
          <w:tcPr>
            <w:tcW w:w="404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6C4807">
            <w:pPr>
              <w:spacing w:after="0" w:line="250" w:lineRule="auto"/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8"/>
                <w:szCs w:val="18"/>
              </w:rPr>
              <w:t>技术职责</w:t>
            </w:r>
          </w:p>
        </w:tc>
        <w:tc>
          <w:tcPr>
            <w:tcW w:w="265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C00EAA">
            <w:pPr>
              <w:spacing w:after="0" w:line="250" w:lineRule="auto"/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8"/>
                <w:szCs w:val="18"/>
              </w:rPr>
              <w:t>关键输出</w:t>
            </w:r>
          </w:p>
        </w:tc>
      </w:tr>
      <w:tr w14:paraId="7C67CBCF">
        <w:tblPrEx>
          <w:tblBorders>
            <w:top w:val="single" w:color="B7C9D6" w:sz="2" w:space="0"/>
            <w:left w:val="single" w:color="B7C9D6" w:sz="2" w:space="0"/>
            <w:bottom w:val="single" w:color="B7C9D6" w:sz="2" w:space="0"/>
            <w:right w:val="single" w:color="B7C9D6" w:sz="2" w:space="0"/>
            <w:insideH w:val="single" w:color="B7C9D6" w:sz="2" w:space="0"/>
            <w:insideV w:val="single" w:color="B7C9D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EC5FDF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8"/>
                <w:szCs w:val="18"/>
              </w:rPr>
              <w:t>API Gateway</w:t>
            </w:r>
          </w:p>
        </w:tc>
        <w:tc>
          <w:tcPr>
            <w:tcW w:w="40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A661FF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8"/>
                <w:szCs w:val="18"/>
              </w:rPr>
              <w:t>鉴权、限流、幂等、回调验签</w:t>
            </w:r>
          </w:p>
        </w:tc>
        <w:tc>
          <w:tcPr>
            <w:tcW w:w="265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A73974">
            <w:pPr>
              <w:spacing w:after="0" w:line="250" w:lineRule="auto"/>
              <w:jc w:val="left"/>
            </w:pPr>
            <w:r>
              <w:rPr>
                <w:rFonts w:ascii="Consolas" w:hAnsi="Consolas" w:eastAsia="微软雅黑"/>
                <w:color w:val="17365D"/>
                <w:sz w:val="17"/>
                <w:szCs w:val="17"/>
                <w:shd w:val="clear" w:fill="E8EEF3"/>
              </w:rPr>
              <w:t>case_id</w:t>
            </w:r>
            <w:r>
              <w:rPr>
                <w:rFonts w:ascii="Arial" w:hAnsi="Arial" w:eastAsia="微软雅黑"/>
                <w:b w:val="0"/>
                <w:bCs w:val="0"/>
                <w:color w:val="1F2937"/>
                <w:sz w:val="18"/>
                <w:szCs w:val="18"/>
              </w:rPr>
              <w:t>、接收回执</w:t>
            </w:r>
          </w:p>
        </w:tc>
      </w:tr>
      <w:tr w14:paraId="7D9743B7">
        <w:tblPrEx>
          <w:tblBorders>
            <w:top w:val="single" w:color="B7C9D6" w:sz="2" w:space="0"/>
            <w:left w:val="single" w:color="B7C9D6" w:sz="2" w:space="0"/>
            <w:bottom w:val="single" w:color="B7C9D6" w:sz="2" w:space="0"/>
            <w:right w:val="single" w:color="B7C9D6" w:sz="2" w:space="0"/>
            <w:insideH w:val="single" w:color="B7C9D6" w:sz="2" w:space="0"/>
            <w:insideV w:val="single" w:color="B7C9D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52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1FB315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8"/>
                <w:szCs w:val="18"/>
              </w:rPr>
              <w:t>Intake Service</w:t>
            </w:r>
          </w:p>
        </w:tc>
        <w:tc>
          <w:tcPr>
            <w:tcW w:w="4048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16C681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8"/>
                <w:szCs w:val="18"/>
              </w:rPr>
              <w:t>ZIP 安全解压、MIME 检测、哈希、病毒扫描、对象存储</w:t>
            </w:r>
          </w:p>
        </w:tc>
        <w:tc>
          <w:tcPr>
            <w:tcW w:w="2654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12FC04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8"/>
                <w:szCs w:val="18"/>
              </w:rPr>
              <w:t>文件清单、SHA-256</w:t>
            </w:r>
          </w:p>
        </w:tc>
      </w:tr>
      <w:tr w14:paraId="12780BB5">
        <w:tblPrEx>
          <w:tblBorders>
            <w:top w:val="single" w:color="B7C9D6" w:sz="2" w:space="0"/>
            <w:left w:val="single" w:color="B7C9D6" w:sz="2" w:space="0"/>
            <w:bottom w:val="single" w:color="B7C9D6" w:sz="2" w:space="0"/>
            <w:right w:val="single" w:color="B7C9D6" w:sz="2" w:space="0"/>
            <w:insideH w:val="single" w:color="B7C9D6" w:sz="2" w:space="0"/>
            <w:insideV w:val="single" w:color="B7C9D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226B28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8"/>
                <w:szCs w:val="18"/>
              </w:rPr>
              <w:t>Material Router</w:t>
            </w:r>
          </w:p>
        </w:tc>
        <w:tc>
          <w:tcPr>
            <w:tcW w:w="40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CFE805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8"/>
                <w:szCs w:val="18"/>
              </w:rPr>
              <w:t>文件分类、场景分类、材料完整性初检</w:t>
            </w:r>
          </w:p>
        </w:tc>
        <w:tc>
          <w:tcPr>
            <w:tcW w:w="265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A5AF4A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8"/>
                <w:szCs w:val="18"/>
              </w:rPr>
              <w:t>材料类型、缺件清单</w:t>
            </w:r>
          </w:p>
        </w:tc>
      </w:tr>
      <w:tr w14:paraId="47D1BEC4">
        <w:tblPrEx>
          <w:tblBorders>
            <w:top w:val="single" w:color="B7C9D6" w:sz="2" w:space="0"/>
            <w:left w:val="single" w:color="B7C9D6" w:sz="2" w:space="0"/>
            <w:bottom w:val="single" w:color="B7C9D6" w:sz="2" w:space="0"/>
            <w:right w:val="single" w:color="B7C9D6" w:sz="2" w:space="0"/>
            <w:insideH w:val="single" w:color="B7C9D6" w:sz="2" w:space="0"/>
            <w:insideV w:val="single" w:color="B7C9D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52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87503D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8"/>
                <w:szCs w:val="18"/>
              </w:rPr>
              <w:t>OCR Service</w:t>
            </w:r>
          </w:p>
        </w:tc>
        <w:tc>
          <w:tcPr>
            <w:tcW w:w="4048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319BA4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8"/>
                <w:szCs w:val="18"/>
              </w:rPr>
              <w:t>文档纠偏、版面分析、文字/表格/印章识别</w:t>
            </w:r>
          </w:p>
        </w:tc>
        <w:tc>
          <w:tcPr>
            <w:tcW w:w="2654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B7967A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8"/>
                <w:szCs w:val="18"/>
              </w:rPr>
              <w:t>字段级证据 JSON</w:t>
            </w:r>
          </w:p>
        </w:tc>
      </w:tr>
      <w:tr w14:paraId="308494FC">
        <w:tblPrEx>
          <w:tblBorders>
            <w:top w:val="single" w:color="B7C9D6" w:sz="2" w:space="0"/>
            <w:left w:val="single" w:color="B7C9D6" w:sz="2" w:space="0"/>
            <w:bottom w:val="single" w:color="B7C9D6" w:sz="2" w:space="0"/>
            <w:right w:val="single" w:color="B7C9D6" w:sz="2" w:space="0"/>
            <w:insideH w:val="single" w:color="B7C9D6" w:sz="2" w:space="0"/>
            <w:insideV w:val="single" w:color="B7C9D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32498E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8"/>
                <w:szCs w:val="18"/>
              </w:rPr>
              <w:t>Vision Service</w:t>
            </w:r>
          </w:p>
        </w:tc>
        <w:tc>
          <w:tcPr>
            <w:tcW w:w="40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6874CC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8"/>
                <w:szCs w:val="18"/>
              </w:rPr>
              <w:t>水印、门店、商品、促销物料、陈列全貌、重复风险识别</w:t>
            </w:r>
          </w:p>
        </w:tc>
        <w:tc>
          <w:tcPr>
            <w:tcW w:w="265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4EBE32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8"/>
                <w:szCs w:val="18"/>
              </w:rPr>
              <w:t>照片级证据 JSON</w:t>
            </w:r>
          </w:p>
        </w:tc>
      </w:tr>
      <w:tr w14:paraId="72B0724C">
        <w:tblPrEx>
          <w:tblBorders>
            <w:top w:val="single" w:color="B7C9D6" w:sz="2" w:space="0"/>
            <w:left w:val="single" w:color="B7C9D6" w:sz="2" w:space="0"/>
            <w:bottom w:val="single" w:color="B7C9D6" w:sz="2" w:space="0"/>
            <w:right w:val="single" w:color="B7C9D6" w:sz="2" w:space="0"/>
            <w:insideH w:val="single" w:color="B7C9D6" w:sz="2" w:space="0"/>
            <w:insideV w:val="single" w:color="B7C9D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52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9BCE13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8"/>
                <w:szCs w:val="18"/>
              </w:rPr>
              <w:t>Spreadsheet Parser</w:t>
            </w:r>
          </w:p>
        </w:tc>
        <w:tc>
          <w:tcPr>
            <w:tcW w:w="4048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0A77D4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8"/>
                <w:szCs w:val="18"/>
              </w:rPr>
              <w:t>原生读取 Excel/CSV，保留公式、行号和原始值</w:t>
            </w:r>
          </w:p>
        </w:tc>
        <w:tc>
          <w:tcPr>
            <w:tcW w:w="2654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46954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8"/>
                <w:szCs w:val="18"/>
              </w:rPr>
              <w:t>POS/销售明细 JSON</w:t>
            </w:r>
          </w:p>
        </w:tc>
      </w:tr>
      <w:tr w14:paraId="24847039">
        <w:tblPrEx>
          <w:tblBorders>
            <w:top w:val="single" w:color="B7C9D6" w:sz="2" w:space="0"/>
            <w:left w:val="single" w:color="B7C9D6" w:sz="2" w:space="0"/>
            <w:bottom w:val="single" w:color="B7C9D6" w:sz="2" w:space="0"/>
            <w:right w:val="single" w:color="B7C9D6" w:sz="2" w:space="0"/>
            <w:insideH w:val="single" w:color="B7C9D6" w:sz="2" w:space="0"/>
            <w:insideV w:val="single" w:color="B7C9D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71F071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8"/>
                <w:szCs w:val="18"/>
              </w:rPr>
              <w:t>Evidence Store</w:t>
            </w:r>
          </w:p>
        </w:tc>
        <w:tc>
          <w:tcPr>
            <w:tcW w:w="40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67CA44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8"/>
                <w:szCs w:val="18"/>
              </w:rPr>
              <w:t>字段、证据框、页码、行号、哈希、版本关系</w:t>
            </w:r>
          </w:p>
        </w:tc>
        <w:tc>
          <w:tcPr>
            <w:tcW w:w="265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D09BEA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8"/>
                <w:szCs w:val="18"/>
              </w:rPr>
              <w:t>可追溯证据链</w:t>
            </w:r>
          </w:p>
        </w:tc>
      </w:tr>
      <w:tr w14:paraId="08DD25DF">
        <w:tblPrEx>
          <w:tblBorders>
            <w:top w:val="single" w:color="B7C9D6" w:sz="2" w:space="0"/>
            <w:left w:val="single" w:color="B7C9D6" w:sz="2" w:space="0"/>
            <w:bottom w:val="single" w:color="B7C9D6" w:sz="2" w:space="0"/>
            <w:right w:val="single" w:color="B7C9D6" w:sz="2" w:space="0"/>
            <w:insideH w:val="single" w:color="B7C9D6" w:sz="2" w:space="0"/>
            <w:insideV w:val="single" w:color="B7C9D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52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ADD43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8"/>
                <w:szCs w:val="18"/>
              </w:rPr>
              <w:t>Rule Engine</w:t>
            </w:r>
          </w:p>
        </w:tc>
        <w:tc>
          <w:tcPr>
            <w:tcW w:w="4048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CF27F0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8"/>
                <w:szCs w:val="18"/>
              </w:rPr>
              <w:t>硬规则、条件规则、逐项金额计算</w:t>
            </w:r>
          </w:p>
        </w:tc>
        <w:tc>
          <w:tcPr>
            <w:tcW w:w="2654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C77BB">
            <w:pPr>
              <w:spacing w:after="0" w:line="250" w:lineRule="auto"/>
              <w:jc w:val="left"/>
            </w:pPr>
            <w:r>
              <w:rPr>
                <w:rFonts w:ascii="Consolas" w:hAnsi="Consolas" w:eastAsia="微软雅黑"/>
                <w:color w:val="17365D"/>
                <w:sz w:val="17"/>
                <w:szCs w:val="17"/>
                <w:shd w:val="clear" w:fill="E8EEF3"/>
              </w:rPr>
              <w:t>rule_result[]</w:t>
            </w:r>
            <w:r>
              <w:rPr>
                <w:rFonts w:ascii="Arial" w:hAnsi="Arial" w:eastAsia="微软雅黑"/>
                <w:b w:val="0"/>
                <w:bCs w:val="0"/>
                <w:color w:val="1F2937"/>
                <w:sz w:val="18"/>
                <w:szCs w:val="18"/>
              </w:rPr>
              <w:t>、支持金额</w:t>
            </w:r>
          </w:p>
        </w:tc>
      </w:tr>
      <w:tr w14:paraId="0A9AC8DC">
        <w:tblPrEx>
          <w:tblBorders>
            <w:top w:val="single" w:color="B7C9D6" w:sz="2" w:space="0"/>
            <w:left w:val="single" w:color="B7C9D6" w:sz="2" w:space="0"/>
            <w:bottom w:val="single" w:color="B7C9D6" w:sz="2" w:space="0"/>
            <w:right w:val="single" w:color="B7C9D6" w:sz="2" w:space="0"/>
            <w:insideH w:val="single" w:color="B7C9D6" w:sz="2" w:space="0"/>
            <w:insideV w:val="single" w:color="B7C9D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D95E58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8"/>
                <w:szCs w:val="18"/>
              </w:rPr>
              <w:t>Judgment Agent</w:t>
            </w:r>
          </w:p>
        </w:tc>
        <w:tc>
          <w:tcPr>
            <w:tcW w:w="40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4DB6AA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8"/>
                <w:szCs w:val="18"/>
              </w:rPr>
              <w:t>汇总机器结论、形成最终建议、生成补件说明</w:t>
            </w:r>
          </w:p>
        </w:tc>
        <w:tc>
          <w:tcPr>
            <w:tcW w:w="265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AF7C1C">
            <w:pPr>
              <w:spacing w:after="0" w:line="250" w:lineRule="auto"/>
              <w:jc w:val="left"/>
            </w:pPr>
            <w:r>
              <w:rPr>
                <w:rFonts w:ascii="Consolas" w:hAnsi="Consolas" w:eastAsia="微软雅黑"/>
                <w:color w:val="17365D"/>
                <w:sz w:val="17"/>
                <w:szCs w:val="17"/>
                <w:shd w:val="clear" w:fill="E8EEF3"/>
              </w:rPr>
              <w:t>audit_decision.json</w:t>
            </w:r>
          </w:p>
        </w:tc>
      </w:tr>
      <w:tr w14:paraId="07EA42A7">
        <w:tblPrEx>
          <w:tblBorders>
            <w:top w:val="single" w:color="B7C9D6" w:sz="2" w:space="0"/>
            <w:left w:val="single" w:color="B7C9D6" w:sz="2" w:space="0"/>
            <w:bottom w:val="single" w:color="B7C9D6" w:sz="2" w:space="0"/>
            <w:right w:val="single" w:color="B7C9D6" w:sz="2" w:space="0"/>
            <w:insideH w:val="single" w:color="B7C9D6" w:sz="2" w:space="0"/>
            <w:insideV w:val="single" w:color="B7C9D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52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5192BD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8"/>
                <w:szCs w:val="18"/>
              </w:rPr>
              <w:t>Decision Guard</w:t>
            </w:r>
          </w:p>
        </w:tc>
        <w:tc>
          <w:tcPr>
            <w:tcW w:w="4048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776D8E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8"/>
                <w:szCs w:val="18"/>
              </w:rPr>
              <w:t>校验状态、金额上限、证据引用和硬门槛</w:t>
            </w:r>
          </w:p>
        </w:tc>
        <w:tc>
          <w:tcPr>
            <w:tcW w:w="2654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B0B9F7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8"/>
                <w:szCs w:val="18"/>
              </w:rPr>
              <w:t>可发布审核建议</w:t>
            </w:r>
          </w:p>
        </w:tc>
      </w:tr>
      <w:tr w14:paraId="69934E59">
        <w:tblPrEx>
          <w:tblBorders>
            <w:top w:val="single" w:color="B7C9D6" w:sz="2" w:space="0"/>
            <w:left w:val="single" w:color="B7C9D6" w:sz="2" w:space="0"/>
            <w:bottom w:val="single" w:color="B7C9D6" w:sz="2" w:space="0"/>
            <w:right w:val="single" w:color="B7C9D6" w:sz="2" w:space="0"/>
            <w:insideH w:val="single" w:color="B7C9D6" w:sz="2" w:space="0"/>
            <w:insideV w:val="single" w:color="B7C9D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45919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8"/>
                <w:szCs w:val="18"/>
              </w:rPr>
              <w:t>Review H5</w:t>
            </w:r>
          </w:p>
        </w:tc>
        <w:tc>
          <w:tcPr>
            <w:tcW w:w="40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29C779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8"/>
                <w:szCs w:val="18"/>
              </w:rPr>
              <w:t>原件预览、证据定位、通过/驳回/补件</w:t>
            </w:r>
          </w:p>
        </w:tc>
        <w:tc>
          <w:tcPr>
            <w:tcW w:w="265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E1AA01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8"/>
                <w:szCs w:val="18"/>
              </w:rPr>
              <w:t>人工审批记录</w:t>
            </w:r>
          </w:p>
        </w:tc>
      </w:tr>
      <w:tr w14:paraId="43DAA551">
        <w:tblPrEx>
          <w:tblBorders>
            <w:top w:val="single" w:color="B7C9D6" w:sz="2" w:space="0"/>
            <w:left w:val="single" w:color="B7C9D6" w:sz="2" w:space="0"/>
            <w:bottom w:val="single" w:color="B7C9D6" w:sz="2" w:space="0"/>
            <w:right w:val="single" w:color="B7C9D6" w:sz="2" w:space="0"/>
            <w:insideH w:val="single" w:color="B7C9D6" w:sz="2" w:space="0"/>
            <w:insideV w:val="single" w:color="B7C9D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52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C8E7E9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8"/>
                <w:szCs w:val="18"/>
              </w:rPr>
              <w:t>Integration Adapter</w:t>
            </w:r>
          </w:p>
        </w:tc>
        <w:tc>
          <w:tcPr>
            <w:tcW w:w="4048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13FD7A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8"/>
                <w:szCs w:val="18"/>
              </w:rPr>
              <w:t>勤策、钉钉、对象存储及通知适配</w:t>
            </w:r>
          </w:p>
        </w:tc>
        <w:tc>
          <w:tcPr>
            <w:tcW w:w="2654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8FA1BC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8"/>
                <w:szCs w:val="18"/>
              </w:rPr>
              <w:t>状态回写、群通知</w:t>
            </w:r>
          </w:p>
        </w:tc>
      </w:tr>
    </w:tbl>
    <w:p w14:paraId="65588419">
      <w:pPr>
        <w:spacing w:after="90"/>
      </w:pPr>
    </w:p>
    <w:p w14:paraId="152ACBCF">
      <w:pPr>
        <w:pStyle w:val="4"/>
        <w:keepNext/>
        <w:spacing w:before="170" w:after="90"/>
      </w:pPr>
      <w:bookmarkStart w:id="11" w:name="_Toc16215"/>
      <w:r>
        <w:rPr>
          <w:rFonts w:ascii="Arial" w:hAnsi="Arial" w:eastAsia="微软雅黑"/>
          <w:b/>
          <w:bCs/>
          <w:color w:val="2F75B5"/>
          <w:sz w:val="23"/>
          <w:szCs w:val="23"/>
        </w:rPr>
        <w:t>4.3 生产化运行方式</w:t>
      </w:r>
      <w:bookmarkEnd w:id="11"/>
    </w:p>
    <w:p w14:paraId="5C4CB48D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生产接口以一个核销单为处理单元，不要求地堆和人员激励两个 ZIP 同时提交。</w:t>
      </w:r>
    </w:p>
    <w:p w14:paraId="43143B62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 xml:space="preserve">每次运行绑定 </w:t>
      </w:r>
      <w:r>
        <w:rPr>
          <w:rFonts w:ascii="Consolas" w:hAnsi="Consolas" w:eastAsia="微软雅黑"/>
          <w:color w:val="17365D"/>
          <w:sz w:val="19"/>
          <w:szCs w:val="19"/>
          <w:shd w:val="clear" w:fill="E8EEF3"/>
        </w:rPr>
        <w:t>source_hashes + ruleset_version + model_version + code_image_digest</w:t>
      </w: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，形成不可变运行身份。</w:t>
      </w:r>
    </w:p>
    <w:p w14:paraId="3D04C444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采用消息队列异步调度，OCR、视觉和规则任务可独立重试；失败任务进入死信队列。</w:t>
      </w:r>
    </w:p>
    <w:p w14:paraId="31C571AD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POC 可使用本地 Agent CLI 和 Git 快照验证；生产环境统一接入模型网关/私有模型服务，不为每单启动 Git Worktree。</w:t>
      </w:r>
    </w:p>
    <w:p w14:paraId="42EA0870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文件原件只读保存，补件生成新版本，不覆盖历史证据。</w:t>
      </w:r>
    </w:p>
    <w:p w14:paraId="14244A8D">
      <w:pPr>
        <w:pStyle w:val="3"/>
        <w:keepNext/>
        <w:spacing w:before="220" w:after="110"/>
      </w:pPr>
      <w:bookmarkStart w:id="12" w:name="_Toc27010"/>
      <w:r>
        <w:rPr>
          <w:rFonts w:ascii="Arial" w:hAnsi="Arial" w:eastAsia="微软雅黑"/>
          <w:b/>
          <w:bCs/>
          <w:color w:val="1F4E78"/>
          <w:sz w:val="27"/>
          <w:szCs w:val="27"/>
        </w:rPr>
        <w:t>5. 全流程处理逻辑</w:t>
      </w:r>
      <w:bookmarkEnd w:id="12"/>
    </w:p>
    <w:p w14:paraId="592E5647">
      <w:pPr>
        <w:pStyle w:val="4"/>
        <w:keepNext/>
        <w:spacing w:before="170" w:after="90"/>
      </w:pPr>
      <w:bookmarkStart w:id="13" w:name="_Toc6942"/>
      <w:r>
        <w:rPr>
          <w:rFonts w:ascii="Arial" w:hAnsi="Arial" w:eastAsia="微软雅黑"/>
          <w:b/>
          <w:bCs/>
          <w:color w:val="2F75B5"/>
          <w:sz w:val="23"/>
          <w:szCs w:val="23"/>
        </w:rPr>
        <w:t>5.1 状态机</w:t>
      </w:r>
      <w:bookmarkEnd w:id="13"/>
    </w:p>
    <w:p w14:paraId="575C21C7">
      <w:pPr>
        <w:pBdr>
          <w:top w:val="single" w:color="D8DEE5" w:sz="2" w:space="3"/>
          <w:left w:val="single" w:color="2F75B5" w:sz="10" w:space="6"/>
          <w:bottom w:val="single" w:color="D8DEE5" w:sz="2" w:space="3"/>
          <w:right w:val="single" w:color="D8DEE5" w:sz="2" w:space="3"/>
        </w:pBdr>
        <w:shd w:val="clear" w:fill="F3F5F7"/>
        <w:spacing w:before="80" w:after="150" w:line="260" w:lineRule="auto"/>
        <w:ind w:left="260" w:right="180"/>
      </w:pPr>
      <w:r>
        <w:rPr>
          <w:rFonts w:ascii="Consolas" w:hAnsi="Consolas" w:eastAsia="微软雅黑"/>
          <w:color w:val="243447"/>
          <w:sz w:val="17"/>
          <w:szCs w:val="17"/>
        </w:rPr>
        <w:t>RECEIVED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>→ MATERIAL_CHECK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>→ EXTRACTING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>→ RULE_CHECK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>→ AGENT_JUDGING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>→ AUTO_PASS / PARTIAL_PASS / NEED_SUPPLEMENT / MANUAL_REVIEW / RECOMMEND_REJECT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>→ HUMAN_CONFIRMED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>→ SYNCED</w:t>
      </w:r>
    </w:p>
    <w:p w14:paraId="6D2E1C1D">
      <w:pPr>
        <w:keepNext w:val="0"/>
        <w:spacing w:before="0" w:after="110" w:line="330" w:lineRule="auto"/>
        <w:ind w:firstLine="420"/>
        <w:jc w:val="both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 xml:space="preserve">任何阶段出现不可恢复错误，状态进入 </w:t>
      </w:r>
      <w:r>
        <w:rPr>
          <w:rFonts w:ascii="Consolas" w:hAnsi="Consolas" w:eastAsia="微软雅黑"/>
          <w:color w:val="17365D"/>
          <w:sz w:val="19"/>
          <w:szCs w:val="19"/>
          <w:shd w:val="clear" w:fill="E8EEF3"/>
        </w:rPr>
        <w:t>PROCESSING_FAILED</w:t>
      </w: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，保留失败步骤、错误码、重试次数和已完成证据，不将技术失败映射成业务驳回。</w:t>
      </w:r>
    </w:p>
    <w:p w14:paraId="22AB5EB7">
      <w:pPr>
        <w:pStyle w:val="4"/>
        <w:keepNext/>
        <w:spacing w:before="170" w:after="90"/>
      </w:pPr>
      <w:bookmarkStart w:id="14" w:name="_Toc25443"/>
      <w:r>
        <w:rPr>
          <w:rFonts w:ascii="Arial" w:hAnsi="Arial" w:eastAsia="微软雅黑"/>
          <w:b/>
          <w:bCs/>
          <w:color w:val="2F75B5"/>
          <w:sz w:val="23"/>
          <w:szCs w:val="23"/>
        </w:rPr>
        <w:t>5.2 分步处理</w:t>
      </w:r>
      <w:bookmarkEnd w:id="14"/>
    </w:p>
    <w:p w14:paraId="572A87C1">
      <w:pPr>
        <w:pStyle w:val="19"/>
        <w:numPr>
          <w:ilvl w:val="0"/>
          <w:numId w:val="3"/>
        </w:numPr>
        <w:spacing w:after="70" w:line="310" w:lineRule="auto"/>
        <w:ind w:left="680" w:hanging="36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 xml:space="preserve">接收勤策事件或人工上传，按核销单号建立 </w:t>
      </w:r>
      <w:r>
        <w:rPr>
          <w:rFonts w:ascii="Consolas" w:hAnsi="Consolas" w:eastAsia="微软雅黑"/>
          <w:color w:val="17365D"/>
          <w:sz w:val="19"/>
          <w:szCs w:val="19"/>
          <w:shd w:val="clear" w:fill="E8EEF3"/>
        </w:rPr>
        <w:t>case_id</w:t>
      </w: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。</w:t>
      </w:r>
    </w:p>
    <w:p w14:paraId="78C84491">
      <w:pPr>
        <w:pStyle w:val="19"/>
        <w:numPr>
          <w:ilvl w:val="0"/>
          <w:numId w:val="3"/>
        </w:numPr>
        <w:spacing w:after="70" w:line="310" w:lineRule="auto"/>
        <w:ind w:left="680" w:hanging="36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校验压缩包安全性、文件魔数、扩展名、大小、页数、图像分辨率和加密状态。</w:t>
      </w:r>
    </w:p>
    <w:p w14:paraId="3B886D4E">
      <w:pPr>
        <w:pStyle w:val="19"/>
        <w:numPr>
          <w:ilvl w:val="0"/>
          <w:numId w:val="3"/>
        </w:numPr>
        <w:spacing w:after="70" w:line="310" w:lineRule="auto"/>
        <w:ind w:left="680" w:hanging="36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计算 SHA-256，检查本次提交内完全重复，并查询历史指纹库。</w:t>
      </w:r>
    </w:p>
    <w:p w14:paraId="499EFAEE">
      <w:pPr>
        <w:pStyle w:val="19"/>
        <w:numPr>
          <w:ilvl w:val="0"/>
          <w:numId w:val="3"/>
        </w:numPr>
        <w:spacing w:after="70" w:line="310" w:lineRule="auto"/>
        <w:ind w:left="680" w:hanging="36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识别业务场景和材料类型；低置信度或多义分类转人工选择。</w:t>
      </w:r>
    </w:p>
    <w:p w14:paraId="5D66A628">
      <w:pPr>
        <w:pStyle w:val="19"/>
        <w:numPr>
          <w:ilvl w:val="0"/>
          <w:numId w:val="3"/>
        </w:numPr>
        <w:spacing w:after="70" w:line="310" w:lineRule="auto"/>
        <w:ind w:left="680" w:hanging="36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按材料类型执行 OCR、视觉或原生表格解析，输出统一证据 JSON。</w:t>
      </w:r>
    </w:p>
    <w:p w14:paraId="14D6A226">
      <w:pPr>
        <w:pStyle w:val="19"/>
        <w:numPr>
          <w:ilvl w:val="0"/>
          <w:numId w:val="3"/>
        </w:numPr>
        <w:spacing w:after="70" w:line="310" w:lineRule="auto"/>
        <w:ind w:left="680" w:hanging="36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规则引擎先检查全局硬门槛，再执行逐 SKU、逐门店、逐笔支付规则。</w:t>
      </w:r>
    </w:p>
    <w:p w14:paraId="1B7E8AA4">
      <w:pPr>
        <w:pStyle w:val="19"/>
        <w:numPr>
          <w:ilvl w:val="0"/>
          <w:numId w:val="3"/>
        </w:numPr>
        <w:spacing w:after="70" w:line="310" w:lineRule="auto"/>
        <w:ind w:left="680" w:hanging="36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金额引擎基于规则通过项计算证据支持金额和暂缓金额。</w:t>
      </w:r>
    </w:p>
    <w:p w14:paraId="4EF3CC03">
      <w:pPr>
        <w:pStyle w:val="19"/>
        <w:numPr>
          <w:ilvl w:val="0"/>
          <w:numId w:val="3"/>
        </w:numPr>
        <w:spacing w:after="70" w:line="310" w:lineRule="auto"/>
        <w:ind w:left="680" w:hanging="36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Judgment Agent 读取规则结果，生成建议结论、主要风险、补件清单和证据摘要。</w:t>
      </w:r>
    </w:p>
    <w:p w14:paraId="39D94B7C">
      <w:pPr>
        <w:pStyle w:val="19"/>
        <w:numPr>
          <w:ilvl w:val="0"/>
          <w:numId w:val="3"/>
        </w:numPr>
        <w:spacing w:after="70" w:line="310" w:lineRule="auto"/>
        <w:ind w:left="680" w:hanging="36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 xml:space="preserve">Decision Guard 验证 Agent 输出；不满足约束时强制降级为 </w:t>
      </w:r>
      <w:r>
        <w:rPr>
          <w:rFonts w:ascii="Consolas" w:hAnsi="Consolas" w:eastAsia="微软雅黑"/>
          <w:color w:val="17365D"/>
          <w:sz w:val="19"/>
          <w:szCs w:val="19"/>
          <w:shd w:val="clear" w:fill="E8EEF3"/>
        </w:rPr>
        <w:t>MANUAL_REVIEW</w:t>
      </w: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。</w:t>
      </w:r>
    </w:p>
    <w:p w14:paraId="1785B270">
      <w:pPr>
        <w:pStyle w:val="19"/>
        <w:numPr>
          <w:ilvl w:val="0"/>
          <w:numId w:val="3"/>
        </w:numPr>
        <w:spacing w:after="70" w:line="310" w:lineRule="auto"/>
        <w:ind w:left="680" w:hanging="36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H5 展示原件、字段框、规则和计算过程，审核人确认后回写勤策并归档。</w:t>
      </w:r>
    </w:p>
    <w:p w14:paraId="72C83EE7">
      <w:pPr>
        <w:pStyle w:val="3"/>
        <w:keepNext/>
        <w:spacing w:before="220" w:after="110"/>
      </w:pPr>
      <w:bookmarkStart w:id="15" w:name="_Toc27381"/>
      <w:r>
        <w:rPr>
          <w:rFonts w:ascii="Arial" w:hAnsi="Arial" w:eastAsia="微软雅黑"/>
          <w:b/>
          <w:bCs/>
          <w:color w:val="1F4E78"/>
          <w:sz w:val="27"/>
          <w:szCs w:val="27"/>
        </w:rPr>
        <w:t>6. 统一证据数据模型</w:t>
      </w:r>
      <w:bookmarkEnd w:id="15"/>
    </w:p>
    <w:p w14:paraId="1951B2E9">
      <w:pPr>
        <w:keepNext w:val="0"/>
        <w:spacing w:before="0" w:after="110" w:line="330" w:lineRule="auto"/>
        <w:ind w:firstLine="420"/>
        <w:jc w:val="both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每个 OCR 或视觉字段必须保留来源，不允许只保存最终文本。</w:t>
      </w:r>
    </w:p>
    <w:p w14:paraId="512A24AD">
      <w:pPr>
        <w:pStyle w:val="4"/>
        <w:keepNext/>
        <w:spacing w:before="170" w:after="90"/>
      </w:pPr>
      <w:bookmarkStart w:id="16" w:name="_Toc3084"/>
      <w:r>
        <w:rPr>
          <w:rFonts w:ascii="Arial" w:hAnsi="Arial" w:eastAsia="微软雅黑"/>
          <w:b/>
          <w:bCs/>
          <w:color w:val="2F75B5"/>
          <w:sz w:val="23"/>
          <w:szCs w:val="23"/>
        </w:rPr>
        <w:t>6.1 字段证据结构</w:t>
      </w:r>
      <w:bookmarkEnd w:id="16"/>
    </w:p>
    <w:p w14:paraId="48F42D64">
      <w:pPr>
        <w:pBdr>
          <w:top w:val="single" w:color="D8DEE5" w:sz="2" w:space="3"/>
          <w:left w:val="single" w:color="2F75B5" w:sz="10" w:space="6"/>
          <w:bottom w:val="single" w:color="D8DEE5" w:sz="2" w:space="3"/>
          <w:right w:val="single" w:color="D8DEE5" w:sz="2" w:space="3"/>
        </w:pBdr>
        <w:shd w:val="clear" w:fill="F3F5F7"/>
        <w:spacing w:before="80" w:after="150" w:line="260" w:lineRule="auto"/>
        <w:ind w:left="260" w:right="180"/>
      </w:pPr>
      <w:r>
        <w:rPr>
          <w:rFonts w:ascii="Consolas" w:hAnsi="Consolas" w:eastAsia="微软雅黑"/>
          <w:color w:val="243447"/>
          <w:sz w:val="17"/>
          <w:szCs w:val="17"/>
        </w:rPr>
        <w:t>{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 xml:space="preserve">  "evidence_id": "ev_01J...",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 xml:space="preserve">  "case_id": "HX-2026-0001",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 xml:space="preserve">  "material_type": "settlement_sheet",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 xml:space="preserve">  "field_name": "claimed_amount",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 xml:space="preserve">  "raw_text": "实际核销金额：7350",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 xml:space="preserve">  "normalized_value": 7350.00,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 xml:space="preserve">  "source_file_id": "file_01J...",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 xml:space="preserve">  "source_sha256": "...",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 xml:space="preserve">  "page_no": 1,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 xml:space="preserve">  "sheet_name": null,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 xml:space="preserve">  "row_no": null,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 xml:space="preserve">  "bbox": [0.31, 0.72, 0.58, 0.79],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 xml:space="preserve">  "extractor": "settlement-ocr",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 xml:space="preserve">  "extractor_version": "1.0.0",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 xml:space="preserve">  "confidence": 0.993,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 xml:space="preserve">  "validation_status": "validated"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>}</w:t>
      </w:r>
    </w:p>
    <w:p w14:paraId="12B3F76A">
      <w:pPr>
        <w:pStyle w:val="4"/>
        <w:keepNext/>
        <w:spacing w:before="170" w:after="90"/>
      </w:pPr>
      <w:bookmarkStart w:id="17" w:name="_Toc13972"/>
      <w:r>
        <w:rPr>
          <w:rFonts w:ascii="Arial" w:hAnsi="Arial" w:eastAsia="微软雅黑"/>
          <w:b/>
          <w:bCs/>
          <w:color w:val="2F75B5"/>
          <w:sz w:val="23"/>
          <w:szCs w:val="23"/>
        </w:rPr>
        <w:t>6.2 规则结果结构</w:t>
      </w:r>
      <w:bookmarkEnd w:id="17"/>
    </w:p>
    <w:p w14:paraId="7E6F8B3C">
      <w:pPr>
        <w:pBdr>
          <w:top w:val="single" w:color="D8DEE5" w:sz="2" w:space="3"/>
          <w:left w:val="single" w:color="2F75B5" w:sz="10" w:space="6"/>
          <w:bottom w:val="single" w:color="D8DEE5" w:sz="2" w:space="3"/>
          <w:right w:val="single" w:color="D8DEE5" w:sz="2" w:space="3"/>
        </w:pBdr>
        <w:shd w:val="clear" w:fill="F3F5F7"/>
        <w:spacing w:before="80" w:after="150" w:line="260" w:lineRule="auto"/>
        <w:ind w:left="260" w:right="180"/>
      </w:pPr>
      <w:r>
        <w:rPr>
          <w:rFonts w:ascii="Consolas" w:hAnsi="Consolas" w:eastAsia="微软雅黑"/>
          <w:color w:val="243447"/>
          <w:sz w:val="17"/>
          <w:szCs w:val="17"/>
        </w:rPr>
        <w:t>{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 xml:space="preserve">  "rule_id": "PI-PAY-004",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 xml:space="preserve">  "scope_type": "payment",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 xml:space="preserve">  "scope_id": "payment_0007",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 xml:space="preserve">  "status": "UNKNOWN",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 xml:space="preserve">  "severity": "BLOCKER",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 xml:space="preserve">  "expected": "交易日期在活动期间 2026-05-01 至 2026-05-20",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 xml:space="preserve">  "actual": "截图仅显示星期与聊天时间，未显示完整交易日期",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 xml:space="preserve">  "evidence_refs": ["ev_01J..."],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 xml:space="preserve">  "amount_impact": 1026.00,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 xml:space="preserve">  "supplement_request": "补充包含交易日期、交易单号和付款主体的发放明细"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>}</w:t>
      </w:r>
    </w:p>
    <w:p w14:paraId="18D0B209">
      <w:pPr>
        <w:pStyle w:val="4"/>
        <w:keepNext/>
        <w:spacing w:before="170" w:after="90"/>
      </w:pPr>
      <w:bookmarkStart w:id="18" w:name="_Toc11779"/>
      <w:r>
        <w:rPr>
          <w:rFonts w:ascii="Arial" w:hAnsi="Arial" w:eastAsia="微软雅黑"/>
          <w:b/>
          <w:bCs/>
          <w:color w:val="2F75B5"/>
          <w:sz w:val="23"/>
          <w:szCs w:val="23"/>
        </w:rPr>
        <w:t>6.3 数据实体</w:t>
      </w:r>
      <w:bookmarkEnd w:id="18"/>
    </w:p>
    <w:tbl>
      <w:tblPr>
        <w:tblStyle w:val="14"/>
        <w:tblW w:w="9354" w:type="dxa"/>
        <w:tblInd w:w="0" w:type="dxa"/>
        <w:tblBorders>
          <w:top w:val="single" w:color="B7C9D6" w:sz="2" w:space="0"/>
          <w:left w:val="single" w:color="B7C9D6" w:sz="2" w:space="0"/>
          <w:bottom w:val="single" w:color="B7C9D6" w:sz="2" w:space="0"/>
          <w:right w:val="single" w:color="B7C9D6" w:sz="2" w:space="0"/>
          <w:insideH w:val="single" w:color="B7C9D6" w:sz="2" w:space="0"/>
          <w:insideV w:val="single" w:color="B7C9D6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45"/>
        <w:gridCol w:w="6109"/>
      </w:tblGrid>
      <w:tr w14:paraId="5DA934D1">
        <w:tblPrEx>
          <w:tblBorders>
            <w:top w:val="single" w:color="B7C9D6" w:sz="2" w:space="0"/>
            <w:left w:val="single" w:color="B7C9D6" w:sz="2" w:space="0"/>
            <w:bottom w:val="single" w:color="B7C9D6" w:sz="2" w:space="0"/>
            <w:right w:val="single" w:color="B7C9D6" w:sz="2" w:space="0"/>
            <w:insideH w:val="single" w:color="B7C9D6" w:sz="2" w:space="0"/>
            <w:insideV w:val="single" w:color="B7C9D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3245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1C7A3E">
            <w:pPr>
              <w:spacing w:after="0" w:line="250" w:lineRule="auto"/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8"/>
                <w:szCs w:val="18"/>
              </w:rPr>
              <w:t>实体</w:t>
            </w:r>
          </w:p>
        </w:tc>
        <w:tc>
          <w:tcPr>
            <w:tcW w:w="6109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EEE15F">
            <w:pPr>
              <w:spacing w:after="0" w:line="250" w:lineRule="auto"/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8"/>
                <w:szCs w:val="18"/>
              </w:rPr>
              <w:t>主要字段</w:t>
            </w:r>
          </w:p>
        </w:tc>
      </w:tr>
      <w:tr w14:paraId="67987E38">
        <w:tblPrEx>
          <w:tblBorders>
            <w:top w:val="single" w:color="B7C9D6" w:sz="2" w:space="0"/>
            <w:left w:val="single" w:color="B7C9D6" w:sz="2" w:space="0"/>
            <w:bottom w:val="single" w:color="B7C9D6" w:sz="2" w:space="0"/>
            <w:right w:val="single" w:color="B7C9D6" w:sz="2" w:space="0"/>
            <w:insideH w:val="single" w:color="B7C9D6" w:sz="2" w:space="0"/>
            <w:insideV w:val="single" w:color="B7C9D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4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4AFE35">
            <w:pPr>
              <w:spacing w:after="0" w:line="250" w:lineRule="auto"/>
              <w:jc w:val="left"/>
            </w:pPr>
            <w:r>
              <w:rPr>
                <w:rFonts w:ascii="Consolas" w:hAnsi="Consolas" w:eastAsia="微软雅黑"/>
                <w:color w:val="17365D"/>
                <w:sz w:val="17"/>
                <w:szCs w:val="17"/>
                <w:shd w:val="clear" w:fill="E8EEF3"/>
              </w:rPr>
              <w:t>audit_case</w:t>
            </w:r>
          </w:p>
        </w:tc>
        <w:tc>
          <w:tcPr>
            <w:tcW w:w="610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485224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8"/>
                <w:szCs w:val="18"/>
              </w:rPr>
              <w:t>case_id、scenario、claimed_amount、activity_period、status、ruleset_version</w:t>
            </w:r>
          </w:p>
        </w:tc>
      </w:tr>
      <w:tr w14:paraId="23DE5CA8">
        <w:tblPrEx>
          <w:tblBorders>
            <w:top w:val="single" w:color="B7C9D6" w:sz="2" w:space="0"/>
            <w:left w:val="single" w:color="B7C9D6" w:sz="2" w:space="0"/>
            <w:bottom w:val="single" w:color="B7C9D6" w:sz="2" w:space="0"/>
            <w:right w:val="single" w:color="B7C9D6" w:sz="2" w:space="0"/>
            <w:insideH w:val="single" w:color="B7C9D6" w:sz="2" w:space="0"/>
            <w:insideV w:val="single" w:color="B7C9D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45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96FF23">
            <w:pPr>
              <w:spacing w:after="0" w:line="250" w:lineRule="auto"/>
              <w:jc w:val="left"/>
            </w:pPr>
            <w:r>
              <w:rPr>
                <w:rFonts w:ascii="Consolas" w:hAnsi="Consolas" w:eastAsia="微软雅黑"/>
                <w:color w:val="17365D"/>
                <w:sz w:val="17"/>
                <w:szCs w:val="17"/>
                <w:shd w:val="clear" w:fill="E8EEF3"/>
              </w:rPr>
              <w:t>material_file</w:t>
            </w:r>
          </w:p>
        </w:tc>
        <w:tc>
          <w:tcPr>
            <w:tcW w:w="6109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E94726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8"/>
                <w:szCs w:val="18"/>
              </w:rPr>
              <w:t>file_id、material_type、object_key、sha256、mime、page_count、version</w:t>
            </w:r>
          </w:p>
        </w:tc>
      </w:tr>
      <w:tr w14:paraId="78B51A7E">
        <w:tblPrEx>
          <w:tblBorders>
            <w:top w:val="single" w:color="B7C9D6" w:sz="2" w:space="0"/>
            <w:left w:val="single" w:color="B7C9D6" w:sz="2" w:space="0"/>
            <w:bottom w:val="single" w:color="B7C9D6" w:sz="2" w:space="0"/>
            <w:right w:val="single" w:color="B7C9D6" w:sz="2" w:space="0"/>
            <w:insideH w:val="single" w:color="B7C9D6" w:sz="2" w:space="0"/>
            <w:insideV w:val="single" w:color="B7C9D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4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655029">
            <w:pPr>
              <w:spacing w:after="0" w:line="250" w:lineRule="auto"/>
              <w:jc w:val="left"/>
            </w:pPr>
            <w:r>
              <w:rPr>
                <w:rFonts w:ascii="Consolas" w:hAnsi="Consolas" w:eastAsia="微软雅黑"/>
                <w:color w:val="17365D"/>
                <w:sz w:val="17"/>
                <w:szCs w:val="17"/>
                <w:shd w:val="clear" w:fill="E8EEF3"/>
              </w:rPr>
              <w:t>extracted_field</w:t>
            </w:r>
          </w:p>
        </w:tc>
        <w:tc>
          <w:tcPr>
            <w:tcW w:w="610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949497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8"/>
                <w:szCs w:val="18"/>
              </w:rPr>
              <w:t>field_name、raw_text、normalized_value、bbox、confidence、extractor_version</w:t>
            </w:r>
          </w:p>
        </w:tc>
      </w:tr>
      <w:tr w14:paraId="1E016670">
        <w:tblPrEx>
          <w:tblBorders>
            <w:top w:val="single" w:color="B7C9D6" w:sz="2" w:space="0"/>
            <w:left w:val="single" w:color="B7C9D6" w:sz="2" w:space="0"/>
            <w:bottom w:val="single" w:color="B7C9D6" w:sz="2" w:space="0"/>
            <w:right w:val="single" w:color="B7C9D6" w:sz="2" w:space="0"/>
            <w:insideH w:val="single" w:color="B7C9D6" w:sz="2" w:space="0"/>
            <w:insideV w:val="single" w:color="B7C9D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45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FC439F">
            <w:pPr>
              <w:spacing w:after="0" w:line="250" w:lineRule="auto"/>
              <w:jc w:val="left"/>
            </w:pPr>
            <w:r>
              <w:rPr>
                <w:rFonts w:ascii="Consolas" w:hAnsi="Consolas" w:eastAsia="微软雅黑"/>
                <w:color w:val="17365D"/>
                <w:sz w:val="17"/>
                <w:szCs w:val="17"/>
                <w:shd w:val="clear" w:fill="E8EEF3"/>
              </w:rPr>
              <w:t>evidence_item</w:t>
            </w:r>
          </w:p>
        </w:tc>
        <w:tc>
          <w:tcPr>
            <w:tcW w:w="6109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C9C80E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8"/>
                <w:szCs w:val="18"/>
              </w:rPr>
              <w:t>门店/SKU/支付粒度的结构化事实与来源</w:t>
            </w:r>
          </w:p>
        </w:tc>
      </w:tr>
      <w:tr w14:paraId="46E3EB85">
        <w:tblPrEx>
          <w:tblBorders>
            <w:top w:val="single" w:color="B7C9D6" w:sz="2" w:space="0"/>
            <w:left w:val="single" w:color="B7C9D6" w:sz="2" w:space="0"/>
            <w:bottom w:val="single" w:color="B7C9D6" w:sz="2" w:space="0"/>
            <w:right w:val="single" w:color="B7C9D6" w:sz="2" w:space="0"/>
            <w:insideH w:val="single" w:color="B7C9D6" w:sz="2" w:space="0"/>
            <w:insideV w:val="single" w:color="B7C9D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4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DA3E5A">
            <w:pPr>
              <w:spacing w:after="0" w:line="250" w:lineRule="auto"/>
              <w:jc w:val="left"/>
            </w:pPr>
            <w:r>
              <w:rPr>
                <w:rFonts w:ascii="Consolas" w:hAnsi="Consolas" w:eastAsia="微软雅黑"/>
                <w:color w:val="17365D"/>
                <w:sz w:val="17"/>
                <w:szCs w:val="17"/>
                <w:shd w:val="clear" w:fill="E8EEF3"/>
              </w:rPr>
              <w:t>rule_result</w:t>
            </w:r>
          </w:p>
        </w:tc>
        <w:tc>
          <w:tcPr>
            <w:tcW w:w="610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FC79AC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8"/>
                <w:szCs w:val="18"/>
              </w:rPr>
              <w:t>rule_id、scope、status、severity、amount_impact、evidence_refs</w:t>
            </w:r>
          </w:p>
        </w:tc>
      </w:tr>
      <w:tr w14:paraId="61CF0D76">
        <w:tblPrEx>
          <w:tblBorders>
            <w:top w:val="single" w:color="B7C9D6" w:sz="2" w:space="0"/>
            <w:left w:val="single" w:color="B7C9D6" w:sz="2" w:space="0"/>
            <w:bottom w:val="single" w:color="B7C9D6" w:sz="2" w:space="0"/>
            <w:right w:val="single" w:color="B7C9D6" w:sz="2" w:space="0"/>
            <w:insideH w:val="single" w:color="B7C9D6" w:sz="2" w:space="0"/>
            <w:insideV w:val="single" w:color="B7C9D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45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6FCD10">
            <w:pPr>
              <w:spacing w:after="0" w:line="250" w:lineRule="auto"/>
              <w:jc w:val="left"/>
            </w:pPr>
            <w:r>
              <w:rPr>
                <w:rFonts w:ascii="Consolas" w:hAnsi="Consolas" w:eastAsia="微软雅黑"/>
                <w:color w:val="17365D"/>
                <w:sz w:val="17"/>
                <w:szCs w:val="17"/>
                <w:shd w:val="clear" w:fill="E8EEF3"/>
              </w:rPr>
              <w:t>audit_decision</w:t>
            </w:r>
          </w:p>
        </w:tc>
        <w:tc>
          <w:tcPr>
            <w:tcW w:w="6109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1185E1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8"/>
                <w:szCs w:val="18"/>
              </w:rPr>
              <w:t>建议结论、支持金额、暂缓金额、阻断规则、Agent 摘要</w:t>
            </w:r>
          </w:p>
        </w:tc>
      </w:tr>
      <w:tr w14:paraId="16A485DE">
        <w:tblPrEx>
          <w:tblBorders>
            <w:top w:val="single" w:color="B7C9D6" w:sz="2" w:space="0"/>
            <w:left w:val="single" w:color="B7C9D6" w:sz="2" w:space="0"/>
            <w:bottom w:val="single" w:color="B7C9D6" w:sz="2" w:space="0"/>
            <w:right w:val="single" w:color="B7C9D6" w:sz="2" w:space="0"/>
            <w:insideH w:val="single" w:color="B7C9D6" w:sz="2" w:space="0"/>
            <w:insideV w:val="single" w:color="B7C9D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4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AABF97">
            <w:pPr>
              <w:spacing w:after="0" w:line="250" w:lineRule="auto"/>
              <w:jc w:val="left"/>
            </w:pPr>
            <w:r>
              <w:rPr>
                <w:rFonts w:ascii="Consolas" w:hAnsi="Consolas" w:eastAsia="微软雅黑"/>
                <w:color w:val="17365D"/>
                <w:sz w:val="17"/>
                <w:szCs w:val="17"/>
                <w:shd w:val="clear" w:fill="E8EEF3"/>
              </w:rPr>
              <w:t>review_action</w:t>
            </w:r>
          </w:p>
        </w:tc>
        <w:tc>
          <w:tcPr>
            <w:tcW w:w="610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24B8BA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8"/>
                <w:szCs w:val="18"/>
              </w:rPr>
              <w:t>审核人、动作、原因、时间、前后状态</w:t>
            </w:r>
          </w:p>
        </w:tc>
      </w:tr>
      <w:tr w14:paraId="311C5973">
        <w:tblPrEx>
          <w:tblBorders>
            <w:top w:val="single" w:color="B7C9D6" w:sz="2" w:space="0"/>
            <w:left w:val="single" w:color="B7C9D6" w:sz="2" w:space="0"/>
            <w:bottom w:val="single" w:color="B7C9D6" w:sz="2" w:space="0"/>
            <w:right w:val="single" w:color="B7C9D6" w:sz="2" w:space="0"/>
            <w:insideH w:val="single" w:color="B7C9D6" w:sz="2" w:space="0"/>
            <w:insideV w:val="single" w:color="B7C9D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45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3753AD">
            <w:pPr>
              <w:spacing w:after="0" w:line="250" w:lineRule="auto"/>
              <w:jc w:val="left"/>
            </w:pPr>
            <w:r>
              <w:rPr>
                <w:rFonts w:ascii="Consolas" w:hAnsi="Consolas" w:eastAsia="微软雅黑"/>
                <w:color w:val="17365D"/>
                <w:sz w:val="17"/>
                <w:szCs w:val="17"/>
                <w:shd w:val="clear" w:fill="E8EEF3"/>
              </w:rPr>
              <w:t>fingerprint_index</w:t>
            </w:r>
          </w:p>
        </w:tc>
        <w:tc>
          <w:tcPr>
            <w:tcW w:w="6109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F03EC9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8"/>
                <w:szCs w:val="18"/>
              </w:rPr>
              <w:t>SHA-256、pHash、dHash、图像向量、历史 case_id</w:t>
            </w:r>
          </w:p>
        </w:tc>
      </w:tr>
      <w:tr w14:paraId="1003ECD2">
        <w:tblPrEx>
          <w:tblBorders>
            <w:top w:val="single" w:color="B7C9D6" w:sz="2" w:space="0"/>
            <w:left w:val="single" w:color="B7C9D6" w:sz="2" w:space="0"/>
            <w:bottom w:val="single" w:color="B7C9D6" w:sz="2" w:space="0"/>
            <w:right w:val="single" w:color="B7C9D6" w:sz="2" w:space="0"/>
            <w:insideH w:val="single" w:color="B7C9D6" w:sz="2" w:space="0"/>
            <w:insideV w:val="single" w:color="B7C9D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4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93DF2B">
            <w:pPr>
              <w:spacing w:after="0" w:line="250" w:lineRule="auto"/>
              <w:jc w:val="left"/>
            </w:pPr>
            <w:r>
              <w:rPr>
                <w:rFonts w:ascii="Consolas" w:hAnsi="Consolas" w:eastAsia="微软雅黑"/>
                <w:color w:val="17365D"/>
                <w:sz w:val="17"/>
                <w:szCs w:val="17"/>
                <w:shd w:val="clear" w:fill="E8EEF3"/>
              </w:rPr>
              <w:t>model_run</w:t>
            </w:r>
          </w:p>
        </w:tc>
        <w:tc>
          <w:tcPr>
            <w:tcW w:w="610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692045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8"/>
                <w:szCs w:val="18"/>
              </w:rPr>
              <w:t>模型、提示词版本、输入摘要、Token、耗时、结果状态</w:t>
            </w:r>
          </w:p>
        </w:tc>
      </w:tr>
    </w:tbl>
    <w:p w14:paraId="03896132">
      <w:pPr>
        <w:spacing w:after="90"/>
      </w:pPr>
    </w:p>
    <w:p w14:paraId="2B1460BD">
      <w:pPr>
        <w:pStyle w:val="3"/>
        <w:keepNext/>
        <w:spacing w:before="220" w:after="110"/>
      </w:pPr>
      <w:bookmarkStart w:id="19" w:name="_Toc16719"/>
      <w:r>
        <w:rPr>
          <w:rFonts w:ascii="Arial" w:hAnsi="Arial" w:eastAsia="微软雅黑"/>
          <w:b/>
          <w:bCs/>
          <w:color w:val="1F4E78"/>
          <w:sz w:val="27"/>
          <w:szCs w:val="27"/>
        </w:rPr>
        <w:t>7. Skill 体系设计</w:t>
      </w:r>
      <w:bookmarkEnd w:id="19"/>
    </w:p>
    <w:p w14:paraId="3EDBA3E6">
      <w:pPr>
        <w:pStyle w:val="4"/>
        <w:keepNext/>
        <w:spacing w:before="170" w:after="90"/>
      </w:pPr>
      <w:bookmarkStart w:id="20" w:name="_Toc16018"/>
      <w:r>
        <w:rPr>
          <w:rFonts w:ascii="Arial" w:hAnsi="Arial" w:eastAsia="微软雅黑"/>
          <w:b/>
          <w:bCs/>
          <w:color w:val="2F75B5"/>
          <w:sz w:val="23"/>
          <w:szCs w:val="23"/>
        </w:rPr>
        <w:t>7.1 Skill 拆分</w:t>
      </w:r>
      <w:bookmarkEnd w:id="20"/>
    </w:p>
    <w:p w14:paraId="7131E0D4">
      <w:pPr>
        <w:keepNext w:val="0"/>
        <w:spacing w:before="0" w:after="110" w:line="330" w:lineRule="auto"/>
        <w:ind w:firstLine="420"/>
        <w:jc w:val="both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采用“一个主编排 Skill + 三个证据 Skill + 两个场景 Skill + 一个判断 Skill”的结构，避免单个 Skill 同时承担识别、计算和判断。</w:t>
      </w:r>
    </w:p>
    <w:p w14:paraId="58727F09">
      <w:pPr>
        <w:pBdr>
          <w:top w:val="single" w:color="D8DEE5" w:sz="2" w:space="3"/>
          <w:left w:val="single" w:color="2F75B5" w:sz="10" w:space="6"/>
          <w:bottom w:val="single" w:color="D8DEE5" w:sz="2" w:space="3"/>
          <w:right w:val="single" w:color="D8DEE5" w:sz="2" w:space="3"/>
        </w:pBdr>
        <w:shd w:val="clear" w:fill="F3F5F7"/>
        <w:spacing w:before="80" w:after="150" w:line="260" w:lineRule="auto"/>
        <w:ind w:left="260" w:right="180"/>
      </w:pPr>
      <w:r>
        <w:rPr>
          <w:rFonts w:ascii="Consolas" w:hAnsi="Consolas" w:eastAsia="微软雅黑"/>
          <w:color w:val="243447"/>
          <w:sz w:val="17"/>
          <w:szCs w:val="17"/>
        </w:rPr>
        <w:t>skills/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>├─ orchestrate-market-expense-audit/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>│  ├─ SKILL.md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>│  ├─ agents/openai.yaml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>│  ├─ references/routing-rules.md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>│  ├─ references/workflow.md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>│  └─ scripts/run.py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>├─ extract-audit-documents/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>│  ├─ SKILL.md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>│  ├─ references/field-dictionary.md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>│  ├─ references/template-registry.md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>│  ├─ references/evidence.schema.json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>│  └─ scripts/extract.py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>├─ inspect-display-photos/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>│  ├─ SKILL.md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>│  ├─ references/photo-rules.md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>│  ├─ references/evidence.schema.json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>│  └─ scripts/inspect.py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>├─ inspect-payment-evidence/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>│  ├─ SKILL.md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>│  ├─ references/payment-rules.md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>│  ├─ references/evidence.schema.json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>│  └─ scripts/inspect.py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>├─ audit-promotional-display/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>│  ├─ SKILL.md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>│  ├─ references/audit-rules.yaml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>│  ├─ references/result.schema.json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>│  └─ scripts/reconcile.py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>├─ audit-personnel-incentive/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>│  ├─ SKILL.md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>│  ├─ references/audit-rules.yaml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>│  ├─ references/result.schema.json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>│  └─ scripts/reconcile.py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>└─ judge-market-expense-audit/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 xml:space="preserve">   ├─ SKILL.md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 xml:space="preserve">   ├─ references/decision-policy.md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 xml:space="preserve">   ├─ references/decision.schema.json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 xml:space="preserve">   └─ scripts/decision_guard.py</w:t>
      </w:r>
    </w:p>
    <w:p w14:paraId="3A1A893B">
      <w:pPr>
        <w:keepNext w:val="0"/>
        <w:spacing w:before="0" w:after="110" w:line="330" w:lineRule="auto"/>
        <w:ind w:firstLine="420"/>
        <w:jc w:val="both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共享程序与契约独立于 Skill：</w:t>
      </w:r>
    </w:p>
    <w:p w14:paraId="72F45072">
      <w:pPr>
        <w:pBdr>
          <w:top w:val="single" w:color="D8DEE5" w:sz="2" w:space="3"/>
          <w:left w:val="single" w:color="2F75B5" w:sz="10" w:space="6"/>
          <w:bottom w:val="single" w:color="D8DEE5" w:sz="2" w:space="3"/>
          <w:right w:val="single" w:color="D8DEE5" w:sz="2" w:space="3"/>
        </w:pBdr>
        <w:shd w:val="clear" w:fill="F3F5F7"/>
        <w:spacing w:before="80" w:after="150" w:line="260" w:lineRule="auto"/>
        <w:ind w:left="260" w:right="180"/>
      </w:pPr>
      <w:r>
        <w:rPr>
          <w:rFonts w:ascii="Consolas" w:hAnsi="Consolas" w:eastAsia="微软雅黑"/>
          <w:color w:val="243447"/>
          <w:sz w:val="17"/>
          <w:szCs w:val="17"/>
        </w:rPr>
        <w:t>audit_core/                 # 文件、OCR、规则、金额、报告与集成服务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>contracts/                  # evidence/rule/decision JSON Schema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>configs/                    # 客户主体、门店别名、模板、活动规则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>model_registry/             # OCR/视觉模型版本和阈值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>tests/fixtures/             # 脱敏样本与回归预期</w:t>
      </w:r>
    </w:p>
    <w:p w14:paraId="2302A663">
      <w:pPr>
        <w:pStyle w:val="4"/>
        <w:keepNext/>
        <w:spacing w:before="170" w:after="90"/>
      </w:pPr>
      <w:bookmarkStart w:id="21" w:name="_Toc30084"/>
      <w:r>
        <w:rPr>
          <w:rFonts w:ascii="Arial" w:hAnsi="Arial" w:eastAsia="微软雅黑"/>
          <w:b/>
          <w:bCs/>
          <w:color w:val="2F75B5"/>
          <w:sz w:val="23"/>
          <w:szCs w:val="23"/>
        </w:rPr>
        <w:t>7.2 各 Skill 职责</w:t>
      </w:r>
      <w:bookmarkEnd w:id="21"/>
    </w:p>
    <w:tbl>
      <w:tblPr>
        <w:tblStyle w:val="14"/>
        <w:tblW w:w="9354" w:type="dxa"/>
        <w:tblInd w:w="0" w:type="dxa"/>
        <w:tblBorders>
          <w:top w:val="single" w:color="B7C9D6" w:sz="2" w:space="0"/>
          <w:left w:val="single" w:color="B7C9D6" w:sz="2" w:space="0"/>
          <w:bottom w:val="single" w:color="B7C9D6" w:sz="2" w:space="0"/>
          <w:right w:val="single" w:color="B7C9D6" w:sz="2" w:space="0"/>
          <w:insideH w:val="single" w:color="B7C9D6" w:sz="2" w:space="0"/>
          <w:insideV w:val="single" w:color="B7C9D6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3"/>
        <w:gridCol w:w="1661"/>
        <w:gridCol w:w="1998"/>
        <w:gridCol w:w="1250"/>
        <w:gridCol w:w="2222"/>
      </w:tblGrid>
      <w:tr w14:paraId="23C35145">
        <w:tblPrEx>
          <w:tblBorders>
            <w:top w:val="single" w:color="B7C9D6" w:sz="2" w:space="0"/>
            <w:left w:val="single" w:color="B7C9D6" w:sz="2" w:space="0"/>
            <w:bottom w:val="single" w:color="B7C9D6" w:sz="2" w:space="0"/>
            <w:right w:val="single" w:color="B7C9D6" w:sz="2" w:space="0"/>
            <w:insideH w:val="single" w:color="B7C9D6" w:sz="2" w:space="0"/>
            <w:insideV w:val="single" w:color="B7C9D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223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9EC0E4">
            <w:pPr>
              <w:spacing w:after="0" w:line="250" w:lineRule="auto"/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6"/>
                <w:szCs w:val="16"/>
              </w:rPr>
              <w:t>Skill</w:t>
            </w:r>
          </w:p>
        </w:tc>
        <w:tc>
          <w:tcPr>
            <w:tcW w:w="1661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A4759F">
            <w:pPr>
              <w:spacing w:after="0" w:line="250" w:lineRule="auto"/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6"/>
                <w:szCs w:val="16"/>
              </w:rPr>
              <w:t>输入</w:t>
            </w:r>
          </w:p>
        </w:tc>
        <w:tc>
          <w:tcPr>
            <w:tcW w:w="199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89E574">
            <w:pPr>
              <w:spacing w:after="0" w:line="250" w:lineRule="auto"/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6"/>
                <w:szCs w:val="16"/>
              </w:rPr>
              <w:t>输出</w:t>
            </w:r>
          </w:p>
        </w:tc>
        <w:tc>
          <w:tcPr>
            <w:tcW w:w="125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1B0EC8">
            <w:pPr>
              <w:spacing w:after="0" w:line="250" w:lineRule="auto"/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6"/>
                <w:szCs w:val="16"/>
              </w:rPr>
              <w:t>自由度</w:t>
            </w:r>
          </w:p>
        </w:tc>
        <w:tc>
          <w:tcPr>
            <w:tcW w:w="2222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CFEFB3">
            <w:pPr>
              <w:spacing w:after="0" w:line="250" w:lineRule="auto"/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6"/>
                <w:szCs w:val="16"/>
              </w:rPr>
              <w:t>失败关闭规则</w:t>
            </w:r>
          </w:p>
        </w:tc>
      </w:tr>
      <w:tr w14:paraId="2208331E">
        <w:tblPrEx>
          <w:tblBorders>
            <w:top w:val="single" w:color="B7C9D6" w:sz="2" w:space="0"/>
            <w:left w:val="single" w:color="B7C9D6" w:sz="2" w:space="0"/>
            <w:bottom w:val="single" w:color="B7C9D6" w:sz="2" w:space="0"/>
            <w:right w:val="single" w:color="B7C9D6" w:sz="2" w:space="0"/>
            <w:insideH w:val="single" w:color="B7C9D6" w:sz="2" w:space="0"/>
            <w:insideV w:val="single" w:color="B7C9D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2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48D5A2">
            <w:pPr>
              <w:spacing w:after="0" w:line="250" w:lineRule="auto"/>
              <w:jc w:val="left"/>
            </w:pPr>
            <w:r>
              <w:rPr>
                <w:rFonts w:ascii="Consolas" w:hAnsi="Consolas" w:eastAsia="微软雅黑"/>
                <w:color w:val="17365D"/>
                <w:sz w:val="17"/>
                <w:szCs w:val="17"/>
                <w:shd w:val="clear" w:fill="E8EEF3"/>
              </w:rPr>
              <w:t>orchestrate-market-expense-audit</w:t>
            </w:r>
          </w:p>
        </w:tc>
        <w:tc>
          <w:tcPr>
            <w:tcW w:w="166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BA12A4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6"/>
                <w:szCs w:val="16"/>
              </w:rPr>
              <w:t>核销单、材料文件</w:t>
            </w:r>
          </w:p>
        </w:tc>
        <w:tc>
          <w:tcPr>
            <w:tcW w:w="199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CAC0FE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6"/>
                <w:szCs w:val="16"/>
              </w:rPr>
              <w:t>任务 DAG、冻结输入清单</w:t>
            </w:r>
          </w:p>
        </w:tc>
        <w:tc>
          <w:tcPr>
            <w:tcW w:w="12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7F6330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6"/>
                <w:szCs w:val="16"/>
              </w:rPr>
              <w:t>低</w:t>
            </w:r>
          </w:p>
        </w:tc>
        <w:tc>
          <w:tcPr>
            <w:tcW w:w="222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E7CA87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6"/>
                <w:szCs w:val="16"/>
              </w:rPr>
              <w:t>分类冲突、文件危险或缺少场景信息时停止</w:t>
            </w:r>
          </w:p>
        </w:tc>
      </w:tr>
      <w:tr w14:paraId="41967170">
        <w:tblPrEx>
          <w:tblBorders>
            <w:top w:val="single" w:color="B7C9D6" w:sz="2" w:space="0"/>
            <w:left w:val="single" w:color="B7C9D6" w:sz="2" w:space="0"/>
            <w:bottom w:val="single" w:color="B7C9D6" w:sz="2" w:space="0"/>
            <w:right w:val="single" w:color="B7C9D6" w:sz="2" w:space="0"/>
            <w:insideH w:val="single" w:color="B7C9D6" w:sz="2" w:space="0"/>
            <w:insideV w:val="single" w:color="B7C9D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23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4558E4">
            <w:pPr>
              <w:spacing w:after="0" w:line="250" w:lineRule="auto"/>
              <w:jc w:val="left"/>
            </w:pPr>
            <w:r>
              <w:rPr>
                <w:rFonts w:ascii="Consolas" w:hAnsi="Consolas" w:eastAsia="微软雅黑"/>
                <w:color w:val="17365D"/>
                <w:sz w:val="17"/>
                <w:szCs w:val="17"/>
                <w:shd w:val="clear" w:fill="E8EEF3"/>
              </w:rPr>
              <w:t>extract-audit-documents</w:t>
            </w:r>
          </w:p>
        </w:tc>
        <w:tc>
          <w:tcPr>
            <w:tcW w:w="1661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E9C4AA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6"/>
                <w:szCs w:val="16"/>
              </w:rPr>
              <w:t>合同、结算单、盖章 POS</w:t>
            </w:r>
          </w:p>
        </w:tc>
        <w:tc>
          <w:tcPr>
            <w:tcW w:w="1998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9A7770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6"/>
                <w:szCs w:val="16"/>
              </w:rPr>
              <w:t>字段/表格/签章证据</w:t>
            </w:r>
          </w:p>
        </w:tc>
        <w:tc>
          <w:tcPr>
            <w:tcW w:w="1250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39B67D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6"/>
                <w:szCs w:val="16"/>
              </w:rPr>
              <w:t>中</w:t>
            </w:r>
          </w:p>
        </w:tc>
        <w:tc>
          <w:tcPr>
            <w:tcW w:w="2222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8F97BD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6"/>
                <w:szCs w:val="16"/>
              </w:rPr>
              <w:t>关键字段低置信度输出 UNKNOWN，不补写</w:t>
            </w:r>
          </w:p>
        </w:tc>
      </w:tr>
      <w:tr w14:paraId="63DA65FD">
        <w:tblPrEx>
          <w:tblBorders>
            <w:top w:val="single" w:color="B7C9D6" w:sz="2" w:space="0"/>
            <w:left w:val="single" w:color="B7C9D6" w:sz="2" w:space="0"/>
            <w:bottom w:val="single" w:color="B7C9D6" w:sz="2" w:space="0"/>
            <w:right w:val="single" w:color="B7C9D6" w:sz="2" w:space="0"/>
            <w:insideH w:val="single" w:color="B7C9D6" w:sz="2" w:space="0"/>
            <w:insideV w:val="single" w:color="B7C9D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2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740B6E">
            <w:pPr>
              <w:spacing w:after="0" w:line="250" w:lineRule="auto"/>
              <w:jc w:val="left"/>
            </w:pPr>
            <w:r>
              <w:rPr>
                <w:rFonts w:ascii="Consolas" w:hAnsi="Consolas" w:eastAsia="微软雅黑"/>
                <w:color w:val="17365D"/>
                <w:sz w:val="17"/>
                <w:szCs w:val="17"/>
                <w:shd w:val="clear" w:fill="E8EEF3"/>
              </w:rPr>
              <w:t>inspect-display-photos</w:t>
            </w:r>
          </w:p>
        </w:tc>
        <w:tc>
          <w:tcPr>
            <w:tcW w:w="166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C26A7C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6"/>
                <w:szCs w:val="16"/>
              </w:rPr>
              <w:t>原始照片、合同门店</w:t>
            </w:r>
          </w:p>
        </w:tc>
        <w:tc>
          <w:tcPr>
            <w:tcW w:w="199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19F77D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6"/>
                <w:szCs w:val="16"/>
              </w:rPr>
              <w:t>逐照片/逐门店视觉证据</w:t>
            </w:r>
          </w:p>
        </w:tc>
        <w:tc>
          <w:tcPr>
            <w:tcW w:w="12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A39536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6"/>
                <w:szCs w:val="16"/>
              </w:rPr>
              <w:t>中</w:t>
            </w:r>
          </w:p>
        </w:tc>
        <w:tc>
          <w:tcPr>
            <w:tcW w:w="222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4BF8BE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6"/>
                <w:szCs w:val="16"/>
              </w:rPr>
              <w:t>文件名不得作为日期或地点独立证明</w:t>
            </w:r>
          </w:p>
        </w:tc>
      </w:tr>
      <w:tr w14:paraId="35B4F404">
        <w:tblPrEx>
          <w:tblBorders>
            <w:top w:val="single" w:color="B7C9D6" w:sz="2" w:space="0"/>
            <w:left w:val="single" w:color="B7C9D6" w:sz="2" w:space="0"/>
            <w:bottom w:val="single" w:color="B7C9D6" w:sz="2" w:space="0"/>
            <w:right w:val="single" w:color="B7C9D6" w:sz="2" w:space="0"/>
            <w:insideH w:val="single" w:color="B7C9D6" w:sz="2" w:space="0"/>
            <w:insideV w:val="single" w:color="B7C9D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23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AD7B84">
            <w:pPr>
              <w:spacing w:after="0" w:line="250" w:lineRule="auto"/>
              <w:jc w:val="left"/>
            </w:pPr>
            <w:r>
              <w:rPr>
                <w:rFonts w:ascii="Consolas" w:hAnsi="Consolas" w:eastAsia="微软雅黑"/>
                <w:color w:val="17365D"/>
                <w:sz w:val="17"/>
                <w:szCs w:val="17"/>
                <w:shd w:val="clear" w:fill="E8EEF3"/>
              </w:rPr>
              <w:t>inspect-payment-evidence</w:t>
            </w:r>
          </w:p>
        </w:tc>
        <w:tc>
          <w:tcPr>
            <w:tcW w:w="1661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C67329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6"/>
                <w:szCs w:val="16"/>
              </w:rPr>
              <w:t>截图、微信导出、工资明细</w:t>
            </w:r>
          </w:p>
        </w:tc>
        <w:tc>
          <w:tcPr>
            <w:tcW w:w="1998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83F48E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6"/>
                <w:szCs w:val="16"/>
              </w:rPr>
              <w:t>逐笔支付证据与去重候选</w:t>
            </w:r>
          </w:p>
        </w:tc>
        <w:tc>
          <w:tcPr>
            <w:tcW w:w="1250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BCD863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6"/>
                <w:szCs w:val="16"/>
              </w:rPr>
              <w:t>中</w:t>
            </w:r>
          </w:p>
        </w:tc>
        <w:tc>
          <w:tcPr>
            <w:tcW w:w="2222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5CFEFB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6"/>
                <w:szCs w:val="16"/>
              </w:rPr>
              <w:t>无交易唯一标识不得擅自合并同额记录</w:t>
            </w:r>
          </w:p>
        </w:tc>
      </w:tr>
      <w:tr w14:paraId="581D7C09">
        <w:tblPrEx>
          <w:tblBorders>
            <w:top w:val="single" w:color="B7C9D6" w:sz="2" w:space="0"/>
            <w:left w:val="single" w:color="B7C9D6" w:sz="2" w:space="0"/>
            <w:bottom w:val="single" w:color="B7C9D6" w:sz="2" w:space="0"/>
            <w:right w:val="single" w:color="B7C9D6" w:sz="2" w:space="0"/>
            <w:insideH w:val="single" w:color="B7C9D6" w:sz="2" w:space="0"/>
            <w:insideV w:val="single" w:color="B7C9D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2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693A91">
            <w:pPr>
              <w:spacing w:after="0" w:line="250" w:lineRule="auto"/>
              <w:jc w:val="left"/>
            </w:pPr>
            <w:r>
              <w:rPr>
                <w:rFonts w:ascii="Consolas" w:hAnsi="Consolas" w:eastAsia="微软雅黑"/>
                <w:color w:val="17365D"/>
                <w:sz w:val="17"/>
                <w:szCs w:val="17"/>
                <w:shd w:val="clear" w:fill="E8EEF3"/>
              </w:rPr>
              <w:t>audit-promotional-display</w:t>
            </w:r>
          </w:p>
        </w:tc>
        <w:tc>
          <w:tcPr>
            <w:tcW w:w="166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098F1B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6"/>
                <w:szCs w:val="16"/>
              </w:rPr>
              <w:t>已验证证据</w:t>
            </w:r>
          </w:p>
        </w:tc>
        <w:tc>
          <w:tcPr>
            <w:tcW w:w="199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E3F41B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6"/>
                <w:szCs w:val="16"/>
              </w:rPr>
              <w:t>逐门店规则、支持金额</w:t>
            </w:r>
          </w:p>
        </w:tc>
        <w:tc>
          <w:tcPr>
            <w:tcW w:w="12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22342F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6"/>
                <w:szCs w:val="16"/>
              </w:rPr>
              <w:t>低</w:t>
            </w:r>
          </w:p>
        </w:tc>
        <w:tc>
          <w:tcPr>
            <w:tcW w:w="222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7C6004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6"/>
                <w:szCs w:val="16"/>
              </w:rPr>
              <w:t>任一强制门店规则 UNKNOWN 时该店金额为 0</w:t>
            </w:r>
          </w:p>
        </w:tc>
      </w:tr>
      <w:tr w14:paraId="3ED6293F">
        <w:tblPrEx>
          <w:tblBorders>
            <w:top w:val="single" w:color="B7C9D6" w:sz="2" w:space="0"/>
            <w:left w:val="single" w:color="B7C9D6" w:sz="2" w:space="0"/>
            <w:bottom w:val="single" w:color="B7C9D6" w:sz="2" w:space="0"/>
            <w:right w:val="single" w:color="B7C9D6" w:sz="2" w:space="0"/>
            <w:insideH w:val="single" w:color="B7C9D6" w:sz="2" w:space="0"/>
            <w:insideV w:val="single" w:color="B7C9D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23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44C297">
            <w:pPr>
              <w:spacing w:after="0" w:line="250" w:lineRule="auto"/>
              <w:jc w:val="left"/>
            </w:pPr>
            <w:r>
              <w:rPr>
                <w:rFonts w:ascii="Consolas" w:hAnsi="Consolas" w:eastAsia="微软雅黑"/>
                <w:color w:val="17365D"/>
                <w:sz w:val="17"/>
                <w:szCs w:val="17"/>
                <w:shd w:val="clear" w:fill="E8EEF3"/>
              </w:rPr>
              <w:t>audit-personnel-incentive</w:t>
            </w:r>
          </w:p>
        </w:tc>
        <w:tc>
          <w:tcPr>
            <w:tcW w:w="1661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A57C9B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6"/>
                <w:szCs w:val="16"/>
              </w:rPr>
              <w:t>已验证证据</w:t>
            </w:r>
          </w:p>
        </w:tc>
        <w:tc>
          <w:tcPr>
            <w:tcW w:w="1998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6DB444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6"/>
                <w:szCs w:val="16"/>
              </w:rPr>
              <w:t>逐 SKU/逐支付规则、支持金额</w:t>
            </w:r>
          </w:p>
        </w:tc>
        <w:tc>
          <w:tcPr>
            <w:tcW w:w="1250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CE26BD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6"/>
                <w:szCs w:val="16"/>
              </w:rPr>
              <w:t>低</w:t>
            </w:r>
          </w:p>
        </w:tc>
        <w:tc>
          <w:tcPr>
            <w:tcW w:w="2222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699780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6"/>
                <w:szCs w:val="16"/>
              </w:rPr>
              <w:t>聚合金额一致不能替代行级匹配</w:t>
            </w:r>
          </w:p>
        </w:tc>
      </w:tr>
      <w:tr w14:paraId="64E607FA">
        <w:tblPrEx>
          <w:tblBorders>
            <w:top w:val="single" w:color="B7C9D6" w:sz="2" w:space="0"/>
            <w:left w:val="single" w:color="B7C9D6" w:sz="2" w:space="0"/>
            <w:bottom w:val="single" w:color="B7C9D6" w:sz="2" w:space="0"/>
            <w:right w:val="single" w:color="B7C9D6" w:sz="2" w:space="0"/>
            <w:insideH w:val="single" w:color="B7C9D6" w:sz="2" w:space="0"/>
            <w:insideV w:val="single" w:color="B7C9D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2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5A1174">
            <w:pPr>
              <w:spacing w:after="0" w:line="250" w:lineRule="auto"/>
              <w:jc w:val="left"/>
            </w:pPr>
            <w:r>
              <w:rPr>
                <w:rFonts w:ascii="Consolas" w:hAnsi="Consolas" w:eastAsia="微软雅黑"/>
                <w:color w:val="17365D"/>
                <w:sz w:val="17"/>
                <w:szCs w:val="17"/>
                <w:shd w:val="clear" w:fill="E8EEF3"/>
              </w:rPr>
              <w:t>judge-market-expense-audit</w:t>
            </w:r>
          </w:p>
        </w:tc>
        <w:tc>
          <w:tcPr>
            <w:tcW w:w="166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4C3FDF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6"/>
                <w:szCs w:val="16"/>
              </w:rPr>
              <w:t>规则结果、金额结果</w:t>
            </w:r>
          </w:p>
        </w:tc>
        <w:tc>
          <w:tcPr>
            <w:tcW w:w="199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3795D4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6"/>
                <w:szCs w:val="16"/>
              </w:rPr>
              <w:t>最终建议与补件文本</w:t>
            </w:r>
          </w:p>
        </w:tc>
        <w:tc>
          <w:tcPr>
            <w:tcW w:w="12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B157FA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6"/>
                <w:szCs w:val="16"/>
              </w:rPr>
              <w:t>中</w:t>
            </w:r>
          </w:p>
        </w:tc>
        <w:tc>
          <w:tcPr>
            <w:tcW w:w="222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DAB902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6"/>
                <w:szCs w:val="16"/>
              </w:rPr>
              <w:t>不得修改程序计算金额；违反即降级人工</w:t>
            </w:r>
          </w:p>
        </w:tc>
      </w:tr>
    </w:tbl>
    <w:p w14:paraId="0C84A0CF">
      <w:pPr>
        <w:spacing w:after="90"/>
      </w:pPr>
    </w:p>
    <w:p w14:paraId="46B87001">
      <w:pPr>
        <w:pStyle w:val="4"/>
        <w:keepNext/>
        <w:spacing w:before="170" w:after="90"/>
      </w:pPr>
      <w:bookmarkStart w:id="22" w:name="_Toc2032"/>
      <w:r>
        <w:rPr>
          <w:rFonts w:ascii="Arial" w:hAnsi="Arial" w:eastAsia="微软雅黑"/>
          <w:b/>
          <w:bCs/>
          <w:color w:val="2F75B5"/>
          <w:sz w:val="23"/>
          <w:szCs w:val="23"/>
        </w:rPr>
        <w:t>7.3 主编排 Skill 工作流</w:t>
      </w:r>
      <w:bookmarkEnd w:id="22"/>
    </w:p>
    <w:p w14:paraId="36A2BEAB">
      <w:pPr>
        <w:keepNext w:val="0"/>
        <w:spacing w:before="0" w:after="110" w:line="330" w:lineRule="auto"/>
        <w:ind w:firstLine="420"/>
        <w:jc w:val="both"/>
      </w:pPr>
      <w:r>
        <w:rPr>
          <w:rFonts w:ascii="Consolas" w:hAnsi="Consolas" w:eastAsia="微软雅黑"/>
          <w:color w:val="17365D"/>
          <w:sz w:val="19"/>
          <w:szCs w:val="19"/>
          <w:shd w:val="clear" w:fill="E8EEF3"/>
        </w:rPr>
        <w:t>orchestrate-market-expense-audit/SKILL.md</w:t>
      </w: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 xml:space="preserve"> 固定执行以下步骤：</w:t>
      </w:r>
    </w:p>
    <w:p w14:paraId="08DEBAAD">
      <w:pPr>
        <w:pStyle w:val="19"/>
        <w:numPr>
          <w:ilvl w:val="0"/>
          <w:numId w:val="4"/>
        </w:numPr>
        <w:spacing w:after="70" w:line="310" w:lineRule="auto"/>
        <w:ind w:left="680" w:hanging="36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冻结核销单、源文件和规则版本。</w:t>
      </w:r>
    </w:p>
    <w:p w14:paraId="20D9AE96">
      <w:pPr>
        <w:pStyle w:val="19"/>
        <w:numPr>
          <w:ilvl w:val="0"/>
          <w:numId w:val="4"/>
        </w:numPr>
        <w:spacing w:after="70" w:line="310" w:lineRule="auto"/>
        <w:ind w:left="680" w:hanging="36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安全校验文件并生成材料清单。</w:t>
      </w:r>
    </w:p>
    <w:p w14:paraId="43EF6E6B">
      <w:pPr>
        <w:pStyle w:val="19"/>
        <w:numPr>
          <w:ilvl w:val="0"/>
          <w:numId w:val="4"/>
        </w:numPr>
        <w:spacing w:after="70" w:line="310" w:lineRule="auto"/>
        <w:ind w:left="680" w:hanging="36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调用材料分类，拒绝模糊路由。</w:t>
      </w:r>
    </w:p>
    <w:p w14:paraId="64BB01F4">
      <w:pPr>
        <w:pStyle w:val="19"/>
        <w:numPr>
          <w:ilvl w:val="0"/>
          <w:numId w:val="4"/>
        </w:numPr>
        <w:spacing w:after="70" w:line="310" w:lineRule="auto"/>
        <w:ind w:left="680" w:hanging="36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并行调用文档、照片和支付证据 Skill。</w:t>
      </w:r>
    </w:p>
    <w:p w14:paraId="1470CFEC">
      <w:pPr>
        <w:pStyle w:val="19"/>
        <w:numPr>
          <w:ilvl w:val="0"/>
          <w:numId w:val="4"/>
        </w:numPr>
        <w:spacing w:after="70" w:line="310" w:lineRule="auto"/>
        <w:ind w:left="680" w:hanging="36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对所有模型输出执行 JSON Schema 校验。</w:t>
      </w:r>
    </w:p>
    <w:p w14:paraId="71174CEE">
      <w:pPr>
        <w:pStyle w:val="19"/>
        <w:numPr>
          <w:ilvl w:val="0"/>
          <w:numId w:val="4"/>
        </w:numPr>
        <w:spacing w:after="70" w:line="310" w:lineRule="auto"/>
        <w:ind w:left="680" w:hanging="36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调用对应场景 Skill 完成确定性勾稽。</w:t>
      </w:r>
    </w:p>
    <w:p w14:paraId="67FA9A33">
      <w:pPr>
        <w:pStyle w:val="19"/>
        <w:numPr>
          <w:ilvl w:val="0"/>
          <w:numId w:val="4"/>
        </w:numPr>
        <w:spacing w:after="70" w:line="310" w:lineRule="auto"/>
        <w:ind w:left="680" w:hanging="36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调用判断 Skill 形成审核建议。</w:t>
      </w:r>
    </w:p>
    <w:p w14:paraId="088F818B">
      <w:pPr>
        <w:pStyle w:val="19"/>
        <w:numPr>
          <w:ilvl w:val="0"/>
          <w:numId w:val="4"/>
        </w:numPr>
        <w:spacing w:after="70" w:line="310" w:lineRule="auto"/>
        <w:ind w:left="680" w:hanging="36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调用 Decision Guard 校验最终结果。</w:t>
      </w:r>
    </w:p>
    <w:p w14:paraId="3B2D74AD">
      <w:pPr>
        <w:pStyle w:val="19"/>
        <w:numPr>
          <w:ilvl w:val="0"/>
          <w:numId w:val="4"/>
        </w:numPr>
        <w:spacing w:after="70" w:line="310" w:lineRule="auto"/>
        <w:ind w:left="680" w:hanging="36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生成报告、人工任务和系统回写消息。</w:t>
      </w:r>
    </w:p>
    <w:p w14:paraId="2872A1A9">
      <w:pPr>
        <w:pStyle w:val="19"/>
        <w:numPr>
          <w:ilvl w:val="0"/>
          <w:numId w:val="4"/>
        </w:numPr>
        <w:spacing w:after="70" w:line="310" w:lineRule="auto"/>
        <w:ind w:left="680" w:hanging="36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保存版本、哈希、规则、证据和人工操作记录。</w:t>
      </w:r>
    </w:p>
    <w:p w14:paraId="10CFECE6">
      <w:pPr>
        <w:pStyle w:val="4"/>
        <w:keepNext/>
        <w:spacing w:before="170" w:after="90"/>
      </w:pPr>
      <w:bookmarkStart w:id="23" w:name="_Toc8341"/>
      <w:r>
        <w:rPr>
          <w:rFonts w:ascii="Arial" w:hAnsi="Arial" w:eastAsia="微软雅黑"/>
          <w:b/>
          <w:bCs/>
          <w:color w:val="2F75B5"/>
          <w:sz w:val="23"/>
          <w:szCs w:val="23"/>
        </w:rPr>
        <w:t>7.4 判断 Skill 核心约束示例</w:t>
      </w:r>
      <w:bookmarkEnd w:id="23"/>
    </w:p>
    <w:p w14:paraId="65188E7D">
      <w:pPr>
        <w:pBdr>
          <w:top w:val="single" w:color="D8DEE5" w:sz="2" w:space="3"/>
          <w:left w:val="single" w:color="2F75B5" w:sz="10" w:space="6"/>
          <w:bottom w:val="single" w:color="D8DEE5" w:sz="2" w:space="3"/>
          <w:right w:val="single" w:color="D8DEE5" w:sz="2" w:space="3"/>
        </w:pBdr>
        <w:shd w:val="clear" w:fill="F3F5F7"/>
        <w:spacing w:before="80" w:after="150" w:line="260" w:lineRule="auto"/>
        <w:ind w:left="260" w:right="180"/>
      </w:pPr>
      <w:r>
        <w:rPr>
          <w:rFonts w:ascii="Consolas" w:hAnsi="Consolas" w:eastAsia="微软雅黑"/>
          <w:color w:val="243447"/>
          <w:sz w:val="17"/>
          <w:szCs w:val="17"/>
        </w:rPr>
        <w:t>---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>name: judge-market-expense-audit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>description: Generate a constrained final recommendation for a promotional-display or personnel-incentive reimbursement case from schema-validated rule results and deterministic amount calculations. Use only after the scenario audit Skill has completed.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>---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># Judge Market Expense Audit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>1. Read only validated `rule_result` and deterministic amount outputs.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>2. Do not re-extract facts from raw files and do not recalculate money.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>3. Apply global blockers before unit-level results.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>4. Never convert `UNKNOWN` into `PASS`.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>5. Set `suggested_approved_amount` exactly to the supplied guarded amount.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>6. Cite at least one rule ID and evidence reference for every blocking reason.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>7. If inputs conflict, output `MANUAL_REVIEW`.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>8. Return exactly one JSON object conforming to `decision.schema.json`.</w:t>
      </w:r>
    </w:p>
    <w:p w14:paraId="6096D662">
      <w:pPr>
        <w:pStyle w:val="4"/>
        <w:keepNext/>
        <w:spacing w:before="170" w:after="90"/>
      </w:pPr>
      <w:bookmarkStart w:id="24" w:name="_Toc17877"/>
      <w:r>
        <w:rPr>
          <w:rFonts w:ascii="Arial" w:hAnsi="Arial" w:eastAsia="微软雅黑"/>
          <w:b/>
          <w:bCs/>
          <w:color w:val="2F75B5"/>
          <w:sz w:val="23"/>
          <w:szCs w:val="23"/>
        </w:rPr>
        <w:t>7.5 Skill 验证机制</w:t>
      </w:r>
      <w:bookmarkEnd w:id="24"/>
    </w:p>
    <w:p w14:paraId="7F53FD4D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 xml:space="preserve">每个 Skill 的 </w:t>
      </w:r>
      <w:r>
        <w:rPr>
          <w:rFonts w:ascii="Consolas" w:hAnsi="Consolas" w:eastAsia="微软雅黑"/>
          <w:color w:val="17365D"/>
          <w:sz w:val="19"/>
          <w:szCs w:val="19"/>
          <w:shd w:val="clear" w:fill="E8EEF3"/>
        </w:rPr>
        <w:t>SKILL.md</w:t>
      </w: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 xml:space="preserve"> 保持短流程，详细规则、字典和 Schema 放入 </w:t>
      </w:r>
      <w:r>
        <w:rPr>
          <w:rFonts w:ascii="Consolas" w:hAnsi="Consolas" w:eastAsia="微软雅黑"/>
          <w:color w:val="17365D"/>
          <w:sz w:val="19"/>
          <w:szCs w:val="19"/>
          <w:shd w:val="clear" w:fill="E8EEF3"/>
        </w:rPr>
        <w:t>references/</w:t>
      </w: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。</w:t>
      </w:r>
    </w:p>
    <w:p w14:paraId="391E8504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 xml:space="preserve">脆弱操作全部封装为 </w:t>
      </w:r>
      <w:r>
        <w:rPr>
          <w:rFonts w:ascii="Consolas" w:hAnsi="Consolas" w:eastAsia="微软雅黑"/>
          <w:color w:val="17365D"/>
          <w:sz w:val="19"/>
          <w:szCs w:val="19"/>
          <w:shd w:val="clear" w:fill="E8EEF3"/>
        </w:rPr>
        <w:t>scripts/</w:t>
      </w: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，例如金额重算、Excel 行级读取、哈希、模板注册、规则执行和结果校验。</w:t>
      </w:r>
    </w:p>
    <w:p w14:paraId="4FCFE111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对 Skill 前置/后置条件执行自动测试；缺失引用、Schema 不匹配、规则 ID 不存在均阻断发布。</w:t>
      </w:r>
    </w:p>
    <w:p w14:paraId="53EE5777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Skill、提示词、模型和规则分别版本化，可独立灰度和回滚。</w:t>
      </w:r>
    </w:p>
    <w:p w14:paraId="2DFFB7CD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新版本先运行历史金标回归，再进入影子模式，不直接影响生产审批。</w:t>
      </w:r>
    </w:p>
    <w:p w14:paraId="6B90FB8F">
      <w:pPr>
        <w:pStyle w:val="3"/>
        <w:keepNext/>
        <w:spacing w:before="220" w:after="110"/>
      </w:pPr>
      <w:bookmarkStart w:id="25" w:name="_Toc11192"/>
      <w:r>
        <w:rPr>
          <w:rFonts w:ascii="Arial" w:hAnsi="Arial" w:eastAsia="微软雅黑"/>
          <w:b/>
          <w:bCs/>
          <w:color w:val="1F4E78"/>
          <w:sz w:val="27"/>
          <w:szCs w:val="27"/>
        </w:rPr>
        <w:t>8. OCR 与视觉识别方案</w:t>
      </w:r>
      <w:bookmarkEnd w:id="25"/>
    </w:p>
    <w:p w14:paraId="2D4D2114">
      <w:pPr>
        <w:pStyle w:val="4"/>
        <w:keepNext/>
        <w:spacing w:before="170" w:after="90"/>
      </w:pPr>
      <w:bookmarkStart w:id="26" w:name="_Toc20375"/>
      <w:r>
        <w:rPr>
          <w:rFonts w:ascii="Arial" w:hAnsi="Arial" w:eastAsia="微软雅黑"/>
          <w:b/>
          <w:bCs/>
          <w:color w:val="2F75B5"/>
          <w:sz w:val="23"/>
          <w:szCs w:val="23"/>
        </w:rPr>
        <w:t>8.1 通用图像预处理</w:t>
      </w:r>
      <w:bookmarkEnd w:id="26"/>
    </w:p>
    <w:p w14:paraId="2CAF0128">
      <w:pPr>
        <w:keepNext w:val="0"/>
        <w:spacing w:before="0" w:after="110" w:line="330" w:lineRule="auto"/>
        <w:ind w:firstLine="420"/>
        <w:jc w:val="both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所有文档图片先保留原图，再生成识别副本，处理链路如下：</w:t>
      </w:r>
    </w:p>
    <w:p w14:paraId="665E2D2F">
      <w:pPr>
        <w:pStyle w:val="19"/>
        <w:numPr>
          <w:ilvl w:val="0"/>
          <w:numId w:val="5"/>
        </w:numPr>
        <w:spacing w:after="70" w:line="310" w:lineRule="auto"/>
        <w:ind w:left="680" w:hanging="36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读取并应用 EXIF Orientation，不改写原文件。</w:t>
      </w:r>
    </w:p>
    <w:p w14:paraId="03B686D5">
      <w:pPr>
        <w:pStyle w:val="19"/>
        <w:numPr>
          <w:ilvl w:val="0"/>
          <w:numId w:val="5"/>
        </w:numPr>
        <w:spacing w:after="70" w:line="310" w:lineRule="auto"/>
        <w:ind w:left="680" w:hanging="36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通过方向分类器识别 0°/90°/180°/270°，以文本方向一致性二次确认。</w:t>
      </w:r>
    </w:p>
    <w:p w14:paraId="7FE9F102">
      <w:pPr>
        <w:pStyle w:val="19"/>
        <w:numPr>
          <w:ilvl w:val="0"/>
          <w:numId w:val="5"/>
        </w:numPr>
        <w:spacing w:after="70" w:line="310" w:lineRule="auto"/>
        <w:ind w:left="680" w:hanging="36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检测纸张四边形并做透视矫正；无法稳定检测时保留原图并标记质量风险。</w:t>
      </w:r>
    </w:p>
    <w:p w14:paraId="05987C50">
      <w:pPr>
        <w:pStyle w:val="19"/>
        <w:numPr>
          <w:ilvl w:val="0"/>
          <w:numId w:val="5"/>
        </w:numPr>
        <w:spacing w:after="70" w:line="310" w:lineRule="auto"/>
        <w:ind w:left="680" w:hanging="36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使用霍夫线/文本基线完成小角度去倾斜。</w:t>
      </w:r>
    </w:p>
    <w:p w14:paraId="6A0F2384">
      <w:pPr>
        <w:pStyle w:val="19"/>
        <w:numPr>
          <w:ilvl w:val="0"/>
          <w:numId w:val="5"/>
        </w:numPr>
        <w:spacing w:after="70" w:line="310" w:lineRule="auto"/>
        <w:ind w:left="680" w:hanging="36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生成原彩、灰度、局部对比度增强、锐化和自适应二值化等多路识别副本。</w:t>
      </w:r>
    </w:p>
    <w:p w14:paraId="1CFE3B61">
      <w:pPr>
        <w:pStyle w:val="19"/>
        <w:numPr>
          <w:ilvl w:val="0"/>
          <w:numId w:val="5"/>
        </w:numPr>
        <w:spacing w:after="70" w:line="310" w:lineRule="auto"/>
        <w:ind w:left="680" w:hanging="36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计算清晰度、曝光、反光、遮挡、裁切和最低有效分辨率。</w:t>
      </w:r>
    </w:p>
    <w:p w14:paraId="748F24B9">
      <w:pPr>
        <w:pStyle w:val="19"/>
        <w:numPr>
          <w:ilvl w:val="0"/>
          <w:numId w:val="5"/>
        </w:numPr>
        <w:spacing w:after="70" w:line="310" w:lineRule="auto"/>
        <w:ind w:left="680" w:hanging="36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OCR 同时执行全页识别和模板 ROI 识别；关键字段需多路结果一致或进入复核。</w:t>
      </w:r>
    </w:p>
    <w:p w14:paraId="19CBCCD2">
      <w:pPr>
        <w:keepNext w:val="0"/>
        <w:spacing w:before="0" w:after="110" w:line="330" w:lineRule="auto"/>
        <w:ind w:firstLine="420"/>
        <w:jc w:val="both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样例结算单存在 90° 旋转、拍摄透视、页面弯曲及红章覆盖日期等情况，因此不得只做一次全图 OCR。印章区域需在彩色图上单独检测，同时在“保留红章”和“弱化红章”两种副本上识别被覆盖文字，并将冲突字段标记为人工确认。</w:t>
      </w:r>
    </w:p>
    <w:p w14:paraId="57223DF3">
      <w:pPr>
        <w:pStyle w:val="4"/>
        <w:keepNext/>
        <w:spacing w:before="170" w:after="90"/>
      </w:pPr>
      <w:bookmarkStart w:id="27" w:name="_Toc8213"/>
      <w:r>
        <w:rPr>
          <w:rFonts w:ascii="Arial" w:hAnsi="Arial" w:eastAsia="微软雅黑"/>
          <w:b/>
          <w:bCs/>
          <w:color w:val="2F75B5"/>
          <w:sz w:val="23"/>
          <w:szCs w:val="23"/>
        </w:rPr>
        <w:t>8.2 材料分类</w:t>
      </w:r>
      <w:bookmarkEnd w:id="27"/>
    </w:p>
    <w:p w14:paraId="383227A0">
      <w:pPr>
        <w:keepNext w:val="0"/>
        <w:spacing w:before="0" w:after="110" w:line="330" w:lineRule="auto"/>
        <w:ind w:firstLine="420"/>
        <w:jc w:val="both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材料分类使用“规则优先、模型补充”的组合：</w:t>
      </w:r>
    </w:p>
    <w:p w14:paraId="7E2836ED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文件魔数与原生结构：识别 PDF、Excel、CSV、图片和压缩包。</w:t>
      </w:r>
    </w:p>
    <w:p w14:paraId="625B408F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文件名关键词仅作为弱特征，不直接决定材料类型。</w:t>
      </w:r>
    </w:p>
    <w:p w14:paraId="0D9926E8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文档首页缩略图 + OCR 标题 + 版面特征判断合同、结算单、盖章 POS、发放明细。</w:t>
      </w:r>
    </w:p>
    <w:p w14:paraId="4DDF240A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图片 UI 结构判断红包/转账截图，场景视觉特征判断地堆/陈列照片。</w:t>
      </w:r>
    </w:p>
    <w:p w14:paraId="385A5963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 xml:space="preserve">分类置信度不足或一个文件命中多个材料类型时，输出 </w:t>
      </w:r>
      <w:r>
        <w:rPr>
          <w:rFonts w:ascii="Consolas" w:hAnsi="Consolas" w:eastAsia="微软雅黑"/>
          <w:color w:val="17365D"/>
          <w:sz w:val="19"/>
          <w:szCs w:val="19"/>
          <w:shd w:val="clear" w:fill="E8EEF3"/>
        </w:rPr>
        <w:t>classification_ambiguous</w:t>
      </w: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，由人工选择。</w:t>
      </w:r>
    </w:p>
    <w:p w14:paraId="6C20B499">
      <w:pPr>
        <w:pStyle w:val="4"/>
        <w:keepNext/>
        <w:spacing w:before="170" w:after="90"/>
      </w:pPr>
      <w:bookmarkStart w:id="28" w:name="_Toc1084"/>
      <w:r>
        <w:rPr>
          <w:rFonts w:ascii="Arial" w:hAnsi="Arial" w:eastAsia="微软雅黑"/>
          <w:b/>
          <w:bCs/>
          <w:color w:val="2F75B5"/>
          <w:sz w:val="23"/>
          <w:szCs w:val="23"/>
        </w:rPr>
        <w:t>8.3 统一结算单 OCR</w:t>
      </w:r>
      <w:bookmarkEnd w:id="28"/>
    </w:p>
    <w:p w14:paraId="13D6E542">
      <w:pPr>
        <w:pStyle w:val="19"/>
        <w:numPr>
          <w:ilvl w:val="0"/>
          <w:numId w:val="6"/>
        </w:numPr>
        <w:spacing w:after="70" w:line="310" w:lineRule="auto"/>
        <w:ind w:left="680" w:hanging="36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建立结算单模板注册表：</w:t>
      </w:r>
      <w:r>
        <w:rPr>
          <w:rFonts w:ascii="Consolas" w:hAnsi="Consolas" w:eastAsia="微软雅黑"/>
          <w:color w:val="17365D"/>
          <w:sz w:val="19"/>
          <w:szCs w:val="19"/>
          <w:shd w:val="clear" w:fill="E8EEF3"/>
        </w:rPr>
        <w:t>template_id</w:t>
      </w: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、版本、参考图、Logo/标题/表头锚点、关键 ROI 和允许版式偏移。</w:t>
      </w:r>
    </w:p>
    <w:p w14:paraId="53A42BA2">
      <w:pPr>
        <w:pStyle w:val="19"/>
        <w:numPr>
          <w:ilvl w:val="0"/>
          <w:numId w:val="6"/>
        </w:numPr>
        <w:spacing w:after="70" w:line="310" w:lineRule="auto"/>
        <w:ind w:left="680" w:hanging="36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使用特征点与单应性矩阵将拍照件对齐至参考模板。</w:t>
      </w:r>
    </w:p>
    <w:p w14:paraId="5989A6F2">
      <w:pPr>
        <w:pStyle w:val="19"/>
        <w:numPr>
          <w:ilvl w:val="0"/>
          <w:numId w:val="6"/>
        </w:numPr>
        <w:spacing w:after="70" w:line="310" w:lineRule="auto"/>
        <w:ind w:left="680" w:hanging="36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同时抽取客户名称、项目类型、活动期间、SKU/门店明细、数量、奖励单价、行金额、合计、实际核销金额、签署日期和客户盖章。</w:t>
      </w:r>
    </w:p>
    <w:p w14:paraId="6E5CA424">
      <w:pPr>
        <w:pStyle w:val="19"/>
        <w:numPr>
          <w:ilvl w:val="0"/>
          <w:numId w:val="6"/>
        </w:numPr>
        <w:spacing w:after="70" w:line="310" w:lineRule="auto"/>
        <w:ind w:left="680" w:hanging="36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表格采用“版面检测 → 行列结构 → 单元格 OCR → 行列求和校验”，不以一段自然语言替代表格。</w:t>
      </w:r>
    </w:p>
    <w:p w14:paraId="3567BE96">
      <w:pPr>
        <w:pStyle w:val="19"/>
        <w:numPr>
          <w:ilvl w:val="0"/>
          <w:numId w:val="6"/>
        </w:numPr>
        <w:spacing w:after="70" w:line="310" w:lineRule="auto"/>
        <w:ind w:left="680" w:hanging="36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模板一致性由锚点覆盖率、表头顺序和布局相似度共同判断；仅标题相同不足以认定统一模板。</w:t>
      </w:r>
    </w:p>
    <w:p w14:paraId="7B7C780C">
      <w:pPr>
        <w:pStyle w:val="19"/>
        <w:numPr>
          <w:ilvl w:val="0"/>
          <w:numId w:val="6"/>
        </w:numPr>
        <w:spacing w:after="70" w:line="310" w:lineRule="auto"/>
        <w:ind w:left="680" w:hanging="36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结算行合计、表内总计和实际核销金额分别保存，差额由规则引擎计算。</w:t>
      </w:r>
    </w:p>
    <w:p w14:paraId="1A83916A">
      <w:pPr>
        <w:pStyle w:val="4"/>
        <w:keepNext/>
        <w:spacing w:before="170" w:after="90"/>
      </w:pPr>
      <w:bookmarkStart w:id="29" w:name="_Toc30991"/>
      <w:r>
        <w:rPr>
          <w:rFonts w:ascii="Arial" w:hAnsi="Arial" w:eastAsia="微软雅黑"/>
          <w:b/>
          <w:bCs/>
          <w:color w:val="2F75B5"/>
          <w:sz w:val="23"/>
          <w:szCs w:val="23"/>
        </w:rPr>
        <w:t>8.4 合同 OCR 与签章</w:t>
      </w:r>
      <w:bookmarkEnd w:id="29"/>
    </w:p>
    <w:p w14:paraId="01C3929C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对文本 PDF 优先读取文本层，同时渲染页面进行版面和签章检查。</w:t>
      </w:r>
    </w:p>
    <w:p w14:paraId="3E7F461E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对扫描 PDF 执行逐页 OCR，提取合同主体、项目类型、活动起止日期、门店清单、执行标准、奖励/单店费用、预算/合同金额、付款条件和附件页。</w:t>
      </w:r>
    </w:p>
    <w:p w14:paraId="14D238BF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 xml:space="preserve">对签章检测输出 </w:t>
      </w:r>
      <w:r>
        <w:rPr>
          <w:rFonts w:ascii="Consolas" w:hAnsi="Consolas" w:eastAsia="微软雅黑"/>
          <w:color w:val="17365D"/>
          <w:sz w:val="19"/>
          <w:szCs w:val="19"/>
          <w:shd w:val="clear" w:fill="E8EEF3"/>
        </w:rPr>
        <w:t>seal_visible</w:t>
      </w: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、</w:t>
      </w:r>
      <w:r>
        <w:rPr>
          <w:rFonts w:ascii="Consolas" w:hAnsi="Consolas" w:eastAsia="微软雅黑"/>
          <w:color w:val="17365D"/>
          <w:sz w:val="19"/>
          <w:szCs w:val="19"/>
          <w:shd w:val="clear" w:fill="E8EEF3"/>
        </w:rPr>
        <w:t>signature_visible</w:t>
      </w: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、印章文本、印章主体匹配状态和证据框。</w:t>
      </w:r>
    </w:p>
    <w:p w14:paraId="32979CCE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若 PDF 含数字签名，校验证书链、签名覆盖范围、签名时间和文档修改状态；没有数字签名时明确输出“未提供”，不得用 SHA-256 代替。</w:t>
      </w:r>
    </w:p>
    <w:p w14:paraId="4EAC8800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合同门店清单必须保留原始序号和页码，作为照片绑定主键。</w:t>
      </w:r>
    </w:p>
    <w:p w14:paraId="3C87357F">
      <w:pPr>
        <w:pStyle w:val="4"/>
        <w:keepNext/>
        <w:spacing w:before="170" w:after="90"/>
      </w:pPr>
      <w:bookmarkStart w:id="30" w:name="_Toc4145"/>
      <w:r>
        <w:rPr>
          <w:rFonts w:ascii="Arial" w:hAnsi="Arial" w:eastAsia="微软雅黑"/>
          <w:b/>
          <w:bCs/>
          <w:color w:val="2F75B5"/>
          <w:sz w:val="23"/>
          <w:szCs w:val="23"/>
        </w:rPr>
        <w:t>8.5 盖章 POS 与电子 POS</w:t>
      </w:r>
      <w:bookmarkEnd w:id="30"/>
    </w:p>
    <w:p w14:paraId="27E7DBA2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电子 POS 使用原生 Excel/CSV 解析，保留工作表、Excel 行号、公式和原始单元格值。</w:t>
      </w:r>
    </w:p>
    <w:p w14:paraId="0E911DBF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表头通过可配置同义词识别；条码字段强制按字符串读取，避免科学计数法和前导零丢失。</w:t>
      </w:r>
    </w:p>
    <w:p w14:paraId="3DFFAF41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过滤空行、分组合计和总计行，但保留被过滤行及原因。</w:t>
      </w:r>
    </w:p>
    <w:p w14:paraId="401EF0CE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逐行标准字段包括日期、经销商、门店、SKU/条码、商品名称、数量、单价和金额。</w:t>
      </w:r>
    </w:p>
    <w:p w14:paraId="5D27FA10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盖章 POS 图片/PDF 通过 OCR 结构化后，与电子表按文件总计、门店合计及 SKU 合计三层勾稽。</w:t>
      </w:r>
    </w:p>
    <w:p w14:paraId="2D84BCA4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盖章 POS 只有总计、无明细时，记录其证明范围，不将总计一致替代电子表逐行校验。</w:t>
      </w:r>
    </w:p>
    <w:p w14:paraId="7F7CFE49">
      <w:pPr>
        <w:pStyle w:val="4"/>
        <w:keepNext/>
        <w:spacing w:before="170" w:after="90"/>
      </w:pPr>
      <w:bookmarkStart w:id="31" w:name="_Toc7599"/>
      <w:r>
        <w:rPr>
          <w:rFonts w:ascii="Arial" w:hAnsi="Arial" w:eastAsia="微软雅黑"/>
          <w:b/>
          <w:bCs/>
          <w:color w:val="2F75B5"/>
          <w:sz w:val="23"/>
          <w:szCs w:val="23"/>
        </w:rPr>
        <w:t>8.6 红包、转账及工资打款识别</w:t>
      </w:r>
      <w:bookmarkEnd w:id="31"/>
    </w:p>
    <w:p w14:paraId="7DCEAAD3">
      <w:pPr>
        <w:keepNext w:val="0"/>
        <w:spacing w:before="0" w:after="110" w:line="330" w:lineRule="auto"/>
        <w:ind w:firstLine="420"/>
        <w:jc w:val="both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样例截图同时展示“已被接收”和“已收款”的左右两侧消息，同一金额可能是同一笔交易的双方视图，也可能是不同交易。系统按以下逻辑处理：</w:t>
      </w:r>
    </w:p>
    <w:p w14:paraId="320CC98E">
      <w:pPr>
        <w:pStyle w:val="19"/>
        <w:numPr>
          <w:ilvl w:val="0"/>
          <w:numId w:val="7"/>
        </w:numPr>
        <w:spacing w:after="70" w:line="310" w:lineRule="auto"/>
        <w:ind w:left="680" w:hanging="36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使用 UI 组件检测模型切分每个支付卡片，识别左右方向、金额、状态、头像/会话对象、可见时间和卡片位置。</w:t>
      </w:r>
    </w:p>
    <w:p w14:paraId="7F0EDACE">
      <w:pPr>
        <w:pStyle w:val="19"/>
        <w:numPr>
          <w:ilvl w:val="0"/>
          <w:numId w:val="7"/>
        </w:numPr>
        <w:spacing w:after="70" w:line="310" w:lineRule="auto"/>
        <w:ind w:left="680" w:hanging="36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顶部手机时间仅作为截图时间；聊天分隔时间只作为会话时间。二者均不得直接写入交易日期。</w:t>
      </w:r>
    </w:p>
    <w:p w14:paraId="2D72153D">
      <w:pPr>
        <w:pStyle w:val="19"/>
        <w:numPr>
          <w:ilvl w:val="0"/>
          <w:numId w:val="7"/>
        </w:numPr>
        <w:spacing w:after="70" w:line="310" w:lineRule="auto"/>
        <w:ind w:left="680" w:hanging="36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交易详情页或批量导出中的交易单号是首选唯一键。</w:t>
      </w:r>
    </w:p>
    <w:p w14:paraId="0DFF38C5">
      <w:pPr>
        <w:pStyle w:val="19"/>
        <w:numPr>
          <w:ilvl w:val="0"/>
          <w:numId w:val="7"/>
        </w:numPr>
        <w:spacing w:after="70" w:line="310" w:lineRule="auto"/>
        <w:ind w:left="680" w:hanging="36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只有业务证据明确表明左右卡片为同一交易时才合并；同额记录默认分别保留。</w:t>
      </w:r>
    </w:p>
    <w:p w14:paraId="2D46D324">
      <w:pPr>
        <w:pStyle w:val="19"/>
        <w:numPr>
          <w:ilvl w:val="0"/>
          <w:numId w:val="7"/>
        </w:numPr>
        <w:spacing w:after="70" w:line="310" w:lineRule="auto"/>
        <w:ind w:left="680" w:hanging="36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 xml:space="preserve">截图组合键可使用 </w:t>
      </w:r>
      <w:r>
        <w:rPr>
          <w:rFonts w:ascii="Consolas" w:hAnsi="Consolas" w:eastAsia="微软雅黑"/>
          <w:color w:val="17365D"/>
          <w:sz w:val="19"/>
          <w:szCs w:val="19"/>
          <w:shd w:val="clear" w:fill="E8EEF3"/>
        </w:rPr>
        <w:t>交易单号 + 金额 + 收款人 + 完整交易时间 + 付款主体</w:t>
      </w: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。字段不全时只生成“疑似配对”，不自动去重。</w:t>
      </w:r>
    </w:p>
    <w:p w14:paraId="3A43D01A">
      <w:pPr>
        <w:pStyle w:val="19"/>
        <w:numPr>
          <w:ilvl w:val="0"/>
          <w:numId w:val="7"/>
        </w:numPr>
        <w:spacing w:after="70" w:line="310" w:lineRule="auto"/>
        <w:ind w:left="680" w:hanging="36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群名、联系人名称或文件名不能代替付款主体中的“本公司名称”。</w:t>
      </w:r>
    </w:p>
    <w:p w14:paraId="35646711">
      <w:pPr>
        <w:pStyle w:val="19"/>
        <w:numPr>
          <w:ilvl w:val="0"/>
          <w:numId w:val="7"/>
        </w:numPr>
        <w:spacing w:after="70" w:line="310" w:lineRule="auto"/>
        <w:ind w:left="680" w:hanging="36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优先接入微信批量导出或发放系统导出明细；截图作为辅助证据。结构化明细必须校验字段完整性、总笔数、唯一交易号和总金额。</w:t>
      </w:r>
    </w:p>
    <w:p w14:paraId="1DFDE8C4">
      <w:pPr>
        <w:pStyle w:val="19"/>
        <w:numPr>
          <w:ilvl w:val="0"/>
          <w:numId w:val="7"/>
        </w:numPr>
        <w:spacing w:after="70" w:line="310" w:lineRule="auto"/>
        <w:ind w:left="680" w:hanging="36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计算有效支付总额前，逐笔排除失败、撤回、未知状态、期外和付款主体不匹配记录。</w:t>
      </w:r>
    </w:p>
    <w:p w14:paraId="0F0EFE0E">
      <w:pPr>
        <w:pStyle w:val="4"/>
        <w:keepNext/>
        <w:spacing w:before="170" w:after="90"/>
      </w:pPr>
      <w:bookmarkStart w:id="32" w:name="_Toc8567"/>
      <w:r>
        <w:rPr>
          <w:rFonts w:ascii="Arial" w:hAnsi="Arial" w:eastAsia="微软雅黑"/>
          <w:b/>
          <w:bCs/>
          <w:color w:val="2F75B5"/>
          <w:sz w:val="23"/>
          <w:szCs w:val="23"/>
        </w:rPr>
        <w:t>8.7 地堆照片水印 OCR</w:t>
      </w:r>
      <w:bookmarkEnd w:id="32"/>
    </w:p>
    <w:p w14:paraId="34F70E74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使用全图 OCR 与水印检测器并行，不固定只截取图片底部，以适配不同水印相机版式。</w:t>
      </w:r>
    </w:p>
    <w:p w14:paraId="13B79328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对候选水印区生成局部对比度增强、白字边缘增强、反色和多尺度副本。</w:t>
      </w:r>
    </w:p>
    <w:p w14:paraId="179E24CC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通过日期、时间、行政区、地址关键词及水印相机标识做字段切分。</w:t>
      </w:r>
    </w:p>
    <w:p w14:paraId="7523F702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日期统一转为 ISO 格式；只有月日时必须结合合同年份且标记“年份推定”，不得自动通过关键日期规则。</w:t>
      </w:r>
    </w:p>
    <w:p w14:paraId="4D83877B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地址经行政区划规范化、地理编码和门店主数据匹配，输出精确、已确认兼容、冲突或不可验证。</w:t>
      </w:r>
    </w:p>
    <w:p w14:paraId="17E955B4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同时读取 EXIF 时间和 GPS；与画面水印冲突时按高风险转人工，而不是选择其中一个。</w:t>
      </w:r>
    </w:p>
    <w:p w14:paraId="2FF13CD9">
      <w:pPr>
        <w:pStyle w:val="4"/>
        <w:keepNext/>
        <w:spacing w:before="170" w:after="90"/>
      </w:pPr>
      <w:bookmarkStart w:id="33" w:name="_Toc25224"/>
      <w:r>
        <w:rPr>
          <w:rFonts w:ascii="Arial" w:hAnsi="Arial" w:eastAsia="微软雅黑"/>
          <w:b/>
          <w:bCs/>
          <w:color w:val="2F75B5"/>
          <w:sz w:val="23"/>
          <w:szCs w:val="23"/>
        </w:rPr>
        <w:t>8.8 地堆/陈列视觉识别</w:t>
      </w:r>
      <w:bookmarkEnd w:id="33"/>
    </w:p>
    <w:p w14:paraId="55DA4518">
      <w:pPr>
        <w:keepNext w:val="0"/>
        <w:spacing w:before="0" w:after="110" w:line="330" w:lineRule="auto"/>
        <w:ind w:firstLine="420"/>
        <w:jc w:val="both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每张照片输出独立子任务：</w:t>
      </w:r>
    </w:p>
    <w:p w14:paraId="181ACCC7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Consolas" w:hAnsi="Consolas" w:eastAsia="微软雅黑"/>
          <w:color w:val="17365D"/>
          <w:sz w:val="19"/>
          <w:szCs w:val="19"/>
          <w:shd w:val="clear" w:fill="E8EEF3"/>
        </w:rPr>
        <w:t>scene_complete</w:t>
      </w: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：是否包含堆头/货架完整边界，是否严重裁切、遮挡或模糊。</w:t>
      </w:r>
    </w:p>
    <w:p w14:paraId="58A876B8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Consolas" w:hAnsi="Consolas" w:eastAsia="微软雅黑"/>
          <w:color w:val="17365D"/>
          <w:sz w:val="19"/>
          <w:szCs w:val="19"/>
          <w:shd w:val="clear" w:fill="E8EEF3"/>
        </w:rPr>
        <w:t>target_product_present</w:t>
      </w: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：是否可见活动商品/品牌，输出证据框。</w:t>
      </w:r>
    </w:p>
    <w:p w14:paraId="0C0DDB52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Consolas" w:hAnsi="Consolas" w:eastAsia="微软雅黑"/>
          <w:color w:val="17365D"/>
          <w:sz w:val="19"/>
          <w:szCs w:val="19"/>
          <w:shd w:val="clear" w:fill="E8EEF3"/>
        </w:rPr>
        <w:t>promotion_sign_present</w:t>
      </w: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：是否可见价签、促销牌或活动物料。</w:t>
      </w:r>
    </w:p>
    <w:p w14:paraId="7854AC86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Consolas" w:hAnsi="Consolas" w:eastAsia="微软雅黑"/>
          <w:color w:val="17365D"/>
          <w:sz w:val="19"/>
          <w:szCs w:val="19"/>
          <w:shd w:val="clear" w:fill="E8EEF3"/>
        </w:rPr>
        <w:t>display_type</w:t>
      </w: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：堆头、端架、普通货架、其他。</w:t>
      </w:r>
    </w:p>
    <w:p w14:paraId="76E53A09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Consolas" w:hAnsi="Consolas" w:eastAsia="微软雅黑"/>
          <w:color w:val="17365D"/>
          <w:sz w:val="19"/>
          <w:szCs w:val="19"/>
          <w:shd w:val="clear" w:fill="E8EEF3"/>
        </w:rPr>
        <w:t>facing_count</w:t>
      </w: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：可稳定识别时输出纵列数及置信度。</w:t>
      </w:r>
    </w:p>
    <w:p w14:paraId="34B8B7F4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Consolas" w:hAnsi="Consolas" w:eastAsia="微软雅黑"/>
          <w:color w:val="17365D"/>
          <w:sz w:val="19"/>
          <w:szCs w:val="19"/>
          <w:shd w:val="clear" w:fill="E8EEF3"/>
        </w:rPr>
        <w:t>area_verifiability</w:t>
      </w: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 xml:space="preserve">：是否具备面积尺度参照；无参照时为 </w:t>
      </w:r>
      <w:r>
        <w:rPr>
          <w:rFonts w:ascii="Consolas" w:hAnsi="Consolas" w:eastAsia="微软雅黑"/>
          <w:color w:val="17365D"/>
          <w:sz w:val="19"/>
          <w:szCs w:val="19"/>
          <w:shd w:val="clear" w:fill="E8EEF3"/>
        </w:rPr>
        <w:t>unverifiable</w:t>
      </w: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。</w:t>
      </w:r>
    </w:p>
    <w:p w14:paraId="1847F80D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Consolas" w:hAnsi="Consolas" w:eastAsia="微软雅黑"/>
          <w:color w:val="17365D"/>
          <w:sz w:val="19"/>
          <w:szCs w:val="19"/>
          <w:shd w:val="clear" w:fill="E8EEF3"/>
        </w:rPr>
        <w:t>store_scene_consistency</w:t>
      </w: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：门头、店内标识和水印地点是否互相一致。</w:t>
      </w:r>
    </w:p>
    <w:p w14:paraId="21C70894">
      <w:pPr>
        <w:keepNext w:val="0"/>
        <w:spacing w:before="0" w:after="110" w:line="330" w:lineRule="auto"/>
        <w:ind w:firstLine="420"/>
        <w:jc w:val="both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视觉模型只输出观察事实和证据框。是否满足合同标准由规则引擎根据合同结构化条款判断。</w:t>
      </w:r>
    </w:p>
    <w:p w14:paraId="05C4655A">
      <w:pPr>
        <w:pStyle w:val="4"/>
        <w:keepNext/>
        <w:spacing w:before="170" w:after="90"/>
      </w:pPr>
      <w:bookmarkStart w:id="34" w:name="_Toc1676"/>
      <w:r>
        <w:rPr>
          <w:rFonts w:ascii="Arial" w:hAnsi="Arial" w:eastAsia="微软雅黑"/>
          <w:b/>
          <w:bCs/>
          <w:color w:val="2F75B5"/>
          <w:sz w:val="23"/>
          <w:szCs w:val="23"/>
        </w:rPr>
        <w:t>8.9 重复与复用检测</w:t>
      </w:r>
      <w:bookmarkEnd w:id="34"/>
    </w:p>
    <w:p w14:paraId="1F17F26F">
      <w:pPr>
        <w:keepNext w:val="0"/>
        <w:spacing w:before="0" w:after="110" w:line="330" w:lineRule="auto"/>
        <w:ind w:firstLine="420"/>
        <w:jc w:val="both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采用四层指纹：</w:t>
      </w:r>
    </w:p>
    <w:p w14:paraId="377A78C3">
      <w:pPr>
        <w:pStyle w:val="19"/>
        <w:numPr>
          <w:ilvl w:val="0"/>
          <w:numId w:val="8"/>
        </w:numPr>
        <w:spacing w:after="70" w:line="310" w:lineRule="auto"/>
        <w:ind w:left="680" w:hanging="36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SHA-256：发现字节级完全相同文件。</w:t>
      </w:r>
    </w:p>
    <w:p w14:paraId="4AC35DAB">
      <w:pPr>
        <w:pStyle w:val="19"/>
        <w:numPr>
          <w:ilvl w:val="0"/>
          <w:numId w:val="8"/>
        </w:numPr>
        <w:spacing w:after="70" w:line="310" w:lineRule="auto"/>
        <w:ind w:left="680" w:hanging="36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dHash/pHash：发现缩放、压缩后的视觉近似候选。</w:t>
      </w:r>
    </w:p>
    <w:p w14:paraId="0A953274">
      <w:pPr>
        <w:pStyle w:val="19"/>
        <w:numPr>
          <w:ilvl w:val="0"/>
          <w:numId w:val="8"/>
        </w:numPr>
        <w:spacing w:after="70" w:line="310" w:lineRule="auto"/>
        <w:ind w:left="680" w:hanging="36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局部特征/图像向量：发现裁剪、加水印、轻度调色后的复用候选。</w:t>
      </w:r>
    </w:p>
    <w:p w14:paraId="556DB02A">
      <w:pPr>
        <w:pStyle w:val="19"/>
        <w:numPr>
          <w:ilvl w:val="0"/>
          <w:numId w:val="8"/>
        </w:numPr>
        <w:spacing w:after="70" w:line="310" w:lineRule="auto"/>
        <w:ind w:left="680" w:hanging="36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历史指纹库：跨活动、跨经销商、跨门店查询复用。</w:t>
      </w:r>
    </w:p>
    <w:p w14:paraId="696907D3">
      <w:pPr>
        <w:keepNext w:val="0"/>
        <w:spacing w:before="0" w:after="110" w:line="330" w:lineRule="auto"/>
        <w:ind w:firstLine="420"/>
        <w:jc w:val="both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阈值必须在客户历史样本上标定。精确哈希重复可直接阻断对应证据；近似候选只生成风险任务，由复核页并排展示，不因单一相似度自动判定舞弊。</w:t>
      </w:r>
    </w:p>
    <w:p w14:paraId="4ACD4142">
      <w:pPr>
        <w:pStyle w:val="3"/>
        <w:keepNext/>
        <w:spacing w:before="220" w:after="110"/>
      </w:pPr>
      <w:bookmarkStart w:id="35" w:name="_Toc16265"/>
      <w:r>
        <w:rPr>
          <w:rFonts w:ascii="Arial" w:hAnsi="Arial" w:eastAsia="微软雅黑"/>
          <w:b/>
          <w:bCs/>
          <w:color w:val="1F4E78"/>
          <w:sz w:val="27"/>
          <w:szCs w:val="27"/>
        </w:rPr>
        <w:t>9. OCR/视觉模型微调方案</w:t>
      </w:r>
      <w:bookmarkEnd w:id="35"/>
    </w:p>
    <w:p w14:paraId="569E183A">
      <w:pPr>
        <w:pStyle w:val="4"/>
        <w:keepNext/>
        <w:spacing w:before="170" w:after="90"/>
      </w:pPr>
      <w:bookmarkStart w:id="36" w:name="_Toc21858"/>
      <w:r>
        <w:rPr>
          <w:rFonts w:ascii="Arial" w:hAnsi="Arial" w:eastAsia="微软雅黑"/>
          <w:b/>
          <w:bCs/>
          <w:color w:val="2F75B5"/>
          <w:sz w:val="23"/>
          <w:szCs w:val="23"/>
        </w:rPr>
        <w:t>9.1 分阶段策略</w:t>
      </w:r>
      <w:bookmarkEnd w:id="36"/>
    </w:p>
    <w:tbl>
      <w:tblPr>
        <w:tblStyle w:val="14"/>
        <w:tblW w:w="9354" w:type="dxa"/>
        <w:tblInd w:w="0" w:type="dxa"/>
        <w:tblBorders>
          <w:top w:val="single" w:color="B7C9D6" w:sz="2" w:space="0"/>
          <w:left w:val="single" w:color="B7C9D6" w:sz="2" w:space="0"/>
          <w:bottom w:val="single" w:color="B7C9D6" w:sz="2" w:space="0"/>
          <w:right w:val="single" w:color="B7C9D6" w:sz="2" w:space="0"/>
          <w:insideH w:val="single" w:color="B7C9D6" w:sz="2" w:space="0"/>
          <w:insideV w:val="single" w:color="B7C9D6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50"/>
        <w:gridCol w:w="5501"/>
        <w:gridCol w:w="2103"/>
      </w:tblGrid>
      <w:tr w14:paraId="66E05387">
        <w:tblPrEx>
          <w:tblBorders>
            <w:top w:val="single" w:color="B7C9D6" w:sz="2" w:space="0"/>
            <w:left w:val="single" w:color="B7C9D6" w:sz="2" w:space="0"/>
            <w:bottom w:val="single" w:color="B7C9D6" w:sz="2" w:space="0"/>
            <w:right w:val="single" w:color="B7C9D6" w:sz="2" w:space="0"/>
            <w:insideH w:val="single" w:color="B7C9D6" w:sz="2" w:space="0"/>
            <w:insideV w:val="single" w:color="B7C9D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75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ED647">
            <w:pPr>
              <w:spacing w:after="0" w:line="250" w:lineRule="auto"/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8"/>
                <w:szCs w:val="18"/>
              </w:rPr>
              <w:t>阶段</w:t>
            </w:r>
          </w:p>
        </w:tc>
        <w:tc>
          <w:tcPr>
            <w:tcW w:w="5501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D55B5C">
            <w:pPr>
              <w:spacing w:after="0" w:line="250" w:lineRule="auto"/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8"/>
                <w:szCs w:val="18"/>
              </w:rPr>
              <w:t>技术策略</w:t>
            </w:r>
          </w:p>
        </w:tc>
        <w:tc>
          <w:tcPr>
            <w:tcW w:w="2103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57B4D4">
            <w:pPr>
              <w:spacing w:after="0" w:line="250" w:lineRule="auto"/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8"/>
                <w:szCs w:val="18"/>
              </w:rPr>
              <w:t>适用条件</w:t>
            </w:r>
          </w:p>
        </w:tc>
      </w:tr>
      <w:tr w14:paraId="143E562A">
        <w:tblPrEx>
          <w:tblBorders>
            <w:top w:val="single" w:color="B7C9D6" w:sz="2" w:space="0"/>
            <w:left w:val="single" w:color="B7C9D6" w:sz="2" w:space="0"/>
            <w:bottom w:val="single" w:color="B7C9D6" w:sz="2" w:space="0"/>
            <w:right w:val="single" w:color="B7C9D6" w:sz="2" w:space="0"/>
            <w:insideH w:val="single" w:color="B7C9D6" w:sz="2" w:space="0"/>
            <w:insideV w:val="single" w:color="B7C9D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2D4C12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8"/>
                <w:szCs w:val="18"/>
              </w:rPr>
              <w:t>A：规则与模板校准</w:t>
            </w:r>
          </w:p>
        </w:tc>
        <w:tc>
          <w:tcPr>
            <w:tcW w:w="550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09EEBB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8"/>
                <w:szCs w:val="18"/>
              </w:rPr>
              <w:t>通用 OCR + 图像预处理 + 模板 ROI + 字典/正则 + 多路一致性</w:t>
            </w:r>
          </w:p>
        </w:tc>
        <w:tc>
          <w:tcPr>
            <w:tcW w:w="210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C62864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8"/>
                <w:szCs w:val="18"/>
              </w:rPr>
              <w:t>样本较少的 POC/首版</w:t>
            </w:r>
          </w:p>
        </w:tc>
      </w:tr>
      <w:tr w14:paraId="7BEC063E">
        <w:tblPrEx>
          <w:tblBorders>
            <w:top w:val="single" w:color="B7C9D6" w:sz="2" w:space="0"/>
            <w:left w:val="single" w:color="B7C9D6" w:sz="2" w:space="0"/>
            <w:bottom w:val="single" w:color="B7C9D6" w:sz="2" w:space="0"/>
            <w:right w:val="single" w:color="B7C9D6" w:sz="2" w:space="0"/>
            <w:insideH w:val="single" w:color="B7C9D6" w:sz="2" w:space="0"/>
            <w:insideV w:val="single" w:color="B7C9D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50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248E78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8"/>
                <w:szCs w:val="18"/>
              </w:rPr>
              <w:t>B：识别模型微调</w:t>
            </w:r>
          </w:p>
        </w:tc>
        <w:tc>
          <w:tcPr>
            <w:tcW w:w="5501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DF73C9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8"/>
                <w:szCs w:val="18"/>
              </w:rPr>
              <w:t>使用真实错例和合成样本微调文字检测/识别</w:t>
            </w:r>
          </w:p>
        </w:tc>
        <w:tc>
          <w:tcPr>
            <w:tcW w:w="2103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D43E92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8"/>
                <w:szCs w:val="18"/>
              </w:rPr>
              <w:t>已积累稳定标注的难例</w:t>
            </w:r>
          </w:p>
        </w:tc>
      </w:tr>
      <w:tr w14:paraId="1F7D3148">
        <w:tblPrEx>
          <w:tblBorders>
            <w:top w:val="single" w:color="B7C9D6" w:sz="2" w:space="0"/>
            <w:left w:val="single" w:color="B7C9D6" w:sz="2" w:space="0"/>
            <w:bottom w:val="single" w:color="B7C9D6" w:sz="2" w:space="0"/>
            <w:right w:val="single" w:color="B7C9D6" w:sz="2" w:space="0"/>
            <w:insideH w:val="single" w:color="B7C9D6" w:sz="2" w:space="0"/>
            <w:insideV w:val="single" w:color="B7C9D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41AFD8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8"/>
                <w:szCs w:val="18"/>
              </w:rPr>
              <w:t>C：专用检测模型</w:t>
            </w:r>
          </w:p>
        </w:tc>
        <w:tc>
          <w:tcPr>
            <w:tcW w:w="550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DF4307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8"/>
                <w:szCs w:val="18"/>
              </w:rPr>
              <w:t>微调印章、水印、支付卡片、陈列要素检测</w:t>
            </w:r>
          </w:p>
        </w:tc>
        <w:tc>
          <w:tcPr>
            <w:tcW w:w="210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B840EC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8"/>
                <w:szCs w:val="18"/>
              </w:rPr>
              <w:t>业务版式稳定且样本量足够</w:t>
            </w:r>
          </w:p>
        </w:tc>
      </w:tr>
      <w:tr w14:paraId="39DB72AC">
        <w:tblPrEx>
          <w:tblBorders>
            <w:top w:val="single" w:color="B7C9D6" w:sz="2" w:space="0"/>
            <w:left w:val="single" w:color="B7C9D6" w:sz="2" w:space="0"/>
            <w:bottom w:val="single" w:color="B7C9D6" w:sz="2" w:space="0"/>
            <w:right w:val="single" w:color="B7C9D6" w:sz="2" w:space="0"/>
            <w:insideH w:val="single" w:color="B7C9D6" w:sz="2" w:space="0"/>
            <w:insideV w:val="single" w:color="B7C9D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50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7C055B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8"/>
                <w:szCs w:val="18"/>
              </w:rPr>
              <w:t>D：持续学习</w:t>
            </w:r>
          </w:p>
        </w:tc>
        <w:tc>
          <w:tcPr>
            <w:tcW w:w="5501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665F75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8"/>
                <w:szCs w:val="18"/>
              </w:rPr>
              <w:t>人工改判回流、主动学习、漂移监控、灰度发布</w:t>
            </w:r>
          </w:p>
        </w:tc>
        <w:tc>
          <w:tcPr>
            <w:tcW w:w="2103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EFFB87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8"/>
                <w:szCs w:val="18"/>
              </w:rPr>
              <w:t>生产稳定运行后</w:t>
            </w:r>
          </w:p>
        </w:tc>
      </w:tr>
    </w:tbl>
    <w:p w14:paraId="2EF4BE8B">
      <w:pPr>
        <w:spacing w:after="90"/>
      </w:pPr>
    </w:p>
    <w:p w14:paraId="4BB2F9AB">
      <w:pPr>
        <w:keepNext w:val="0"/>
        <w:spacing w:before="0" w:after="110" w:line="330" w:lineRule="auto"/>
        <w:ind w:firstLine="420"/>
        <w:jc w:val="both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首版不建议直接对大模型进行全参数微调。优先通过模板注册、证据 Schema、字段词典、规则和小模型检测解决确定性问题；只有稳定重复出现的 OCR 错误再进入识别模型微调。</w:t>
      </w:r>
    </w:p>
    <w:p w14:paraId="4E8C8B02">
      <w:pPr>
        <w:pStyle w:val="4"/>
        <w:keepNext/>
        <w:spacing w:before="170" w:after="90"/>
      </w:pPr>
      <w:bookmarkStart w:id="37" w:name="_Toc412"/>
      <w:r>
        <w:rPr>
          <w:rFonts w:ascii="Arial" w:hAnsi="Arial" w:eastAsia="微软雅黑"/>
          <w:b/>
          <w:bCs/>
          <w:color w:val="2F75B5"/>
          <w:sz w:val="23"/>
          <w:szCs w:val="23"/>
        </w:rPr>
        <w:t>9.2 标注规范</w:t>
      </w:r>
      <w:bookmarkEnd w:id="37"/>
    </w:p>
    <w:p w14:paraId="4EDEC204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文档类：文档类型、页方向、页面四角、字段框、字段文本、表格行列、印章框、签字框、模板版本。</w:t>
      </w:r>
    </w:p>
    <w:p w14:paraId="2ED7F458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支付类：每个卡片框、消息方向、金额、状态、付款/收款主体、收款人、交易日期、交易单号、截图间配对关系。</w:t>
      </w:r>
    </w:p>
    <w:p w14:paraId="794FA146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水印类：水印整体框、日期框、时间框、地址框、行政区及水印来源。</w:t>
      </w:r>
    </w:p>
    <w:p w14:paraId="73C1E175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陈列类：堆头/端架/货架框、活动商品框、促销标识框、纵列、全景/局部、遮挡、模糊和不合格原因。</w:t>
      </w:r>
    </w:p>
    <w:p w14:paraId="6F77A4C6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所有标签区分“未出现”“出现但不可读”“模型无法确定”，不得统一标为空字符串。</w:t>
      </w:r>
    </w:p>
    <w:p w14:paraId="41F635B5">
      <w:pPr>
        <w:pStyle w:val="4"/>
        <w:keepNext/>
        <w:spacing w:before="170" w:after="90"/>
      </w:pPr>
      <w:bookmarkStart w:id="38" w:name="_Toc25359"/>
      <w:r>
        <w:rPr>
          <w:rFonts w:ascii="Arial" w:hAnsi="Arial" w:eastAsia="微软雅黑"/>
          <w:b/>
          <w:bCs/>
          <w:color w:val="2F75B5"/>
          <w:sz w:val="23"/>
          <w:szCs w:val="23"/>
        </w:rPr>
        <w:t>9.3 数据集建议</w:t>
      </w:r>
      <w:bookmarkEnd w:id="38"/>
    </w:p>
    <w:p w14:paraId="334E8F69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初始回归集应覆盖各材料类型、拍摄方向、清晰度、不同手机/水印相机、不同客户印章和不同模板版本。</w:t>
      </w:r>
    </w:p>
    <w:p w14:paraId="3B680EE3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OCR 识别微调建议累计不少于 3,000 条高质量难例文本行；金额、日期、公司名和地址需单独分层抽样。</w:t>
      </w:r>
    </w:p>
    <w:p w14:paraId="01E8B1C5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印章/水印/支付卡片检测建议每类至少数百张正样本，并配置 1～2 倍困难负样本。</w:t>
      </w:r>
    </w:p>
    <w:p w14:paraId="25C5FEA3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陈列视觉任务建议从 1,000 张以上逐项标注照片起步；若样本不足，先使用通用视觉模型并全部经过规则与置信度门控。</w:t>
      </w:r>
    </w:p>
    <w:p w14:paraId="5F8BC6E2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训练、验证、测试按客户/活动/时间/设备分组切分，近似图片不得跨集合，避免数据泄漏。</w:t>
      </w:r>
    </w:p>
    <w:p w14:paraId="0FB67753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真实业务样本不足时可做旋转、透视、压缩、模糊、反光、阴影、印章覆盖和字体扰动等合成增强，但测试集必须全部为未增强真实样本。</w:t>
      </w:r>
    </w:p>
    <w:p w14:paraId="3F6769FE">
      <w:pPr>
        <w:pStyle w:val="4"/>
        <w:keepNext/>
        <w:spacing w:before="170" w:after="90"/>
      </w:pPr>
      <w:bookmarkStart w:id="39" w:name="_Toc15876"/>
      <w:r>
        <w:rPr>
          <w:rFonts w:ascii="Arial" w:hAnsi="Arial" w:eastAsia="微软雅黑"/>
          <w:b/>
          <w:bCs/>
          <w:color w:val="2F75B5"/>
          <w:sz w:val="23"/>
          <w:szCs w:val="23"/>
        </w:rPr>
        <w:t>9.4 词典与归一化</w:t>
      </w:r>
      <w:bookmarkEnd w:id="39"/>
    </w:p>
    <w:p w14:paraId="0D334337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公司主体库：本公司法定名称、曾用名和经审核别名。</w:t>
      </w:r>
    </w:p>
    <w:p w14:paraId="1AF135F0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经销商库：标准名称、统一社会信用代码、印章文本和允许别名。</w:t>
      </w:r>
    </w:p>
    <w:p w14:paraId="0350A460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门店库：门店编码、标准名、简称、历史更名、地址、经纬度及有效期。</w:t>
      </w:r>
    </w:p>
    <w:p w14:paraId="5283521E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商品库：条码、标准商品名、规格、活动别名和有效期。</w:t>
      </w:r>
    </w:p>
    <w:p w14:paraId="3A40AFE5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日期解析：中文年月日、点号/横线/斜线、月日区间、聊天相对日期。</w:t>
      </w:r>
    </w:p>
    <w:p w14:paraId="21AD583D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金额解析：人民币符号、千分位、小数、中文大写金额；所有金额使用 Decimal，禁止浮点财务计算。</w:t>
      </w:r>
    </w:p>
    <w:p w14:paraId="41876EDA">
      <w:pPr>
        <w:keepNext w:val="0"/>
        <w:spacing w:before="0" w:after="110" w:line="330" w:lineRule="auto"/>
        <w:ind w:firstLine="420"/>
        <w:jc w:val="both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别名必须由业务人员确认后进入版本化主数据，模型不能自行把相似门店名写入正式映射。</w:t>
      </w:r>
    </w:p>
    <w:p w14:paraId="06CCE96F">
      <w:pPr>
        <w:pStyle w:val="4"/>
        <w:keepNext/>
        <w:spacing w:before="170" w:after="90"/>
      </w:pPr>
      <w:bookmarkStart w:id="40" w:name="_Toc23084"/>
      <w:r>
        <w:rPr>
          <w:rFonts w:ascii="Arial" w:hAnsi="Arial" w:eastAsia="微软雅黑"/>
          <w:b/>
          <w:bCs/>
          <w:color w:val="2F75B5"/>
          <w:sz w:val="23"/>
          <w:szCs w:val="23"/>
        </w:rPr>
        <w:t>9.5 置信度校准</w:t>
      </w:r>
      <w:bookmarkEnd w:id="40"/>
    </w:p>
    <w:p w14:paraId="1113D4DF">
      <w:pPr>
        <w:keepNext w:val="0"/>
        <w:spacing w:before="0" w:after="110" w:line="330" w:lineRule="auto"/>
        <w:ind w:firstLine="420"/>
        <w:jc w:val="both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原始 OCR 分数不能直接作为业务通过阈值。需在 UAT 金标集上做字段级校准，并按关键程度分层：</w:t>
      </w:r>
    </w:p>
    <w:p w14:paraId="6600C309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金额、日期、交易单号、条码、客户主体等关键字段：要求高阈值且多路识别一致。</w:t>
      </w:r>
    </w:p>
    <w:p w14:paraId="6C818F78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门店/地址：要求高置信度，并通过主数据或人工确认别名。</w:t>
      </w:r>
    </w:p>
    <w:p w14:paraId="5260C630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描述类文本：允许较低阈值，但不直接驱动金额。</w:t>
      </w:r>
    </w:p>
    <w:p w14:paraId="5EC84481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 xml:space="preserve">任一关键字段的多路结果冲突，状态为 </w:t>
      </w:r>
      <w:r>
        <w:rPr>
          <w:rFonts w:ascii="Consolas" w:hAnsi="Consolas" w:eastAsia="微软雅黑"/>
          <w:color w:val="17365D"/>
          <w:sz w:val="19"/>
          <w:szCs w:val="19"/>
          <w:shd w:val="clear" w:fill="E8EEF3"/>
        </w:rPr>
        <w:t>UNKNOWN</w:t>
      </w: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。</w:t>
      </w:r>
    </w:p>
    <w:p w14:paraId="47BD8690">
      <w:pPr>
        <w:keepNext w:val="0"/>
        <w:spacing w:before="0" w:after="110" w:line="330" w:lineRule="auto"/>
        <w:ind w:firstLine="420"/>
        <w:jc w:val="both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 xml:space="preserve">初始可配置 </w:t>
      </w:r>
      <w:r>
        <w:rPr>
          <w:rFonts w:ascii="Consolas" w:hAnsi="Consolas" w:eastAsia="微软雅黑"/>
          <w:color w:val="17365D"/>
          <w:sz w:val="19"/>
          <w:szCs w:val="19"/>
          <w:shd w:val="clear" w:fill="E8EEF3"/>
        </w:rPr>
        <w:t>critical ≥ 0.98</w:t>
      </w: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、</w:t>
      </w:r>
      <w:r>
        <w:rPr>
          <w:rFonts w:ascii="Consolas" w:hAnsi="Consolas" w:eastAsia="微软雅黑"/>
          <w:color w:val="17365D"/>
          <w:sz w:val="19"/>
          <w:szCs w:val="19"/>
          <w:shd w:val="clear" w:fill="E8EEF3"/>
        </w:rPr>
        <w:t>identity ≥ 0.95</w:t>
      </w: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、</w:t>
      </w:r>
      <w:r>
        <w:rPr>
          <w:rFonts w:ascii="Consolas" w:hAnsi="Consolas" w:eastAsia="微软雅黑"/>
          <w:color w:val="17365D"/>
          <w:sz w:val="19"/>
          <w:szCs w:val="19"/>
          <w:shd w:val="clear" w:fill="E8EEF3"/>
        </w:rPr>
        <w:t>descriptive ≥ 0.90</w:t>
      </w: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 xml:space="preserve"> 作为工程起点，最终阈值以客户金标集达到目标误报率为准，不直接使用供应商未校准的置信度。</w:t>
      </w:r>
    </w:p>
    <w:p w14:paraId="418340EB">
      <w:pPr>
        <w:pStyle w:val="4"/>
        <w:keepNext/>
        <w:spacing w:before="170" w:after="90"/>
      </w:pPr>
      <w:bookmarkStart w:id="41" w:name="_Toc15825"/>
      <w:r>
        <w:rPr>
          <w:rFonts w:ascii="Arial" w:hAnsi="Arial" w:eastAsia="微软雅黑"/>
          <w:b/>
          <w:bCs/>
          <w:color w:val="2F75B5"/>
          <w:sz w:val="23"/>
          <w:szCs w:val="23"/>
        </w:rPr>
        <w:t>9.6 持续优化闭环</w:t>
      </w:r>
      <w:bookmarkEnd w:id="41"/>
    </w:p>
    <w:p w14:paraId="10219D61">
      <w:pPr>
        <w:pStyle w:val="19"/>
        <w:numPr>
          <w:ilvl w:val="0"/>
          <w:numId w:val="9"/>
        </w:numPr>
        <w:spacing w:after="70" w:line="310" w:lineRule="auto"/>
        <w:ind w:left="680" w:hanging="36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人工复核页记录原识别值、改正值、改正原因和最终结论。</w:t>
      </w:r>
    </w:p>
    <w:p w14:paraId="34ED3C9E">
      <w:pPr>
        <w:pStyle w:val="19"/>
        <w:numPr>
          <w:ilvl w:val="0"/>
          <w:numId w:val="9"/>
        </w:numPr>
        <w:spacing w:after="70" w:line="310" w:lineRule="auto"/>
        <w:ind w:left="680" w:hanging="36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每周自动聚类低置信度、模型冲突、频繁补件和人工改判样本。</w:t>
      </w:r>
    </w:p>
    <w:p w14:paraId="7EC88184">
      <w:pPr>
        <w:pStyle w:val="19"/>
        <w:numPr>
          <w:ilvl w:val="0"/>
          <w:numId w:val="9"/>
        </w:numPr>
        <w:spacing w:after="70" w:line="310" w:lineRule="auto"/>
        <w:ind w:left="680" w:hanging="36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选择高价值难例进入标注队列，形成增量训练集。</w:t>
      </w:r>
    </w:p>
    <w:p w14:paraId="0FD017BD">
      <w:pPr>
        <w:pStyle w:val="19"/>
        <w:numPr>
          <w:ilvl w:val="0"/>
          <w:numId w:val="9"/>
        </w:numPr>
        <w:spacing w:after="70" w:line="310" w:lineRule="auto"/>
        <w:ind w:left="680" w:hanging="36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新模型执行离线金标回归、影子运行和小流量灰度。</w:t>
      </w:r>
    </w:p>
    <w:p w14:paraId="2BDFAD1F">
      <w:pPr>
        <w:pStyle w:val="19"/>
        <w:numPr>
          <w:ilvl w:val="0"/>
          <w:numId w:val="9"/>
        </w:numPr>
        <w:spacing w:after="70" w:line="310" w:lineRule="auto"/>
        <w:ind w:left="680" w:hanging="36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只有关键指标不下降且无新增高风险漏判时才全量发布。</w:t>
      </w:r>
    </w:p>
    <w:p w14:paraId="17799C83">
      <w:pPr>
        <w:pStyle w:val="19"/>
        <w:numPr>
          <w:ilvl w:val="0"/>
          <w:numId w:val="9"/>
        </w:numPr>
        <w:spacing w:after="70" w:line="310" w:lineRule="auto"/>
        <w:ind w:left="680" w:hanging="36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保留旧版本及阈值，一键回滚；历史结果不被新模型静默改写。</w:t>
      </w:r>
    </w:p>
    <w:p w14:paraId="112FF29F">
      <w:pPr>
        <w:pStyle w:val="3"/>
        <w:keepNext/>
        <w:spacing w:before="220" w:after="110"/>
      </w:pPr>
      <w:bookmarkStart w:id="42" w:name="_Toc27897"/>
      <w:r>
        <w:rPr>
          <w:rFonts w:ascii="Arial" w:hAnsi="Arial" w:eastAsia="微软雅黑"/>
          <w:b/>
          <w:bCs/>
          <w:color w:val="1F4E78"/>
          <w:sz w:val="27"/>
          <w:szCs w:val="27"/>
        </w:rPr>
        <w:t>10. 确定性规则与金额引擎</w:t>
      </w:r>
      <w:bookmarkEnd w:id="42"/>
    </w:p>
    <w:p w14:paraId="76B4B040">
      <w:pPr>
        <w:pStyle w:val="4"/>
        <w:keepNext/>
        <w:spacing w:before="170" w:after="90"/>
      </w:pPr>
      <w:bookmarkStart w:id="43" w:name="_Toc2542"/>
      <w:r>
        <w:rPr>
          <w:rFonts w:ascii="Arial" w:hAnsi="Arial" w:eastAsia="微软雅黑"/>
          <w:b/>
          <w:bCs/>
          <w:color w:val="2F75B5"/>
          <w:sz w:val="23"/>
          <w:szCs w:val="23"/>
        </w:rPr>
        <w:t>10.1 执行顺序</w:t>
      </w:r>
      <w:bookmarkEnd w:id="43"/>
    </w:p>
    <w:p w14:paraId="0DE657B4">
      <w:pPr>
        <w:pStyle w:val="19"/>
        <w:numPr>
          <w:ilvl w:val="0"/>
          <w:numId w:val="10"/>
        </w:numPr>
        <w:spacing w:after="70" w:line="310" w:lineRule="auto"/>
        <w:ind w:left="680" w:hanging="36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文件安全与可读性。</w:t>
      </w:r>
    </w:p>
    <w:p w14:paraId="05497DA1">
      <w:pPr>
        <w:pStyle w:val="19"/>
        <w:numPr>
          <w:ilvl w:val="0"/>
          <w:numId w:val="10"/>
        </w:numPr>
        <w:spacing w:after="70" w:line="310" w:lineRule="auto"/>
        <w:ind w:left="680" w:hanging="36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场景和材料完整性。</w:t>
      </w:r>
    </w:p>
    <w:p w14:paraId="1641756C">
      <w:pPr>
        <w:pStyle w:val="19"/>
        <w:numPr>
          <w:ilvl w:val="0"/>
          <w:numId w:val="10"/>
        </w:numPr>
        <w:spacing w:after="70" w:line="310" w:lineRule="auto"/>
        <w:ind w:left="680" w:hanging="36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全局主体、模板、签章和合同门槛。</w:t>
      </w:r>
    </w:p>
    <w:p w14:paraId="410ABB9E">
      <w:pPr>
        <w:pStyle w:val="19"/>
        <w:numPr>
          <w:ilvl w:val="0"/>
          <w:numId w:val="10"/>
        </w:numPr>
        <w:spacing w:after="70" w:line="310" w:lineRule="auto"/>
        <w:ind w:left="680" w:hanging="36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活动期间。</w:t>
      </w:r>
    </w:p>
    <w:p w14:paraId="7D27669B">
      <w:pPr>
        <w:pStyle w:val="19"/>
        <w:numPr>
          <w:ilvl w:val="0"/>
          <w:numId w:val="10"/>
        </w:numPr>
        <w:spacing w:after="70" w:line="310" w:lineRule="auto"/>
        <w:ind w:left="680" w:hanging="36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地堆逐门店或人员激励逐 SKU/逐门店。</w:t>
      </w:r>
    </w:p>
    <w:p w14:paraId="010CCC6D">
      <w:pPr>
        <w:pStyle w:val="19"/>
        <w:numPr>
          <w:ilvl w:val="0"/>
          <w:numId w:val="10"/>
        </w:numPr>
        <w:spacing w:after="70" w:line="310" w:lineRule="auto"/>
        <w:ind w:left="680" w:hanging="36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支付明细去重与有效性。</w:t>
      </w:r>
    </w:p>
    <w:p w14:paraId="5D045BC8">
      <w:pPr>
        <w:pStyle w:val="19"/>
        <w:numPr>
          <w:ilvl w:val="0"/>
          <w:numId w:val="10"/>
        </w:numPr>
        <w:spacing w:after="70" w:line="310" w:lineRule="auto"/>
        <w:ind w:left="680" w:hanging="36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金额上限计算。</w:t>
      </w:r>
    </w:p>
    <w:p w14:paraId="64869899">
      <w:pPr>
        <w:pStyle w:val="19"/>
        <w:numPr>
          <w:ilvl w:val="0"/>
          <w:numId w:val="10"/>
        </w:numPr>
        <w:spacing w:after="70" w:line="310" w:lineRule="auto"/>
        <w:ind w:left="680" w:hanging="36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风险合并和建议状态映射。</w:t>
      </w:r>
    </w:p>
    <w:p w14:paraId="68CEEC4D">
      <w:pPr>
        <w:pStyle w:val="4"/>
        <w:keepNext/>
        <w:spacing w:before="170" w:after="90"/>
      </w:pPr>
      <w:bookmarkStart w:id="44" w:name="_Toc18872"/>
      <w:r>
        <w:rPr>
          <w:rFonts w:ascii="Arial" w:hAnsi="Arial" w:eastAsia="微软雅黑"/>
          <w:b/>
          <w:bCs/>
          <w:color w:val="2F75B5"/>
          <w:sz w:val="23"/>
          <w:szCs w:val="23"/>
        </w:rPr>
        <w:t>10.2 规则配置</w:t>
      </w:r>
      <w:bookmarkEnd w:id="44"/>
    </w:p>
    <w:p w14:paraId="03C93B2E">
      <w:pPr>
        <w:keepNext w:val="0"/>
        <w:spacing w:before="0" w:after="110" w:line="330" w:lineRule="auto"/>
        <w:ind w:firstLine="420"/>
        <w:jc w:val="both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规则采用版本化 YAML/JSON 配置，示例：</w:t>
      </w:r>
    </w:p>
    <w:p w14:paraId="30C68545">
      <w:pPr>
        <w:pBdr>
          <w:top w:val="single" w:color="D8DEE5" w:sz="2" w:space="3"/>
          <w:left w:val="single" w:color="2F75B5" w:sz="10" w:space="6"/>
          <w:bottom w:val="single" w:color="D8DEE5" w:sz="2" w:space="3"/>
          <w:right w:val="single" w:color="D8DEE5" w:sz="2" w:space="3"/>
        </w:pBdr>
        <w:shd w:val="clear" w:fill="F3F5F7"/>
        <w:spacing w:before="80" w:after="150" w:line="260" w:lineRule="auto"/>
        <w:ind w:left="260" w:right="180"/>
      </w:pPr>
      <w:r>
        <w:rPr>
          <w:rFonts w:ascii="Consolas" w:hAnsi="Consolas" w:eastAsia="微软雅黑"/>
          <w:color w:val="243447"/>
          <w:sz w:val="17"/>
          <w:szCs w:val="17"/>
        </w:rPr>
        <w:t>rule_id: PI-PAY-002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>scenario: personnel_incentive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>scope: payment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>mandatory: true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>condition: payment.channel in [wechat_redpacket, salary_transfer]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>assertion: payment.payer_company_id == case.company_id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>on_unknown: NEED_SUPPLEMENT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>on_fail: MANUAL_REVIEW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>amount_effect: exclude_payment</w:t>
      </w:r>
    </w:p>
    <w:p w14:paraId="1AD48E6D">
      <w:pPr>
        <w:keepNext w:val="0"/>
        <w:spacing w:before="0" w:after="110" w:line="330" w:lineRule="auto"/>
        <w:ind w:firstLine="420"/>
        <w:jc w:val="both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规则变更必须经过业务/财务确认、配置审核、回归测试和版本发布。历史核销单继续绑定原规则版本。</w:t>
      </w:r>
    </w:p>
    <w:p w14:paraId="27C18AFF">
      <w:pPr>
        <w:pStyle w:val="4"/>
        <w:keepNext/>
        <w:spacing w:before="170" w:after="90"/>
      </w:pPr>
      <w:bookmarkStart w:id="45" w:name="_Toc17548"/>
      <w:r>
        <w:rPr>
          <w:rFonts w:ascii="Arial" w:hAnsi="Arial" w:eastAsia="微软雅黑"/>
          <w:b/>
          <w:bCs/>
          <w:color w:val="2F75B5"/>
          <w:sz w:val="23"/>
          <w:szCs w:val="23"/>
        </w:rPr>
        <w:t>10.3 金额安全约束</w:t>
      </w:r>
      <w:bookmarkEnd w:id="45"/>
    </w:p>
    <w:p w14:paraId="14CA4144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Consolas" w:hAnsi="Consolas" w:eastAsia="微软雅黑"/>
          <w:color w:val="17365D"/>
          <w:sz w:val="19"/>
          <w:szCs w:val="19"/>
          <w:shd w:val="clear" w:fill="E8EEF3"/>
        </w:rPr>
        <w:t>suggested_approved_amount ≤ claimed_amount</w:t>
      </w: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。</w:t>
      </w:r>
    </w:p>
    <w:p w14:paraId="27AF0D12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地堆建议金额不得超过全局材料有效情况下的合格门店费用之和。</w:t>
      </w:r>
    </w:p>
    <w:p w14:paraId="2506ABC1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人员激励建议金额不得超过结算金额、POS 支持奖励和有效付款金额中的最小值。</w:t>
      </w:r>
    </w:p>
    <w:p w14:paraId="4D637CC0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Consolas" w:hAnsi="Consolas" w:eastAsia="微软雅黑"/>
          <w:color w:val="17365D"/>
          <w:sz w:val="19"/>
          <w:szCs w:val="19"/>
          <w:shd w:val="clear" w:fill="E8EEF3"/>
        </w:rPr>
        <w:t>UNKNOWN</w:t>
      </w: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 xml:space="preserve"> 对应金额不计入自动支持金额。</w:t>
      </w:r>
    </w:p>
    <w:p w14:paraId="51985125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Decimal 精确到分；舍入方式由规则配置，不允许 Agent 自行解释尾差。</w:t>
      </w:r>
    </w:p>
    <w:p w14:paraId="79996950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所有聚合必须能够下钻到 Excel 行、合同门店或交易明细。</w:t>
      </w:r>
    </w:p>
    <w:p w14:paraId="3034028D">
      <w:pPr>
        <w:pStyle w:val="3"/>
        <w:keepNext/>
        <w:spacing w:before="220" w:after="110"/>
      </w:pPr>
      <w:bookmarkStart w:id="46" w:name="_Toc27369"/>
      <w:r>
        <w:rPr>
          <w:rFonts w:ascii="Arial" w:hAnsi="Arial" w:eastAsia="微软雅黑"/>
          <w:b/>
          <w:bCs/>
          <w:color w:val="1F4E78"/>
          <w:sz w:val="27"/>
          <w:szCs w:val="27"/>
        </w:rPr>
        <w:t>11. Agent 最终判断设计</w:t>
      </w:r>
      <w:bookmarkEnd w:id="46"/>
    </w:p>
    <w:p w14:paraId="7B07FD2B">
      <w:pPr>
        <w:pStyle w:val="4"/>
        <w:keepNext/>
        <w:spacing w:before="170" w:after="90"/>
      </w:pPr>
      <w:bookmarkStart w:id="47" w:name="_Toc8953"/>
      <w:r>
        <w:rPr>
          <w:rFonts w:ascii="Arial" w:hAnsi="Arial" w:eastAsia="微软雅黑"/>
          <w:b/>
          <w:bCs/>
          <w:color w:val="2F75B5"/>
          <w:sz w:val="23"/>
          <w:szCs w:val="23"/>
        </w:rPr>
        <w:t>11.1 Agent 的输入与职责</w:t>
      </w:r>
      <w:bookmarkEnd w:id="47"/>
    </w:p>
    <w:p w14:paraId="25A24E72">
      <w:pPr>
        <w:keepNext w:val="0"/>
        <w:spacing w:before="0" w:after="110" w:line="330" w:lineRule="auto"/>
        <w:ind w:firstLine="420"/>
        <w:jc w:val="both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判断 Agent 不直接读取原始图片重新识别，只接收：</w:t>
      </w:r>
    </w:p>
    <w:p w14:paraId="4EEF1567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材料完整性结果；</w:t>
      </w:r>
    </w:p>
    <w:p w14:paraId="7739C232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字段级验证状态；</w:t>
      </w:r>
    </w:p>
    <w:p w14:paraId="565D477A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逐门店/逐 SKU/逐支付规则结果；</w:t>
      </w:r>
    </w:p>
    <w:p w14:paraId="347AA2FA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确定性支持金额、暂缓金额和差额；</w:t>
      </w:r>
    </w:p>
    <w:p w14:paraId="1304C0EC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风险等级、证据引用和补件模板；</w:t>
      </w:r>
    </w:p>
    <w:p w14:paraId="4BE2FB0D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当前规则版本和业务场景。</w:t>
      </w:r>
    </w:p>
    <w:p w14:paraId="1FDDE865">
      <w:pPr>
        <w:keepNext w:val="0"/>
        <w:spacing w:before="0" w:after="110" w:line="330" w:lineRule="auto"/>
        <w:ind w:firstLine="420"/>
        <w:jc w:val="both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Agent 负责把机器结果组织为客户和审核人员可理解的最终建议，合并重复异常，给出优先级明确的补件清单，并说明建议金额的构成。Agent 不得生成规则中不存在的例外，也不得基于“看起来合理”覆盖阻断项。</w:t>
      </w:r>
    </w:p>
    <w:p w14:paraId="2FE04FB7">
      <w:pPr>
        <w:pStyle w:val="4"/>
        <w:keepNext/>
        <w:spacing w:before="170" w:after="90"/>
      </w:pPr>
      <w:bookmarkStart w:id="48" w:name="_Toc27203"/>
      <w:r>
        <w:rPr>
          <w:rFonts w:ascii="Arial" w:hAnsi="Arial" w:eastAsia="微软雅黑"/>
          <w:b/>
          <w:bCs/>
          <w:color w:val="2F75B5"/>
          <w:sz w:val="23"/>
          <w:szCs w:val="23"/>
        </w:rPr>
        <w:t>11.2 建议状态</w:t>
      </w:r>
      <w:bookmarkEnd w:id="48"/>
    </w:p>
    <w:tbl>
      <w:tblPr>
        <w:tblStyle w:val="14"/>
        <w:tblW w:w="9354" w:type="dxa"/>
        <w:tblInd w:w="0" w:type="dxa"/>
        <w:tblBorders>
          <w:top w:val="single" w:color="B7C9D6" w:sz="2" w:space="0"/>
          <w:left w:val="single" w:color="B7C9D6" w:sz="2" w:space="0"/>
          <w:bottom w:val="single" w:color="B7C9D6" w:sz="2" w:space="0"/>
          <w:right w:val="single" w:color="B7C9D6" w:sz="2" w:space="0"/>
          <w:insideH w:val="single" w:color="B7C9D6" w:sz="2" w:space="0"/>
          <w:insideV w:val="single" w:color="B7C9D6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80"/>
        <w:gridCol w:w="4838"/>
        <w:gridCol w:w="1936"/>
      </w:tblGrid>
      <w:tr w14:paraId="55FE0DAB">
        <w:tblPrEx>
          <w:tblBorders>
            <w:top w:val="single" w:color="B7C9D6" w:sz="2" w:space="0"/>
            <w:left w:val="single" w:color="B7C9D6" w:sz="2" w:space="0"/>
            <w:bottom w:val="single" w:color="B7C9D6" w:sz="2" w:space="0"/>
            <w:right w:val="single" w:color="B7C9D6" w:sz="2" w:space="0"/>
            <w:insideH w:val="single" w:color="B7C9D6" w:sz="2" w:space="0"/>
            <w:insideV w:val="single" w:color="B7C9D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58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D22A60">
            <w:pPr>
              <w:spacing w:after="0" w:line="250" w:lineRule="auto"/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8"/>
                <w:szCs w:val="18"/>
              </w:rPr>
              <w:t>状态</w:t>
            </w:r>
          </w:p>
        </w:tc>
        <w:tc>
          <w:tcPr>
            <w:tcW w:w="483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62D675">
            <w:pPr>
              <w:spacing w:after="0" w:line="250" w:lineRule="auto"/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8"/>
                <w:szCs w:val="18"/>
              </w:rPr>
              <w:t>技术定义</w:t>
            </w:r>
          </w:p>
        </w:tc>
        <w:tc>
          <w:tcPr>
            <w:tcW w:w="1936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83062C">
            <w:pPr>
              <w:spacing w:after="0" w:line="250" w:lineRule="auto"/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8"/>
                <w:szCs w:val="18"/>
              </w:rPr>
              <w:t>金额处理</w:t>
            </w:r>
          </w:p>
        </w:tc>
      </w:tr>
      <w:tr w14:paraId="682A9901">
        <w:tblPrEx>
          <w:tblBorders>
            <w:top w:val="single" w:color="B7C9D6" w:sz="2" w:space="0"/>
            <w:left w:val="single" w:color="B7C9D6" w:sz="2" w:space="0"/>
            <w:bottom w:val="single" w:color="B7C9D6" w:sz="2" w:space="0"/>
            <w:right w:val="single" w:color="B7C9D6" w:sz="2" w:space="0"/>
            <w:insideH w:val="single" w:color="B7C9D6" w:sz="2" w:space="0"/>
            <w:insideV w:val="single" w:color="B7C9D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A27604">
            <w:pPr>
              <w:spacing w:after="0" w:line="250" w:lineRule="auto"/>
              <w:jc w:val="left"/>
            </w:pPr>
            <w:r>
              <w:rPr>
                <w:rFonts w:ascii="Consolas" w:hAnsi="Consolas" w:eastAsia="微软雅黑"/>
                <w:color w:val="17365D"/>
                <w:sz w:val="17"/>
                <w:szCs w:val="17"/>
                <w:shd w:val="clear" w:fill="E8EEF3"/>
              </w:rPr>
              <w:t>AUTO_PASS</w:t>
            </w:r>
          </w:p>
        </w:tc>
        <w:tc>
          <w:tcPr>
            <w:tcW w:w="483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9005FE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8"/>
                <w:szCs w:val="18"/>
              </w:rPr>
              <w:t>所有全局和明细硬规则 PASS，关键字段高置信，无未解决异常</w:t>
            </w:r>
          </w:p>
        </w:tc>
        <w:tc>
          <w:tcPr>
            <w:tcW w:w="193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7AE074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8"/>
                <w:szCs w:val="18"/>
              </w:rPr>
              <w:t>建议全额通过</w:t>
            </w:r>
          </w:p>
        </w:tc>
      </w:tr>
      <w:tr w14:paraId="30708127">
        <w:tblPrEx>
          <w:tblBorders>
            <w:top w:val="single" w:color="B7C9D6" w:sz="2" w:space="0"/>
            <w:left w:val="single" w:color="B7C9D6" w:sz="2" w:space="0"/>
            <w:bottom w:val="single" w:color="B7C9D6" w:sz="2" w:space="0"/>
            <w:right w:val="single" w:color="B7C9D6" w:sz="2" w:space="0"/>
            <w:insideH w:val="single" w:color="B7C9D6" w:sz="2" w:space="0"/>
            <w:insideV w:val="single" w:color="B7C9D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80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33225A">
            <w:pPr>
              <w:spacing w:after="0" w:line="250" w:lineRule="auto"/>
              <w:jc w:val="left"/>
            </w:pPr>
            <w:r>
              <w:rPr>
                <w:rFonts w:ascii="Consolas" w:hAnsi="Consolas" w:eastAsia="微软雅黑"/>
                <w:color w:val="17365D"/>
                <w:sz w:val="17"/>
                <w:szCs w:val="17"/>
                <w:shd w:val="clear" w:fill="E8EEF3"/>
              </w:rPr>
              <w:t>PARTIAL_PASS</w:t>
            </w:r>
          </w:p>
        </w:tc>
        <w:tc>
          <w:tcPr>
            <w:tcW w:w="4838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CD77BC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8"/>
                <w:szCs w:val="18"/>
              </w:rPr>
              <w:t>全局材料完整，部分可分割门店/SKU 通过，部分失败或待补</w:t>
            </w:r>
          </w:p>
        </w:tc>
        <w:tc>
          <w:tcPr>
            <w:tcW w:w="1936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4FAE46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8"/>
                <w:szCs w:val="18"/>
              </w:rPr>
              <w:t>仅建议证据支持部分</w:t>
            </w:r>
          </w:p>
        </w:tc>
      </w:tr>
      <w:tr w14:paraId="22847554">
        <w:tblPrEx>
          <w:tblBorders>
            <w:top w:val="single" w:color="B7C9D6" w:sz="2" w:space="0"/>
            <w:left w:val="single" w:color="B7C9D6" w:sz="2" w:space="0"/>
            <w:bottom w:val="single" w:color="B7C9D6" w:sz="2" w:space="0"/>
            <w:right w:val="single" w:color="B7C9D6" w:sz="2" w:space="0"/>
            <w:insideH w:val="single" w:color="B7C9D6" w:sz="2" w:space="0"/>
            <w:insideV w:val="single" w:color="B7C9D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1CFB3B">
            <w:pPr>
              <w:spacing w:after="0" w:line="250" w:lineRule="auto"/>
              <w:jc w:val="left"/>
            </w:pPr>
            <w:r>
              <w:rPr>
                <w:rFonts w:ascii="Consolas" w:hAnsi="Consolas" w:eastAsia="微软雅黑"/>
                <w:color w:val="17365D"/>
                <w:sz w:val="17"/>
                <w:szCs w:val="17"/>
                <w:shd w:val="clear" w:fill="E8EEF3"/>
              </w:rPr>
              <w:t>NEED_SUPPLEMENT</w:t>
            </w:r>
          </w:p>
        </w:tc>
        <w:tc>
          <w:tcPr>
            <w:tcW w:w="483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2A475F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8"/>
                <w:szCs w:val="18"/>
              </w:rPr>
              <w:t>必交材料缺失、关键字段不可读或证据不足</w:t>
            </w:r>
          </w:p>
        </w:tc>
        <w:tc>
          <w:tcPr>
            <w:tcW w:w="193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51AE8C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8"/>
                <w:szCs w:val="18"/>
              </w:rPr>
              <w:t>全局缺件时建议金额为 0</w:t>
            </w:r>
          </w:p>
        </w:tc>
      </w:tr>
      <w:tr w14:paraId="5A8E652C">
        <w:tblPrEx>
          <w:tblBorders>
            <w:top w:val="single" w:color="B7C9D6" w:sz="2" w:space="0"/>
            <w:left w:val="single" w:color="B7C9D6" w:sz="2" w:space="0"/>
            <w:bottom w:val="single" w:color="B7C9D6" w:sz="2" w:space="0"/>
            <w:right w:val="single" w:color="B7C9D6" w:sz="2" w:space="0"/>
            <w:insideH w:val="single" w:color="B7C9D6" w:sz="2" w:space="0"/>
            <w:insideV w:val="single" w:color="B7C9D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80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DC863E">
            <w:pPr>
              <w:spacing w:after="0" w:line="250" w:lineRule="auto"/>
              <w:jc w:val="left"/>
            </w:pPr>
            <w:r>
              <w:rPr>
                <w:rFonts w:ascii="Consolas" w:hAnsi="Consolas" w:eastAsia="微软雅黑"/>
                <w:color w:val="17365D"/>
                <w:sz w:val="17"/>
                <w:szCs w:val="17"/>
                <w:shd w:val="clear" w:fill="E8EEF3"/>
              </w:rPr>
              <w:t>MANUAL_REVIEW</w:t>
            </w:r>
          </w:p>
        </w:tc>
        <w:tc>
          <w:tcPr>
            <w:tcW w:w="4838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1C6938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8"/>
                <w:szCs w:val="18"/>
              </w:rPr>
              <w:t>证据冲突、别名未确认、近似重复、支付身份/日期不确定</w:t>
            </w:r>
          </w:p>
        </w:tc>
        <w:tc>
          <w:tcPr>
            <w:tcW w:w="1936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6A07D1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8"/>
                <w:szCs w:val="18"/>
              </w:rPr>
              <w:t>不自动放行，由人工决定</w:t>
            </w:r>
          </w:p>
        </w:tc>
      </w:tr>
      <w:tr w14:paraId="4C461B91">
        <w:tblPrEx>
          <w:tblBorders>
            <w:top w:val="single" w:color="B7C9D6" w:sz="2" w:space="0"/>
            <w:left w:val="single" w:color="B7C9D6" w:sz="2" w:space="0"/>
            <w:bottom w:val="single" w:color="B7C9D6" w:sz="2" w:space="0"/>
            <w:right w:val="single" w:color="B7C9D6" w:sz="2" w:space="0"/>
            <w:insideH w:val="single" w:color="B7C9D6" w:sz="2" w:space="0"/>
            <w:insideV w:val="single" w:color="B7C9D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74FD45">
            <w:pPr>
              <w:spacing w:after="0" w:line="250" w:lineRule="auto"/>
              <w:jc w:val="left"/>
            </w:pPr>
            <w:r>
              <w:rPr>
                <w:rFonts w:ascii="Consolas" w:hAnsi="Consolas" w:eastAsia="微软雅黑"/>
                <w:color w:val="17365D"/>
                <w:sz w:val="17"/>
                <w:szCs w:val="17"/>
                <w:shd w:val="clear" w:fill="E8EEF3"/>
              </w:rPr>
              <w:t>RECOMMEND_REJECT</w:t>
            </w:r>
          </w:p>
        </w:tc>
        <w:tc>
          <w:tcPr>
            <w:tcW w:w="483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2442A4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8"/>
                <w:szCs w:val="18"/>
              </w:rPr>
              <w:t>确认期外、主体冲突、重复核销、金额明显虚报等硬性事实</w:t>
            </w:r>
          </w:p>
        </w:tc>
        <w:tc>
          <w:tcPr>
            <w:tcW w:w="193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7A9A88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8"/>
                <w:szCs w:val="18"/>
              </w:rPr>
              <w:t>建议驳回对应部分或整单</w:t>
            </w:r>
          </w:p>
        </w:tc>
      </w:tr>
    </w:tbl>
    <w:p w14:paraId="17ACE928">
      <w:pPr>
        <w:spacing w:after="90"/>
      </w:pPr>
    </w:p>
    <w:p w14:paraId="6B58F019">
      <w:pPr>
        <w:pStyle w:val="4"/>
        <w:keepNext/>
        <w:spacing w:before="170" w:after="90"/>
      </w:pPr>
      <w:bookmarkStart w:id="49" w:name="_Toc13094"/>
      <w:r>
        <w:rPr>
          <w:rFonts w:ascii="Arial" w:hAnsi="Arial" w:eastAsia="微软雅黑"/>
          <w:b/>
          <w:bCs/>
          <w:color w:val="2F75B5"/>
          <w:sz w:val="23"/>
          <w:szCs w:val="23"/>
        </w:rPr>
        <w:t>11.3 Decision Guard</w:t>
      </w:r>
      <w:bookmarkEnd w:id="49"/>
    </w:p>
    <w:p w14:paraId="7BC2C986">
      <w:pPr>
        <w:keepNext w:val="0"/>
        <w:spacing w:before="0" w:after="110" w:line="330" w:lineRule="auto"/>
        <w:ind w:firstLine="420"/>
        <w:jc w:val="both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Agent 输出后必须执行以下校验：</w:t>
      </w:r>
    </w:p>
    <w:p w14:paraId="6BA2CAEC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JSON Schema 完整且枚举值合法。</w:t>
      </w:r>
    </w:p>
    <w:p w14:paraId="5384BEF0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建议金额等于规则引擎提供的 guarded amount。</w:t>
      </w:r>
    </w:p>
    <w:p w14:paraId="75C26298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 xml:space="preserve">存在全局 blocker 时不得输出 </w:t>
      </w:r>
      <w:r>
        <w:rPr>
          <w:rFonts w:ascii="Consolas" w:hAnsi="Consolas" w:eastAsia="微软雅黑"/>
          <w:color w:val="17365D"/>
          <w:sz w:val="19"/>
          <w:szCs w:val="19"/>
          <w:shd w:val="clear" w:fill="E8EEF3"/>
        </w:rPr>
        <w:t>AUTO_PASS</w:t>
      </w: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 xml:space="preserve"> 或非零自动建议金额。</w:t>
      </w:r>
    </w:p>
    <w:p w14:paraId="7A7639C9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Consolas" w:hAnsi="Consolas" w:eastAsia="微软雅黑"/>
          <w:color w:val="17365D"/>
          <w:sz w:val="19"/>
          <w:szCs w:val="19"/>
          <w:shd w:val="clear" w:fill="E8EEF3"/>
        </w:rPr>
        <w:t>UNKNOWN</w:t>
      </w: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 xml:space="preserve"> 不得在摘要中描述为已通过。</w:t>
      </w:r>
    </w:p>
    <w:p w14:paraId="1D20E2A4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每个 blocker 必须引用存在的规则 ID 和证据 ID。</w:t>
      </w:r>
    </w:p>
    <w:p w14:paraId="3531365B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Agent 不得新增或删除明细级金额。</w:t>
      </w:r>
    </w:p>
    <w:p w14:paraId="39B81F78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 xml:space="preserve">结论与规则状态不一致时强制改为 </w:t>
      </w:r>
      <w:r>
        <w:rPr>
          <w:rFonts w:ascii="Consolas" w:hAnsi="Consolas" w:eastAsia="微软雅黑"/>
          <w:color w:val="17365D"/>
          <w:sz w:val="19"/>
          <w:szCs w:val="19"/>
          <w:shd w:val="clear" w:fill="E8EEF3"/>
        </w:rPr>
        <w:t>MANUAL_REVIEW</w:t>
      </w: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 xml:space="preserve">，记录 </w:t>
      </w:r>
      <w:r>
        <w:rPr>
          <w:rFonts w:ascii="Consolas" w:hAnsi="Consolas" w:eastAsia="微软雅黑"/>
          <w:color w:val="17365D"/>
          <w:sz w:val="19"/>
          <w:szCs w:val="19"/>
          <w:shd w:val="clear" w:fill="E8EEF3"/>
        </w:rPr>
        <w:t>AGENT_GUARD_REJECTED</w:t>
      </w: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。</w:t>
      </w:r>
    </w:p>
    <w:p w14:paraId="3920A688">
      <w:pPr>
        <w:pStyle w:val="4"/>
        <w:keepNext/>
        <w:spacing w:before="170" w:after="90"/>
      </w:pPr>
      <w:bookmarkStart w:id="50" w:name="_Toc29859"/>
      <w:r>
        <w:rPr>
          <w:rFonts w:ascii="Arial" w:hAnsi="Arial" w:eastAsia="微软雅黑"/>
          <w:b/>
          <w:bCs/>
          <w:color w:val="2F75B5"/>
          <w:sz w:val="23"/>
          <w:szCs w:val="23"/>
        </w:rPr>
        <w:t>11.4 最终输出结构</w:t>
      </w:r>
      <w:bookmarkEnd w:id="50"/>
    </w:p>
    <w:p w14:paraId="35E4FA4B">
      <w:pPr>
        <w:pBdr>
          <w:top w:val="single" w:color="D8DEE5" w:sz="2" w:space="3"/>
          <w:left w:val="single" w:color="2F75B5" w:sz="10" w:space="6"/>
          <w:bottom w:val="single" w:color="D8DEE5" w:sz="2" w:space="3"/>
          <w:right w:val="single" w:color="D8DEE5" w:sz="2" w:space="3"/>
        </w:pBdr>
        <w:shd w:val="clear" w:fill="F3F5F7"/>
        <w:spacing w:before="80" w:after="150" w:line="260" w:lineRule="auto"/>
        <w:ind w:left="260" w:right="180"/>
      </w:pPr>
      <w:r>
        <w:rPr>
          <w:rFonts w:ascii="Consolas" w:hAnsi="Consolas" w:eastAsia="微软雅黑"/>
          <w:color w:val="243447"/>
          <w:sz w:val="17"/>
          <w:szCs w:val="17"/>
        </w:rPr>
        <w:t>{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 xml:space="preserve">  "case_id": "HX-2026-0001",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 xml:space="preserve">  "scenario": "personnel_incentive",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 xml:space="preserve">  "decision": "NEED_SUPPLEMENT",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 xml:space="preserve">  "risk_level": "HIGH",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 xml:space="preserve">  "claimed_amount": 7350.00,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 xml:space="preserve">  "evidence_supported_amount": 7350.00,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 xml:space="preserve">  "suggested_approved_amount": 0.00,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 xml:space="preserve">  "temporarily_held_amount": 7350.00,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 xml:space="preserve">  "global_blockers": ["PI-POS-002", "PI-CON-001", "PI-PAY-002", "PI-PAY-004"],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 xml:space="preserve">  "unit_blockers": [],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 xml:space="preserve">  "evidence_refs": ["ev_pos_stamp", "ev_contract", "ev_payment_company", "ev_payment_date"],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 xml:space="preserve">  "supplement_requests": [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 xml:space="preserve">    "补充经销商盖章 POS",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 xml:space="preserve">    "补充签章促销合同",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 xml:space="preserve">    "补充含本公司名称、完整交易日期和交易单号的红包批量发放明细"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 xml:space="preserve">  ],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 xml:space="preserve">  "agent_summary": "数量和金额勾稽结果仅作为已验证事实；因全局必交材料不完整，本次不建议自动通过。",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 xml:space="preserve">  "manual_review_required": true,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 xml:space="preserve">  "ruleset_version": "2026.08.01"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>}</w:t>
      </w:r>
    </w:p>
    <w:p w14:paraId="53E672BC">
      <w:pPr>
        <w:pStyle w:val="3"/>
        <w:keepNext/>
        <w:spacing w:before="220" w:after="110"/>
      </w:pPr>
      <w:bookmarkStart w:id="51" w:name="_Toc12907"/>
      <w:r>
        <w:rPr>
          <w:rFonts w:ascii="Arial" w:hAnsi="Arial" w:eastAsia="微软雅黑"/>
          <w:b/>
          <w:bCs/>
          <w:color w:val="1F4E78"/>
          <w:sz w:val="27"/>
          <w:szCs w:val="27"/>
        </w:rPr>
        <w:t>12. 接口与集成设计</w:t>
      </w:r>
      <w:bookmarkEnd w:id="51"/>
    </w:p>
    <w:p w14:paraId="27A721D6">
      <w:pPr>
        <w:pStyle w:val="4"/>
        <w:keepNext/>
        <w:spacing w:before="170" w:after="90"/>
      </w:pPr>
      <w:bookmarkStart w:id="52" w:name="_Toc11848"/>
      <w:r>
        <w:rPr>
          <w:rFonts w:ascii="Arial" w:hAnsi="Arial" w:eastAsia="微软雅黑"/>
          <w:b/>
          <w:bCs/>
          <w:color w:val="2F75B5"/>
          <w:sz w:val="23"/>
          <w:szCs w:val="23"/>
        </w:rPr>
        <w:t>12.1 核心 API</w:t>
      </w:r>
      <w:bookmarkEnd w:id="52"/>
    </w:p>
    <w:tbl>
      <w:tblPr>
        <w:tblStyle w:val="14"/>
        <w:tblW w:w="9354" w:type="dxa"/>
        <w:tblInd w:w="0" w:type="dxa"/>
        <w:tblBorders>
          <w:top w:val="single" w:color="B7C9D6" w:sz="2" w:space="0"/>
          <w:left w:val="single" w:color="B7C9D6" w:sz="2" w:space="0"/>
          <w:bottom w:val="single" w:color="B7C9D6" w:sz="2" w:space="0"/>
          <w:right w:val="single" w:color="B7C9D6" w:sz="2" w:space="0"/>
          <w:insideH w:val="single" w:color="B7C9D6" w:sz="2" w:space="0"/>
          <w:insideV w:val="single" w:color="B7C9D6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968"/>
        <w:gridCol w:w="1750"/>
        <w:gridCol w:w="2636"/>
      </w:tblGrid>
      <w:tr w14:paraId="441E85A4">
        <w:tblPrEx>
          <w:tblBorders>
            <w:top w:val="single" w:color="B7C9D6" w:sz="2" w:space="0"/>
            <w:left w:val="single" w:color="B7C9D6" w:sz="2" w:space="0"/>
            <w:bottom w:val="single" w:color="B7C9D6" w:sz="2" w:space="0"/>
            <w:right w:val="single" w:color="B7C9D6" w:sz="2" w:space="0"/>
            <w:insideH w:val="single" w:color="B7C9D6" w:sz="2" w:space="0"/>
            <w:insideV w:val="single" w:color="B7C9D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496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2E78EB">
            <w:pPr>
              <w:spacing w:after="0" w:line="250" w:lineRule="auto"/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8"/>
                <w:szCs w:val="18"/>
              </w:rPr>
              <w:t>接口</w:t>
            </w:r>
          </w:p>
        </w:tc>
        <w:tc>
          <w:tcPr>
            <w:tcW w:w="175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1C9E54">
            <w:pPr>
              <w:spacing w:after="0" w:line="250" w:lineRule="auto"/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2636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F1D557">
            <w:pPr>
              <w:spacing w:after="0" w:line="250" w:lineRule="auto"/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8"/>
                <w:szCs w:val="18"/>
              </w:rPr>
              <w:t>用途</w:t>
            </w:r>
          </w:p>
        </w:tc>
      </w:tr>
      <w:tr w14:paraId="1B882663">
        <w:tblPrEx>
          <w:tblBorders>
            <w:top w:val="single" w:color="B7C9D6" w:sz="2" w:space="0"/>
            <w:left w:val="single" w:color="B7C9D6" w:sz="2" w:space="0"/>
            <w:bottom w:val="single" w:color="B7C9D6" w:sz="2" w:space="0"/>
            <w:right w:val="single" w:color="B7C9D6" w:sz="2" w:space="0"/>
            <w:insideH w:val="single" w:color="B7C9D6" w:sz="2" w:space="0"/>
            <w:insideV w:val="single" w:color="B7C9D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9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FBFB13">
            <w:pPr>
              <w:spacing w:after="0" w:line="250" w:lineRule="auto"/>
              <w:jc w:val="left"/>
            </w:pPr>
            <w:r>
              <w:rPr>
                <w:rFonts w:ascii="Consolas" w:hAnsi="Consolas" w:eastAsia="微软雅黑"/>
                <w:color w:val="17365D"/>
                <w:sz w:val="17"/>
                <w:szCs w:val="17"/>
                <w:shd w:val="clear" w:fill="E8EEF3"/>
              </w:rPr>
              <w:t>/v1/audit-cases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3529BB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8"/>
                <w:szCs w:val="18"/>
              </w:rPr>
              <w:t>POST</w:t>
            </w:r>
          </w:p>
        </w:tc>
        <w:tc>
          <w:tcPr>
            <w:tcW w:w="263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26FA83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8"/>
                <w:szCs w:val="18"/>
              </w:rPr>
              <w:t xml:space="preserve">创建核销单并返回 </w:t>
            </w:r>
            <w:r>
              <w:rPr>
                <w:rFonts w:ascii="Consolas" w:hAnsi="Consolas" w:eastAsia="微软雅黑"/>
                <w:color w:val="17365D"/>
                <w:sz w:val="17"/>
                <w:szCs w:val="17"/>
                <w:shd w:val="clear" w:fill="E8EEF3"/>
              </w:rPr>
              <w:t>case_id</w:t>
            </w:r>
          </w:p>
        </w:tc>
      </w:tr>
      <w:tr w14:paraId="47F02F6D">
        <w:tblPrEx>
          <w:tblBorders>
            <w:top w:val="single" w:color="B7C9D6" w:sz="2" w:space="0"/>
            <w:left w:val="single" w:color="B7C9D6" w:sz="2" w:space="0"/>
            <w:bottom w:val="single" w:color="B7C9D6" w:sz="2" w:space="0"/>
            <w:right w:val="single" w:color="B7C9D6" w:sz="2" w:space="0"/>
            <w:insideH w:val="single" w:color="B7C9D6" w:sz="2" w:space="0"/>
            <w:insideV w:val="single" w:color="B7C9D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968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422BF0">
            <w:pPr>
              <w:spacing w:after="0" w:line="250" w:lineRule="auto"/>
              <w:jc w:val="left"/>
            </w:pPr>
            <w:r>
              <w:rPr>
                <w:rFonts w:ascii="Consolas" w:hAnsi="Consolas" w:eastAsia="微软雅黑"/>
                <w:color w:val="17365D"/>
                <w:sz w:val="17"/>
                <w:szCs w:val="17"/>
                <w:shd w:val="clear" w:fill="E8EEF3"/>
              </w:rPr>
              <w:t>/v1/audit-cases/{id}/materials</w:t>
            </w:r>
          </w:p>
        </w:tc>
        <w:tc>
          <w:tcPr>
            <w:tcW w:w="1750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62F79F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8"/>
                <w:szCs w:val="18"/>
              </w:rPr>
              <w:t>POST</w:t>
            </w:r>
          </w:p>
        </w:tc>
        <w:tc>
          <w:tcPr>
            <w:tcW w:w="2636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D9C944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8"/>
                <w:szCs w:val="18"/>
              </w:rPr>
              <w:t>登记或直传材料</w:t>
            </w:r>
          </w:p>
        </w:tc>
      </w:tr>
      <w:tr w14:paraId="247612FE">
        <w:tblPrEx>
          <w:tblBorders>
            <w:top w:val="single" w:color="B7C9D6" w:sz="2" w:space="0"/>
            <w:left w:val="single" w:color="B7C9D6" w:sz="2" w:space="0"/>
            <w:bottom w:val="single" w:color="B7C9D6" w:sz="2" w:space="0"/>
            <w:right w:val="single" w:color="B7C9D6" w:sz="2" w:space="0"/>
            <w:insideH w:val="single" w:color="B7C9D6" w:sz="2" w:space="0"/>
            <w:insideV w:val="single" w:color="B7C9D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9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BA032">
            <w:pPr>
              <w:spacing w:after="0" w:line="250" w:lineRule="auto"/>
              <w:jc w:val="left"/>
            </w:pPr>
            <w:r>
              <w:rPr>
                <w:rFonts w:ascii="Consolas" w:hAnsi="Consolas" w:eastAsia="微软雅黑"/>
                <w:color w:val="17365D"/>
                <w:sz w:val="17"/>
                <w:szCs w:val="17"/>
                <w:shd w:val="clear" w:fill="E8EEF3"/>
              </w:rPr>
              <w:t>/v1/audit-cases/{id}/submit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30BD7A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8"/>
                <w:szCs w:val="18"/>
              </w:rPr>
              <w:t>POST</w:t>
            </w:r>
          </w:p>
        </w:tc>
        <w:tc>
          <w:tcPr>
            <w:tcW w:w="263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7C88DB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8"/>
                <w:szCs w:val="18"/>
              </w:rPr>
              <w:t>冻结当前版本并启动审核</w:t>
            </w:r>
          </w:p>
        </w:tc>
      </w:tr>
      <w:tr w14:paraId="4D15E91A">
        <w:tblPrEx>
          <w:tblBorders>
            <w:top w:val="single" w:color="B7C9D6" w:sz="2" w:space="0"/>
            <w:left w:val="single" w:color="B7C9D6" w:sz="2" w:space="0"/>
            <w:bottom w:val="single" w:color="B7C9D6" w:sz="2" w:space="0"/>
            <w:right w:val="single" w:color="B7C9D6" w:sz="2" w:space="0"/>
            <w:insideH w:val="single" w:color="B7C9D6" w:sz="2" w:space="0"/>
            <w:insideV w:val="single" w:color="B7C9D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968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D2AACD">
            <w:pPr>
              <w:spacing w:after="0" w:line="250" w:lineRule="auto"/>
              <w:jc w:val="left"/>
            </w:pPr>
            <w:r>
              <w:rPr>
                <w:rFonts w:ascii="Consolas" w:hAnsi="Consolas" w:eastAsia="微软雅黑"/>
                <w:color w:val="17365D"/>
                <w:sz w:val="17"/>
                <w:szCs w:val="17"/>
                <w:shd w:val="clear" w:fill="E8EEF3"/>
              </w:rPr>
              <w:t>/v1/audit-cases/{id}</w:t>
            </w:r>
          </w:p>
        </w:tc>
        <w:tc>
          <w:tcPr>
            <w:tcW w:w="1750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D9913B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8"/>
                <w:szCs w:val="18"/>
              </w:rPr>
              <w:t>GET</w:t>
            </w:r>
          </w:p>
        </w:tc>
        <w:tc>
          <w:tcPr>
            <w:tcW w:w="2636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6F4B62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8"/>
                <w:szCs w:val="18"/>
              </w:rPr>
              <w:t>查询状态与进度</w:t>
            </w:r>
          </w:p>
        </w:tc>
      </w:tr>
      <w:tr w14:paraId="407A0AEB">
        <w:tblPrEx>
          <w:tblBorders>
            <w:top w:val="single" w:color="B7C9D6" w:sz="2" w:space="0"/>
            <w:left w:val="single" w:color="B7C9D6" w:sz="2" w:space="0"/>
            <w:bottom w:val="single" w:color="B7C9D6" w:sz="2" w:space="0"/>
            <w:right w:val="single" w:color="B7C9D6" w:sz="2" w:space="0"/>
            <w:insideH w:val="single" w:color="B7C9D6" w:sz="2" w:space="0"/>
            <w:insideV w:val="single" w:color="B7C9D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9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50B0A7">
            <w:pPr>
              <w:spacing w:after="0" w:line="250" w:lineRule="auto"/>
              <w:jc w:val="left"/>
            </w:pPr>
            <w:r>
              <w:rPr>
                <w:rFonts w:ascii="Consolas" w:hAnsi="Consolas" w:eastAsia="微软雅黑"/>
                <w:color w:val="17365D"/>
                <w:sz w:val="17"/>
                <w:szCs w:val="17"/>
                <w:shd w:val="clear" w:fill="E8EEF3"/>
              </w:rPr>
              <w:t>/v1/audit-cases/{id}/result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CF7429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8"/>
                <w:szCs w:val="18"/>
              </w:rPr>
              <w:t>GET</w:t>
            </w:r>
          </w:p>
        </w:tc>
        <w:tc>
          <w:tcPr>
            <w:tcW w:w="263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7AE282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8"/>
                <w:szCs w:val="18"/>
              </w:rPr>
              <w:t>获取审核建议、规则和证据</w:t>
            </w:r>
          </w:p>
        </w:tc>
      </w:tr>
      <w:tr w14:paraId="297A2F8E">
        <w:tblPrEx>
          <w:tblBorders>
            <w:top w:val="single" w:color="B7C9D6" w:sz="2" w:space="0"/>
            <w:left w:val="single" w:color="B7C9D6" w:sz="2" w:space="0"/>
            <w:bottom w:val="single" w:color="B7C9D6" w:sz="2" w:space="0"/>
            <w:right w:val="single" w:color="B7C9D6" w:sz="2" w:space="0"/>
            <w:insideH w:val="single" w:color="B7C9D6" w:sz="2" w:space="0"/>
            <w:insideV w:val="single" w:color="B7C9D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968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A5A0E9">
            <w:pPr>
              <w:spacing w:after="0" w:line="250" w:lineRule="auto"/>
              <w:jc w:val="left"/>
            </w:pPr>
            <w:r>
              <w:rPr>
                <w:rFonts w:ascii="Consolas" w:hAnsi="Consolas" w:eastAsia="微软雅黑"/>
                <w:color w:val="17365D"/>
                <w:sz w:val="17"/>
                <w:szCs w:val="17"/>
                <w:shd w:val="clear" w:fill="E8EEF3"/>
              </w:rPr>
              <w:t>/v1/audit-cases/{id}/supplements</w:t>
            </w:r>
          </w:p>
        </w:tc>
        <w:tc>
          <w:tcPr>
            <w:tcW w:w="1750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FD84C7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8"/>
                <w:szCs w:val="18"/>
              </w:rPr>
              <w:t>POST</w:t>
            </w:r>
          </w:p>
        </w:tc>
        <w:tc>
          <w:tcPr>
            <w:tcW w:w="2636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CD6B05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8"/>
                <w:szCs w:val="18"/>
              </w:rPr>
              <w:t>提交补件并生成材料新版本</w:t>
            </w:r>
          </w:p>
        </w:tc>
      </w:tr>
      <w:tr w14:paraId="28061A05">
        <w:tblPrEx>
          <w:tblBorders>
            <w:top w:val="single" w:color="B7C9D6" w:sz="2" w:space="0"/>
            <w:left w:val="single" w:color="B7C9D6" w:sz="2" w:space="0"/>
            <w:bottom w:val="single" w:color="B7C9D6" w:sz="2" w:space="0"/>
            <w:right w:val="single" w:color="B7C9D6" w:sz="2" w:space="0"/>
            <w:insideH w:val="single" w:color="B7C9D6" w:sz="2" w:space="0"/>
            <w:insideV w:val="single" w:color="B7C9D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9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5E53D4">
            <w:pPr>
              <w:spacing w:after="0" w:line="250" w:lineRule="auto"/>
              <w:jc w:val="left"/>
            </w:pPr>
            <w:r>
              <w:rPr>
                <w:rFonts w:ascii="Consolas" w:hAnsi="Consolas" w:eastAsia="微软雅黑"/>
                <w:color w:val="17365D"/>
                <w:sz w:val="17"/>
                <w:szCs w:val="17"/>
                <w:shd w:val="clear" w:fill="E8EEF3"/>
              </w:rPr>
              <w:t>/v1/audit-cases/{id}/review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523CC4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8"/>
                <w:szCs w:val="18"/>
              </w:rPr>
              <w:t>POST</w:t>
            </w:r>
          </w:p>
        </w:tc>
        <w:tc>
          <w:tcPr>
            <w:tcW w:w="263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AE2B67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8"/>
                <w:szCs w:val="18"/>
              </w:rPr>
              <w:t>人工通过、驳回或要求补件</w:t>
            </w:r>
          </w:p>
        </w:tc>
      </w:tr>
      <w:tr w14:paraId="1C2A9473">
        <w:tblPrEx>
          <w:tblBorders>
            <w:top w:val="single" w:color="B7C9D6" w:sz="2" w:space="0"/>
            <w:left w:val="single" w:color="B7C9D6" w:sz="2" w:space="0"/>
            <w:bottom w:val="single" w:color="B7C9D6" w:sz="2" w:space="0"/>
            <w:right w:val="single" w:color="B7C9D6" w:sz="2" w:space="0"/>
            <w:insideH w:val="single" w:color="B7C9D6" w:sz="2" w:space="0"/>
            <w:insideV w:val="single" w:color="B7C9D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968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3C83A6">
            <w:pPr>
              <w:spacing w:after="0" w:line="250" w:lineRule="auto"/>
              <w:jc w:val="left"/>
            </w:pPr>
            <w:r>
              <w:rPr>
                <w:rFonts w:ascii="Consolas" w:hAnsi="Consolas" w:eastAsia="微软雅黑"/>
                <w:color w:val="17365D"/>
                <w:sz w:val="17"/>
                <w:szCs w:val="17"/>
                <w:shd w:val="clear" w:fill="E8EEF3"/>
              </w:rPr>
              <w:t>/v1/callbacks/qince</w:t>
            </w:r>
          </w:p>
        </w:tc>
        <w:tc>
          <w:tcPr>
            <w:tcW w:w="1750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5178B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8"/>
                <w:szCs w:val="18"/>
              </w:rPr>
              <w:t>POST</w:t>
            </w:r>
          </w:p>
        </w:tc>
        <w:tc>
          <w:tcPr>
            <w:tcW w:w="2636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87ACEB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8"/>
                <w:szCs w:val="18"/>
              </w:rPr>
              <w:t>回写勤策结果与同步状态</w:t>
            </w:r>
          </w:p>
        </w:tc>
      </w:tr>
    </w:tbl>
    <w:p w14:paraId="090093B6">
      <w:pPr>
        <w:spacing w:after="90"/>
      </w:pPr>
    </w:p>
    <w:p w14:paraId="1B57CE59">
      <w:pPr>
        <w:pStyle w:val="4"/>
        <w:keepNext/>
        <w:spacing w:before="170" w:after="90"/>
      </w:pPr>
      <w:bookmarkStart w:id="53" w:name="_Toc10051"/>
      <w:r>
        <w:rPr>
          <w:rFonts w:ascii="Arial" w:hAnsi="Arial" w:eastAsia="微软雅黑"/>
          <w:b/>
          <w:bCs/>
          <w:color w:val="2F75B5"/>
          <w:sz w:val="23"/>
          <w:szCs w:val="23"/>
        </w:rPr>
        <w:t>12.2 幂等与回调</w:t>
      </w:r>
      <w:bookmarkEnd w:id="53"/>
    </w:p>
    <w:p w14:paraId="532237D3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 xml:space="preserve">创建请求使用 </w:t>
      </w:r>
      <w:r>
        <w:rPr>
          <w:rFonts w:ascii="Consolas" w:hAnsi="Consolas" w:eastAsia="微软雅黑"/>
          <w:color w:val="17365D"/>
          <w:sz w:val="19"/>
          <w:szCs w:val="19"/>
          <w:shd w:val="clear" w:fill="E8EEF3"/>
        </w:rPr>
        <w:t>external_case_id + request_id</w:t>
      </w: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 xml:space="preserve"> 保证幂等。</w:t>
      </w:r>
    </w:p>
    <w:p w14:paraId="70E9D92A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文件以 SHA-256 去重；同一文件重复上传只新增关联，不重复存储。</w:t>
      </w:r>
    </w:p>
    <w:p w14:paraId="3670B8B8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回调使用时间戳、随机数和签名验签，支持指数退避重试。</w:t>
      </w:r>
    </w:p>
    <w:p w14:paraId="2CE380F6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勤策字段映射至少包括核销单号、场景、AI 建议状态、建议金额、暂缓金额、主要异常、复核人、复核时间和同步状态。</w:t>
      </w:r>
    </w:p>
    <w:p w14:paraId="3F7B5B4D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钉钉群消息只展示摘要和安全链接，不直接暴露敏感明细。</w:t>
      </w:r>
    </w:p>
    <w:p w14:paraId="6BE72361">
      <w:pPr>
        <w:pStyle w:val="3"/>
        <w:keepNext/>
        <w:spacing w:before="220" w:after="110"/>
      </w:pPr>
      <w:bookmarkStart w:id="54" w:name="_Toc4625"/>
      <w:r>
        <w:rPr>
          <w:rFonts w:ascii="Arial" w:hAnsi="Arial" w:eastAsia="微软雅黑"/>
          <w:b/>
          <w:bCs/>
          <w:color w:val="1F4E78"/>
          <w:sz w:val="27"/>
          <w:szCs w:val="27"/>
        </w:rPr>
        <w:t>13. 人工复核 H5</w:t>
      </w:r>
      <w:bookmarkEnd w:id="54"/>
    </w:p>
    <w:p w14:paraId="43E273D7">
      <w:pPr>
        <w:keepNext w:val="0"/>
        <w:spacing w:before="0" w:after="110" w:line="330" w:lineRule="auto"/>
        <w:ind w:firstLine="420"/>
        <w:jc w:val="both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复核页按“结论 → 阻断项 → 金额 → 原始证据”的顺序展示：</w:t>
      </w:r>
    </w:p>
    <w:p w14:paraId="3346A2A8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顶部显示建议状态、申报金额、证据支持金额、建议金额和暂缓金额。</w:t>
      </w:r>
    </w:p>
    <w:p w14:paraId="699AE204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全局缺件单独置顶，不与低风险提示混合。</w:t>
      </w:r>
    </w:p>
    <w:p w14:paraId="63B9DDD3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地堆按合同门店逐行展示照片、水印、地点、日期、陈列结论和金额影响。</w:t>
      </w:r>
    </w:p>
    <w:p w14:paraId="5D96C8CA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人员激励按 SKU、门店和支付三种视图下钻。</w:t>
      </w:r>
    </w:p>
    <w:p w14:paraId="584E3692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点击字段可定位到 PDF 页、图片证据框或 Excel 行。</w:t>
      </w:r>
    </w:p>
    <w:p w14:paraId="349FA316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重复候选支持并排原图、缩放和指纹距离展示。</w:t>
      </w:r>
    </w:p>
    <w:p w14:paraId="2017BCE9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审核人可通过、部分通过、驳回或要求补件，必须填写原因。</w:t>
      </w:r>
    </w:p>
    <w:p w14:paraId="45CE0554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人工修改关键字段时保存修改前后值、来源、人员和时间；修改后重新运行受影响规则。</w:t>
      </w:r>
    </w:p>
    <w:p w14:paraId="1CF521F7">
      <w:pPr>
        <w:pStyle w:val="3"/>
        <w:keepNext/>
        <w:spacing w:before="220" w:after="110"/>
      </w:pPr>
      <w:bookmarkStart w:id="55" w:name="_Toc15896"/>
      <w:r>
        <w:rPr>
          <w:rFonts w:ascii="Arial" w:hAnsi="Arial" w:eastAsia="微软雅黑"/>
          <w:b/>
          <w:bCs/>
          <w:color w:val="1F4E78"/>
          <w:sz w:val="27"/>
          <w:szCs w:val="27"/>
        </w:rPr>
        <w:t>14. 安全、审计与隐私</w:t>
      </w:r>
      <w:bookmarkEnd w:id="55"/>
    </w:p>
    <w:p w14:paraId="394D6A5A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文件存储和数据库启用静态加密，接口全程 TLS。</w:t>
      </w:r>
    </w:p>
    <w:p w14:paraId="4E8A6F6B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使用最小权限服务账号和 RBAC；经销商、业务、财务和管理员权限隔离。</w:t>
      </w:r>
    </w:p>
    <w:p w14:paraId="56A07D35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原始文件采用只读对象和版本化存储，下载使用短期签名 URL。</w:t>
      </w:r>
    </w:p>
    <w:p w14:paraId="1761602C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日志不记录完整图片、身份证号、手机号、Cookie、Token 或模型密钥。</w:t>
      </w:r>
    </w:p>
    <w:p w14:paraId="0406FE7E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外部模型调用经过模型网关，配置数据不用于供应商训练、区域和留存策略；高敏场景可全部私有化部署。</w:t>
      </w:r>
    </w:p>
    <w:p w14:paraId="3872476F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保存源文件哈希、模型版本、提示词版本、规则版本、代码镜像摘要、调用耗时和结构化结果。</w:t>
      </w:r>
    </w:p>
    <w:p w14:paraId="79AC1128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数据保留期限、归档和删除由客户制度配置；删除操作保留审计事件但不保留敏感正文。</w:t>
      </w:r>
    </w:p>
    <w:p w14:paraId="782BA0E0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历史指纹库只存必要指纹和 case 引用，访问受审计权限控制。</w:t>
      </w:r>
    </w:p>
    <w:p w14:paraId="37382456">
      <w:pPr>
        <w:pStyle w:val="3"/>
        <w:keepNext/>
        <w:spacing w:before="220" w:after="110"/>
      </w:pPr>
      <w:bookmarkStart w:id="56" w:name="_Toc27552"/>
      <w:r>
        <w:rPr>
          <w:rFonts w:ascii="Arial" w:hAnsi="Arial" w:eastAsia="微软雅黑"/>
          <w:b/>
          <w:bCs/>
          <w:color w:val="1F4E78"/>
          <w:sz w:val="27"/>
          <w:szCs w:val="27"/>
        </w:rPr>
        <w:t>15. 稳定性与运维</w:t>
      </w:r>
      <w:bookmarkEnd w:id="56"/>
    </w:p>
    <w:p w14:paraId="2A4B065B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OCR、视觉、规则、报告和回写拆分为可重试任务，使用幂等任务 ID。</w:t>
      </w:r>
    </w:p>
    <w:p w14:paraId="2B4F4010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同一页连续两次模型失败后切换备用识别路径；达到最大次数进入人工，不无限重试。</w:t>
      </w:r>
    </w:p>
    <w:p w14:paraId="1FBAEA25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监控任务积压、P95 耗时、OCR 失败率、字段 UNKNOWN 率、人工改判率、模型用量和回写失败率。</w:t>
      </w:r>
    </w:p>
    <w:p w14:paraId="1181582E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设置模型熔断和预算上限，异常时降级为本地 OCR + 人工复核，不丢失源文件。</w:t>
      </w:r>
    </w:p>
    <w:p w14:paraId="2DDE075A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生产规则、模型和提示词支持灰度、影子运行及快速回滚。</w:t>
      </w:r>
    </w:p>
    <w:p w14:paraId="3C8FD98D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建议性能目标：20～30 张照片、合同/结算单和 1 份 Excel 的标准核销包，P95 在 5 分钟内完成机器初审；最终指标按部署资源压测冻结。</w:t>
      </w:r>
    </w:p>
    <w:p w14:paraId="65ED9E6D">
      <w:pPr>
        <w:pStyle w:val="3"/>
        <w:keepNext/>
        <w:spacing w:before="220" w:after="110"/>
      </w:pPr>
      <w:bookmarkStart w:id="57" w:name="_Toc10591"/>
      <w:r>
        <w:rPr>
          <w:rFonts w:ascii="Arial" w:hAnsi="Arial" w:eastAsia="微软雅黑"/>
          <w:b/>
          <w:bCs/>
          <w:color w:val="1F4E78"/>
          <w:sz w:val="27"/>
          <w:szCs w:val="27"/>
        </w:rPr>
        <w:t>16. 测试与验收</w:t>
      </w:r>
      <w:bookmarkEnd w:id="57"/>
    </w:p>
    <w:p w14:paraId="216337BC">
      <w:pPr>
        <w:pStyle w:val="4"/>
        <w:keepNext/>
        <w:spacing w:before="170" w:after="90"/>
      </w:pPr>
      <w:bookmarkStart w:id="58" w:name="_Toc19336"/>
      <w:r>
        <w:rPr>
          <w:rFonts w:ascii="Arial" w:hAnsi="Arial" w:eastAsia="微软雅黑"/>
          <w:b/>
          <w:bCs/>
          <w:color w:val="2F75B5"/>
          <w:sz w:val="23"/>
          <w:szCs w:val="23"/>
        </w:rPr>
        <w:t>16.1 必测用例</w:t>
      </w:r>
      <w:bookmarkEnd w:id="58"/>
    </w:p>
    <w:p w14:paraId="24021C73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结算单旋转 90°、透视变形、红章遮挡日期、表格行缺失。</w:t>
      </w:r>
    </w:p>
    <w:p w14:paraId="36762B8F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统一模板正确、旧版模板、非统一模板和伪相似模板。</w:t>
      </w:r>
    </w:p>
    <w:p w14:paraId="4FFC7372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合同缺页、未签章、扫描章、电子签章和签后修改。</w:t>
      </w:r>
    </w:p>
    <w:p w14:paraId="39462429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地堆照片无水印、日期期外、地点冲突、只有文件名、画面局部、商品缺失、促销标识缺失。</w:t>
      </w:r>
    </w:p>
    <w:p w14:paraId="07CE5B94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相同照片改名、压缩、裁剪、加水印及跨活动复用。</w:t>
      </w:r>
    </w:p>
    <w:p w14:paraId="2A36AEE8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POS 条码科学计数法、前导零、合计行、公式、外部链接和多工作表。</w:t>
      </w:r>
    </w:p>
    <w:p w14:paraId="6DE7BC66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盖章 POS 与电子 POS 总计一致但 SKU 明细不同。</w:t>
      </w:r>
    </w:p>
    <w:p w14:paraId="507B6992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红包截图左右镜像、相同金额多笔、只有手机顶部时间、缺公司名称、缺交易单号、期外发放。</w:t>
      </w:r>
    </w:p>
    <w:p w14:paraId="39C6A617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POS、结算单、合同和付款四方金额分别不一致。</w:t>
      </w:r>
    </w:p>
    <w:p w14:paraId="4423F37D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OCR/模型超时、Schema 不合法、规则服务失败、勤策回写失败。</w:t>
      </w:r>
    </w:p>
    <w:p w14:paraId="50C93007">
      <w:pPr>
        <w:pStyle w:val="4"/>
        <w:keepNext/>
        <w:spacing w:before="170" w:after="90"/>
      </w:pPr>
      <w:bookmarkStart w:id="59" w:name="_Toc1933"/>
      <w:r>
        <w:rPr>
          <w:rFonts w:ascii="Arial" w:hAnsi="Arial" w:eastAsia="微软雅黑"/>
          <w:b/>
          <w:bCs/>
          <w:color w:val="2F75B5"/>
          <w:sz w:val="23"/>
          <w:szCs w:val="23"/>
        </w:rPr>
        <w:t>16.2 建议验收指标</w:t>
      </w:r>
      <w:bookmarkEnd w:id="59"/>
    </w:p>
    <w:p w14:paraId="0B12C664">
      <w:pPr>
        <w:keepNext w:val="0"/>
        <w:spacing w:before="0" w:after="110" w:line="330" w:lineRule="auto"/>
        <w:ind w:firstLine="420"/>
        <w:jc w:val="both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最终阈值以客户确认的独立金标集为准，建议目标如下：</w:t>
      </w:r>
    </w:p>
    <w:tbl>
      <w:tblPr>
        <w:tblStyle w:val="14"/>
        <w:tblW w:w="9354" w:type="dxa"/>
        <w:tblInd w:w="0" w:type="dxa"/>
        <w:tblBorders>
          <w:top w:val="single" w:color="B7C9D6" w:sz="2" w:space="0"/>
          <w:left w:val="single" w:color="B7C9D6" w:sz="2" w:space="0"/>
          <w:bottom w:val="single" w:color="B7C9D6" w:sz="2" w:space="0"/>
          <w:right w:val="single" w:color="B7C9D6" w:sz="2" w:space="0"/>
          <w:insideH w:val="single" w:color="B7C9D6" w:sz="2" w:space="0"/>
          <w:insideV w:val="single" w:color="B7C9D6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734"/>
        <w:gridCol w:w="2620"/>
      </w:tblGrid>
      <w:tr w14:paraId="608663B0">
        <w:tblPrEx>
          <w:tblBorders>
            <w:top w:val="single" w:color="B7C9D6" w:sz="2" w:space="0"/>
            <w:left w:val="single" w:color="B7C9D6" w:sz="2" w:space="0"/>
            <w:bottom w:val="single" w:color="B7C9D6" w:sz="2" w:space="0"/>
            <w:right w:val="single" w:color="B7C9D6" w:sz="2" w:space="0"/>
            <w:insideH w:val="single" w:color="B7C9D6" w:sz="2" w:space="0"/>
            <w:insideV w:val="single" w:color="B7C9D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673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F83DFF">
            <w:pPr>
              <w:spacing w:after="0" w:line="250" w:lineRule="auto"/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8"/>
                <w:szCs w:val="18"/>
              </w:rPr>
              <w:t>指标</w:t>
            </w:r>
          </w:p>
        </w:tc>
        <w:tc>
          <w:tcPr>
            <w:tcW w:w="262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CFDB74">
            <w:pPr>
              <w:spacing w:after="0" w:line="250" w:lineRule="auto"/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8"/>
                <w:szCs w:val="18"/>
              </w:rPr>
              <w:t>建议目标</w:t>
            </w:r>
          </w:p>
        </w:tc>
      </w:tr>
      <w:tr w14:paraId="429F8BC1">
        <w:tblPrEx>
          <w:tblBorders>
            <w:top w:val="single" w:color="B7C9D6" w:sz="2" w:space="0"/>
            <w:left w:val="single" w:color="B7C9D6" w:sz="2" w:space="0"/>
            <w:bottom w:val="single" w:color="B7C9D6" w:sz="2" w:space="0"/>
            <w:right w:val="single" w:color="B7C9D6" w:sz="2" w:space="0"/>
            <w:insideH w:val="single" w:color="B7C9D6" w:sz="2" w:space="0"/>
            <w:insideV w:val="single" w:color="B7C9D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73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AE7058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8"/>
                <w:szCs w:val="18"/>
              </w:rPr>
              <w:t>必交材料缺失检出率</w:t>
            </w:r>
          </w:p>
        </w:tc>
        <w:tc>
          <w:tcPr>
            <w:tcW w:w="26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4C1FF7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8"/>
                <w:szCs w:val="18"/>
              </w:rPr>
              <w:t>100%</w:t>
            </w:r>
          </w:p>
        </w:tc>
      </w:tr>
      <w:tr w14:paraId="669047FF">
        <w:tblPrEx>
          <w:tblBorders>
            <w:top w:val="single" w:color="B7C9D6" w:sz="2" w:space="0"/>
            <w:left w:val="single" w:color="B7C9D6" w:sz="2" w:space="0"/>
            <w:bottom w:val="single" w:color="B7C9D6" w:sz="2" w:space="0"/>
            <w:right w:val="single" w:color="B7C9D6" w:sz="2" w:space="0"/>
            <w:insideH w:val="single" w:color="B7C9D6" w:sz="2" w:space="0"/>
            <w:insideV w:val="single" w:color="B7C9D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734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04E9B9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8"/>
                <w:szCs w:val="18"/>
              </w:rPr>
              <w:t>关键金额/日期/交易号字段精确匹配率</w:t>
            </w:r>
          </w:p>
        </w:tc>
        <w:tc>
          <w:tcPr>
            <w:tcW w:w="2620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5312B7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8"/>
                <w:szCs w:val="18"/>
              </w:rPr>
              <w:t>≥ 99%</w:t>
            </w:r>
          </w:p>
        </w:tc>
      </w:tr>
      <w:tr w14:paraId="744547C1">
        <w:tblPrEx>
          <w:tblBorders>
            <w:top w:val="single" w:color="B7C9D6" w:sz="2" w:space="0"/>
            <w:left w:val="single" w:color="B7C9D6" w:sz="2" w:space="0"/>
            <w:bottom w:val="single" w:color="B7C9D6" w:sz="2" w:space="0"/>
            <w:right w:val="single" w:color="B7C9D6" w:sz="2" w:space="0"/>
            <w:insideH w:val="single" w:color="B7C9D6" w:sz="2" w:space="0"/>
            <w:insideV w:val="single" w:color="B7C9D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73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1BC46E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8"/>
                <w:szCs w:val="18"/>
              </w:rPr>
              <w:t>客户、门店和商品标准化准确率</w:t>
            </w:r>
          </w:p>
        </w:tc>
        <w:tc>
          <w:tcPr>
            <w:tcW w:w="26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CD0528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8"/>
                <w:szCs w:val="18"/>
              </w:rPr>
              <w:t>≥ 97%</w:t>
            </w:r>
          </w:p>
        </w:tc>
      </w:tr>
      <w:tr w14:paraId="24E2AF71">
        <w:tblPrEx>
          <w:tblBorders>
            <w:top w:val="single" w:color="B7C9D6" w:sz="2" w:space="0"/>
            <w:left w:val="single" w:color="B7C9D6" w:sz="2" w:space="0"/>
            <w:bottom w:val="single" w:color="B7C9D6" w:sz="2" w:space="0"/>
            <w:right w:val="single" w:color="B7C9D6" w:sz="2" w:space="0"/>
            <w:insideH w:val="single" w:color="B7C9D6" w:sz="2" w:space="0"/>
            <w:insideV w:val="single" w:color="B7C9D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734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62F73E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8"/>
                <w:szCs w:val="18"/>
              </w:rPr>
              <w:t>表格有效行召回率</w:t>
            </w:r>
          </w:p>
        </w:tc>
        <w:tc>
          <w:tcPr>
            <w:tcW w:w="2620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E17DFE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8"/>
                <w:szCs w:val="18"/>
              </w:rPr>
              <w:t>≥ 98%</w:t>
            </w:r>
          </w:p>
        </w:tc>
      </w:tr>
      <w:tr w14:paraId="1E75D233">
        <w:tblPrEx>
          <w:tblBorders>
            <w:top w:val="single" w:color="B7C9D6" w:sz="2" w:space="0"/>
            <w:left w:val="single" w:color="B7C9D6" w:sz="2" w:space="0"/>
            <w:bottom w:val="single" w:color="B7C9D6" w:sz="2" w:space="0"/>
            <w:right w:val="single" w:color="B7C9D6" w:sz="2" w:space="0"/>
            <w:insideH w:val="single" w:color="B7C9D6" w:sz="2" w:space="0"/>
            <w:insideV w:val="single" w:color="B7C9D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73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3FC251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8"/>
                <w:szCs w:val="18"/>
              </w:rPr>
              <w:t>确定性金额计算错误</w:t>
            </w:r>
          </w:p>
        </w:tc>
        <w:tc>
          <w:tcPr>
            <w:tcW w:w="26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E53F1C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8"/>
                <w:szCs w:val="18"/>
              </w:rPr>
              <w:t>0</w:t>
            </w:r>
          </w:p>
        </w:tc>
      </w:tr>
      <w:tr w14:paraId="0B089D20">
        <w:tblPrEx>
          <w:tblBorders>
            <w:top w:val="single" w:color="B7C9D6" w:sz="2" w:space="0"/>
            <w:left w:val="single" w:color="B7C9D6" w:sz="2" w:space="0"/>
            <w:bottom w:val="single" w:color="B7C9D6" w:sz="2" w:space="0"/>
            <w:right w:val="single" w:color="B7C9D6" w:sz="2" w:space="0"/>
            <w:insideH w:val="single" w:color="B7C9D6" w:sz="2" w:space="0"/>
            <w:insideV w:val="single" w:color="B7C9D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734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1B0DDF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8"/>
                <w:szCs w:val="18"/>
              </w:rPr>
              <w:t>自动通过精确率</w:t>
            </w:r>
          </w:p>
        </w:tc>
        <w:tc>
          <w:tcPr>
            <w:tcW w:w="2620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AE88EA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8"/>
                <w:szCs w:val="18"/>
              </w:rPr>
              <w:t>≥ 99.5%</w:t>
            </w:r>
          </w:p>
        </w:tc>
      </w:tr>
      <w:tr w14:paraId="2AA806A7">
        <w:tblPrEx>
          <w:tblBorders>
            <w:top w:val="single" w:color="B7C9D6" w:sz="2" w:space="0"/>
            <w:left w:val="single" w:color="B7C9D6" w:sz="2" w:space="0"/>
            <w:bottom w:val="single" w:color="B7C9D6" w:sz="2" w:space="0"/>
            <w:right w:val="single" w:color="B7C9D6" w:sz="2" w:space="0"/>
            <w:insideH w:val="single" w:color="B7C9D6" w:sz="2" w:space="0"/>
            <w:insideV w:val="single" w:color="B7C9D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73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BB0C0A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8"/>
                <w:szCs w:val="18"/>
              </w:rPr>
              <w:t>高风险异常召回率</w:t>
            </w:r>
          </w:p>
        </w:tc>
        <w:tc>
          <w:tcPr>
            <w:tcW w:w="26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C3F0A2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8"/>
                <w:szCs w:val="18"/>
              </w:rPr>
              <w:t>≥ 98%</w:t>
            </w:r>
          </w:p>
        </w:tc>
      </w:tr>
      <w:tr w14:paraId="06F9423C">
        <w:tblPrEx>
          <w:tblBorders>
            <w:top w:val="single" w:color="B7C9D6" w:sz="2" w:space="0"/>
            <w:left w:val="single" w:color="B7C9D6" w:sz="2" w:space="0"/>
            <w:bottom w:val="single" w:color="B7C9D6" w:sz="2" w:space="0"/>
            <w:right w:val="single" w:color="B7C9D6" w:sz="2" w:space="0"/>
            <w:insideH w:val="single" w:color="B7C9D6" w:sz="2" w:space="0"/>
            <w:insideV w:val="single" w:color="B7C9D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734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653AA5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8"/>
                <w:szCs w:val="18"/>
              </w:rPr>
              <w:t>证据引用覆盖率</w:t>
            </w:r>
          </w:p>
        </w:tc>
        <w:tc>
          <w:tcPr>
            <w:tcW w:w="2620" w:type="dxa"/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F21209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8"/>
                <w:szCs w:val="18"/>
              </w:rPr>
              <w:t>100%</w:t>
            </w:r>
          </w:p>
        </w:tc>
      </w:tr>
      <w:tr w14:paraId="6CDDCBC3">
        <w:tblPrEx>
          <w:tblBorders>
            <w:top w:val="single" w:color="B7C9D6" w:sz="2" w:space="0"/>
            <w:left w:val="single" w:color="B7C9D6" w:sz="2" w:space="0"/>
            <w:bottom w:val="single" w:color="B7C9D6" w:sz="2" w:space="0"/>
            <w:right w:val="single" w:color="B7C9D6" w:sz="2" w:space="0"/>
            <w:insideH w:val="single" w:color="B7C9D6" w:sz="2" w:space="0"/>
            <w:insideV w:val="single" w:color="B7C9D6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73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2CA5F7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8"/>
                <w:szCs w:val="18"/>
              </w:rPr>
              <w:t>技术失败被误判为业务通过/驳回</w:t>
            </w:r>
          </w:p>
        </w:tc>
        <w:tc>
          <w:tcPr>
            <w:tcW w:w="26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8954C1">
            <w:pPr>
              <w:spacing w:after="0" w:line="25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F2937"/>
                <w:sz w:val="18"/>
                <w:szCs w:val="18"/>
              </w:rPr>
              <w:t>0</w:t>
            </w:r>
          </w:p>
        </w:tc>
      </w:tr>
    </w:tbl>
    <w:p w14:paraId="5E0CBC8B">
      <w:pPr>
        <w:spacing w:after="90"/>
      </w:pPr>
    </w:p>
    <w:p w14:paraId="732B6852">
      <w:pPr>
        <w:keepNext w:val="0"/>
        <w:spacing w:before="0" w:after="110" w:line="330" w:lineRule="auto"/>
        <w:ind w:firstLine="420"/>
        <w:jc w:val="both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自动通过精确率优先于覆盖率。系统首期可将较多案件送人工，待数据积累和阈值稳定后再逐步提升自动化率。</w:t>
      </w:r>
    </w:p>
    <w:p w14:paraId="7FEABC71">
      <w:pPr>
        <w:pStyle w:val="4"/>
        <w:keepNext/>
        <w:spacing w:before="170" w:after="90"/>
      </w:pPr>
      <w:bookmarkStart w:id="60" w:name="_Toc3566"/>
      <w:r>
        <w:rPr>
          <w:rFonts w:ascii="Arial" w:hAnsi="Arial" w:eastAsia="微软雅黑"/>
          <w:b/>
          <w:bCs/>
          <w:color w:val="2F75B5"/>
          <w:sz w:val="23"/>
          <w:szCs w:val="23"/>
        </w:rPr>
        <w:t>16.3 回归与发布门禁</w:t>
      </w:r>
      <w:bookmarkEnd w:id="60"/>
    </w:p>
    <w:p w14:paraId="70964CC9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所有金额公式、规则状态映射和 JSON Schema 单元测试通过。</w:t>
      </w:r>
    </w:p>
    <w:p w14:paraId="1C00E68D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历史金标集关键指标不得下降。</w:t>
      </w:r>
    </w:p>
    <w:p w14:paraId="5812EF1F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新增模型在影子模式下与人工结论对比，达到门槛后小流量灰度。</w:t>
      </w:r>
    </w:p>
    <w:p w14:paraId="528E8298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高风险漏判为发布阻断问题；低风险召回提升不得以降低自动通过精确率为代价。</w:t>
      </w:r>
    </w:p>
    <w:p w14:paraId="3A7377F8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输出 Excel/JSON 的合计、公式、证据链接和文件哈希必须通过自动校验。</w:t>
      </w:r>
    </w:p>
    <w:p w14:paraId="227CF890">
      <w:pPr>
        <w:pStyle w:val="3"/>
        <w:keepNext/>
        <w:spacing w:before="220" w:after="110"/>
      </w:pPr>
      <w:bookmarkStart w:id="61" w:name="_Toc9642"/>
      <w:r>
        <w:rPr>
          <w:rFonts w:ascii="Arial" w:hAnsi="Arial" w:eastAsia="微软雅黑"/>
          <w:b/>
          <w:bCs/>
          <w:color w:val="1F4E78"/>
          <w:sz w:val="27"/>
          <w:szCs w:val="27"/>
        </w:rPr>
        <w:t>17. 实施与上线计划</w:t>
      </w:r>
      <w:bookmarkEnd w:id="61"/>
    </w:p>
    <w:p w14:paraId="32A38D13">
      <w:pPr>
        <w:pStyle w:val="4"/>
        <w:keepNext/>
        <w:spacing w:before="170" w:after="90"/>
      </w:pPr>
      <w:bookmarkStart w:id="62" w:name="_Toc3917"/>
      <w:r>
        <w:rPr>
          <w:rFonts w:ascii="Arial" w:hAnsi="Arial" w:eastAsia="微软雅黑"/>
          <w:b/>
          <w:bCs/>
          <w:color w:val="2F75B5"/>
          <w:sz w:val="23"/>
          <w:szCs w:val="23"/>
        </w:rPr>
        <w:t>阶段 1：规则与数据契约冻结</w:t>
      </w:r>
      <w:bookmarkEnd w:id="62"/>
    </w:p>
    <w:p w14:paraId="6368F745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确认两类业务的必交材料、条件材料、全局 blocker、可分割金额规则和人工权限。</w:t>
      </w:r>
    </w:p>
    <w:p w14:paraId="05052850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获取统一结算单模板、公司/经销商/门店/商品主数据及允许别名。</w:t>
      </w:r>
    </w:p>
    <w:p w14:paraId="3FB6FA34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冻结 evidence、rule result 和 audit decision Schema。</w:t>
      </w:r>
    </w:p>
    <w:p w14:paraId="024FA77B">
      <w:pPr>
        <w:pStyle w:val="4"/>
        <w:keepNext/>
        <w:spacing w:before="170" w:after="90"/>
      </w:pPr>
      <w:bookmarkStart w:id="63" w:name="_Toc27535"/>
      <w:r>
        <w:rPr>
          <w:rFonts w:ascii="Arial" w:hAnsi="Arial" w:eastAsia="微软雅黑"/>
          <w:b/>
          <w:bCs/>
          <w:color w:val="2F75B5"/>
          <w:sz w:val="23"/>
          <w:szCs w:val="23"/>
        </w:rPr>
        <w:t>阶段 2：OCR/视觉与规则引擎建设</w:t>
      </w:r>
      <w:bookmarkEnd w:id="63"/>
    </w:p>
    <w:p w14:paraId="0A128081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完成结算单、合同、盖章 POS、支付明细和现场照片识别。</w:t>
      </w:r>
    </w:p>
    <w:p w14:paraId="085AE0CB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完成逐门店、逐 SKU、逐笔支付的确定性程序。</w:t>
      </w:r>
    </w:p>
    <w:p w14:paraId="49C87FEC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建立指纹库、模板注册表、模型注册表和规则版本库。</w:t>
      </w:r>
    </w:p>
    <w:p w14:paraId="34C0988B">
      <w:pPr>
        <w:pStyle w:val="4"/>
        <w:keepNext/>
        <w:spacing w:before="170" w:after="90"/>
      </w:pPr>
      <w:bookmarkStart w:id="64" w:name="_Toc18490"/>
      <w:r>
        <w:rPr>
          <w:rFonts w:ascii="Arial" w:hAnsi="Arial" w:eastAsia="微软雅黑"/>
          <w:b/>
          <w:bCs/>
          <w:color w:val="2F75B5"/>
          <w:sz w:val="23"/>
          <w:szCs w:val="23"/>
        </w:rPr>
        <w:t>阶段 3：Agent 判断、H5 与系统集成</w:t>
      </w:r>
      <w:bookmarkEnd w:id="64"/>
    </w:p>
    <w:p w14:paraId="719C93E6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上线判断 Skill 与 Decision Guard。</w:t>
      </w:r>
    </w:p>
    <w:p w14:paraId="28D53ED7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完成 H5 证据定位、人工操作、钉钉通知和勤策回写。</w:t>
      </w:r>
    </w:p>
    <w:p w14:paraId="434850E9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建立完整审计日志、监控、重试和异常降级。</w:t>
      </w:r>
    </w:p>
    <w:p w14:paraId="5EA604EE">
      <w:pPr>
        <w:pStyle w:val="4"/>
        <w:keepNext/>
        <w:spacing w:before="170" w:after="90"/>
      </w:pPr>
      <w:bookmarkStart w:id="65" w:name="_Toc26390"/>
      <w:r>
        <w:rPr>
          <w:rFonts w:ascii="Arial" w:hAnsi="Arial" w:eastAsia="微软雅黑"/>
          <w:b/>
          <w:bCs/>
          <w:color w:val="2F75B5"/>
          <w:sz w:val="23"/>
          <w:szCs w:val="23"/>
        </w:rPr>
        <w:t>阶段 4：历史回放与 UAT</w:t>
      </w:r>
      <w:bookmarkEnd w:id="65"/>
    </w:p>
    <w:p w14:paraId="73B34F9F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使用脱敏历史案件建立金标集，覆盖通过、补件、部分通过和高风险样本。</w:t>
      </w:r>
    </w:p>
    <w:p w14:paraId="2F2A9B00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执行离线回放、误差分析、阈值校准和一轮客户 UAT。</w:t>
      </w:r>
    </w:p>
    <w:p w14:paraId="17A09EDE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冻结验收阈值、规则版本和生产发布清单。</w:t>
      </w:r>
    </w:p>
    <w:p w14:paraId="79AB7206">
      <w:pPr>
        <w:pStyle w:val="4"/>
        <w:keepNext/>
        <w:spacing w:before="170" w:after="90"/>
      </w:pPr>
      <w:bookmarkStart w:id="66" w:name="_Toc4184"/>
      <w:r>
        <w:rPr>
          <w:rFonts w:ascii="Arial" w:hAnsi="Arial" w:eastAsia="微软雅黑"/>
          <w:b/>
          <w:bCs/>
          <w:color w:val="2F75B5"/>
          <w:sz w:val="23"/>
          <w:szCs w:val="23"/>
        </w:rPr>
        <w:t>阶段 5：影子运行与灰度</w:t>
      </w:r>
      <w:bookmarkEnd w:id="66"/>
    </w:p>
    <w:p w14:paraId="55D58292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首期 Agent 只给建议，不自动回写最终审批。</w:t>
      </w:r>
    </w:p>
    <w:p w14:paraId="00B960B6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对高置信案件逐步开放自动建议通过；所有异常和低置信案件继续人工确认。</w:t>
      </w:r>
    </w:p>
    <w:p w14:paraId="258317CF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根据人工改判持续优化模板、字典、规则和模型。</w:t>
      </w:r>
    </w:p>
    <w:p w14:paraId="22BD0771">
      <w:pPr>
        <w:pStyle w:val="3"/>
        <w:keepNext/>
        <w:spacing w:before="220" w:after="110"/>
      </w:pPr>
      <w:bookmarkStart w:id="67" w:name="_Toc21956"/>
      <w:r>
        <w:rPr>
          <w:rFonts w:ascii="Arial" w:hAnsi="Arial" w:eastAsia="微软雅黑"/>
          <w:b/>
          <w:bCs/>
          <w:color w:val="1F4E78"/>
          <w:sz w:val="27"/>
          <w:szCs w:val="27"/>
        </w:rPr>
        <w:t>18. 现有验证工程的生产化改造重点</w:t>
      </w:r>
      <w:bookmarkEnd w:id="67"/>
    </w:p>
    <w:p w14:paraId="17E5755D">
      <w:pPr>
        <w:keepNext w:val="0"/>
        <w:spacing w:before="0" w:after="110" w:line="330" w:lineRule="auto"/>
        <w:ind w:firstLine="420"/>
        <w:jc w:val="both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现有样例工程已经具备安全解压、场景路由、Excel 原生读取、图片哈希、逐 SKU/逐门店勾稽、结果 Schema 校验和 Excel 报告等基础能力。生产化需重点完成以下升级：</w:t>
      </w:r>
    </w:p>
    <w:p w14:paraId="4FDA8DD4">
      <w:pPr>
        <w:pStyle w:val="19"/>
        <w:numPr>
          <w:ilvl w:val="0"/>
          <w:numId w:val="11"/>
        </w:numPr>
        <w:spacing w:after="70" w:line="310" w:lineRule="auto"/>
        <w:ind w:left="680" w:hanging="36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从“两个 ZIP 固定成对运行”改为“单核销单独立异步运行”。</w:t>
      </w:r>
    </w:p>
    <w:p w14:paraId="78023A5B">
      <w:pPr>
        <w:pStyle w:val="19"/>
        <w:numPr>
          <w:ilvl w:val="0"/>
          <w:numId w:val="11"/>
        </w:numPr>
        <w:spacing w:after="70" w:line="310" w:lineRule="auto"/>
        <w:ind w:left="680" w:hanging="36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从“Agent 一次性读取附件”改为“专业 OCR/视觉服务输出字段级证据”。</w:t>
      </w:r>
    </w:p>
    <w:p w14:paraId="27D14E43">
      <w:pPr>
        <w:pStyle w:val="19"/>
        <w:numPr>
          <w:ilvl w:val="0"/>
          <w:numId w:val="11"/>
        </w:numPr>
        <w:spacing w:after="70" w:line="310" w:lineRule="auto"/>
        <w:ind w:left="680" w:hanging="36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将地堆统一结算单和客户盖章纳入全局硬门槛。</w:t>
      </w:r>
    </w:p>
    <w:p w14:paraId="6C319F25">
      <w:pPr>
        <w:pStyle w:val="19"/>
        <w:numPr>
          <w:ilvl w:val="0"/>
          <w:numId w:val="11"/>
        </w:numPr>
        <w:spacing w:after="70" w:line="310" w:lineRule="auto"/>
        <w:ind w:left="680" w:hanging="36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将人员激励盖章 POS、签章合同、本公司名称、完整发放时间及交易唯一性纳入全局硬门槛。</w:t>
      </w:r>
    </w:p>
    <w:p w14:paraId="02FB442C">
      <w:pPr>
        <w:pStyle w:val="19"/>
        <w:numPr>
          <w:ilvl w:val="0"/>
          <w:numId w:val="11"/>
        </w:numPr>
        <w:spacing w:after="70" w:line="310" w:lineRule="auto"/>
        <w:ind w:left="680" w:hanging="36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补充统一模板版本识别、印章主体 OCR、电子签名校验和批量发放明细解析。</w:t>
      </w:r>
    </w:p>
    <w:p w14:paraId="6CEDCC44">
      <w:pPr>
        <w:pStyle w:val="19"/>
        <w:numPr>
          <w:ilvl w:val="0"/>
          <w:numId w:val="11"/>
        </w:numPr>
        <w:spacing w:after="70" w:line="310" w:lineRule="auto"/>
        <w:ind w:left="680" w:hanging="36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将截图同额配对由模型推断改为“交易单号优先、证据不足不合并”。</w:t>
      </w:r>
    </w:p>
    <w:p w14:paraId="411FA32E">
      <w:pPr>
        <w:pStyle w:val="19"/>
        <w:numPr>
          <w:ilvl w:val="0"/>
          <w:numId w:val="11"/>
        </w:numPr>
        <w:spacing w:after="70" w:line="310" w:lineRule="auto"/>
        <w:ind w:left="680" w:hanging="36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从本案内哈希去重升级为跨活动历史指纹检索。</w:t>
      </w:r>
    </w:p>
    <w:p w14:paraId="17A26FED">
      <w:pPr>
        <w:pStyle w:val="19"/>
        <w:numPr>
          <w:ilvl w:val="0"/>
          <w:numId w:val="11"/>
        </w:numPr>
        <w:spacing w:after="70" w:line="310" w:lineRule="auto"/>
        <w:ind w:left="680" w:hanging="36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增加字段 bbox、页码/行号、识别置信度、模型/提示词/规则版本等证据元数据。</w:t>
      </w:r>
    </w:p>
    <w:p w14:paraId="75548B4C">
      <w:pPr>
        <w:pStyle w:val="19"/>
        <w:numPr>
          <w:ilvl w:val="0"/>
          <w:numId w:val="11"/>
        </w:numPr>
        <w:spacing w:after="70" w:line="310" w:lineRule="auto"/>
        <w:ind w:left="680" w:hanging="36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增加 Judgment Agent 与 Decision Guard，确保 Agent 建议不突破确定性金额和硬规则。</w:t>
      </w:r>
    </w:p>
    <w:p w14:paraId="76437571">
      <w:pPr>
        <w:pStyle w:val="19"/>
        <w:numPr>
          <w:ilvl w:val="0"/>
          <w:numId w:val="11"/>
        </w:numPr>
        <w:spacing w:after="70" w:line="310" w:lineRule="auto"/>
        <w:ind w:left="680" w:hanging="36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用不可变容器镜像和版本化配置替代生产每单 Git Worktree，同时保留同等可追溯性。</w:t>
      </w:r>
    </w:p>
    <w:p w14:paraId="12FD4C63">
      <w:pPr>
        <w:pStyle w:val="3"/>
        <w:keepNext/>
        <w:spacing w:before="220" w:after="110"/>
      </w:pPr>
      <w:bookmarkStart w:id="68" w:name="_Toc2524"/>
      <w:r>
        <w:rPr>
          <w:rFonts w:ascii="Arial" w:hAnsi="Arial" w:eastAsia="微软雅黑"/>
          <w:b/>
          <w:bCs/>
          <w:color w:val="1F4E78"/>
          <w:sz w:val="27"/>
          <w:szCs w:val="27"/>
        </w:rPr>
        <w:t>19. 客户侧技术准备项</w:t>
      </w:r>
      <w:bookmarkEnd w:id="68"/>
    </w:p>
    <w:p w14:paraId="3E7F5DC2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勤策核销单事件接口、审批角色接口、状态回写接口及测试环境。</w:t>
      </w:r>
    </w:p>
    <w:p w14:paraId="357A3CEB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钉钉应用/机器人权限、群管理权限和回调配置。</w:t>
      </w:r>
    </w:p>
    <w:p w14:paraId="7AAEA425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公司统一结算单全部有效版本及版本生效时间。</w:t>
      </w:r>
    </w:p>
    <w:p w14:paraId="20BD391D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本公司、经销商、门店和商品主数据；门店历史更名/别名需业务确认。</w:t>
      </w:r>
    </w:p>
    <w:p w14:paraId="372E8108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人员激励合同规则、奖励单价和日结条件字段。</w:t>
      </w:r>
    </w:p>
    <w:p w14:paraId="56E50F19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微信/红包/工资发放系统可导出的标准明细样例及字段说明。</w:t>
      </w:r>
    </w:p>
    <w:p w14:paraId="227D7F81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已完成核销的脱敏历史样本、人工最终结论和补件记录，用于金标和阈值校准。</w:t>
      </w:r>
    </w:p>
    <w:p w14:paraId="36719091">
      <w:pPr>
        <w:pStyle w:val="19"/>
        <w:numPr>
          <w:ilvl w:val="0"/>
          <w:numId w:val="2"/>
        </w:numPr>
        <w:spacing w:after="70" w:line="310" w:lineRule="auto"/>
        <w:ind w:left="620" w:hanging="300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数据部署区域、外部模型使用边界、保留期限和权限矩阵。</w:t>
      </w:r>
    </w:p>
    <w:p w14:paraId="59A93523">
      <w:pPr>
        <w:pStyle w:val="3"/>
        <w:keepNext/>
        <w:spacing w:before="220" w:after="110"/>
      </w:pPr>
      <w:bookmarkStart w:id="69" w:name="_Toc18606"/>
      <w:r>
        <w:rPr>
          <w:rFonts w:ascii="Arial" w:hAnsi="Arial" w:eastAsia="微软雅黑"/>
          <w:b/>
          <w:bCs/>
          <w:color w:val="1F4E78"/>
          <w:sz w:val="27"/>
          <w:szCs w:val="27"/>
        </w:rPr>
        <w:t>20. 最终技术结论</w:t>
      </w:r>
      <w:bookmarkEnd w:id="69"/>
    </w:p>
    <w:p w14:paraId="5CC4C354">
      <w:pPr>
        <w:keepNext w:val="0"/>
        <w:spacing w:before="0" w:after="110" w:line="330" w:lineRule="auto"/>
        <w:ind w:firstLine="420"/>
        <w:jc w:val="both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本项目的可靠落地路径不是让单一大模型直接“看附件后判断是否通过”，而是构建一条可验证的证据流水线：</w:t>
      </w:r>
    </w:p>
    <w:p w14:paraId="5A1BF4A5">
      <w:pPr>
        <w:pBdr>
          <w:top w:val="single" w:color="D8DEE5" w:sz="2" w:space="3"/>
          <w:left w:val="single" w:color="2F75B5" w:sz="10" w:space="6"/>
          <w:bottom w:val="single" w:color="D8DEE5" w:sz="2" w:space="3"/>
          <w:right w:val="single" w:color="D8DEE5" w:sz="2" w:space="3"/>
        </w:pBdr>
        <w:shd w:val="clear" w:fill="F3F5F7"/>
        <w:spacing w:before="80" w:after="150" w:line="260" w:lineRule="auto"/>
        <w:ind w:left="260" w:right="180"/>
      </w:pPr>
      <w:r>
        <w:rPr>
          <w:rFonts w:ascii="Consolas" w:hAnsi="Consolas" w:eastAsia="微软雅黑"/>
          <w:color w:val="243447"/>
          <w:sz w:val="17"/>
          <w:szCs w:val="17"/>
        </w:rPr>
        <w:t>专业识别得到事实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>→ Schema 固化事实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>→ 程序执行硬规则和金额计算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>→ Agent 形成最终建议与补件说明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>→ Guard 校验 Agent</w:t>
      </w:r>
      <w:r>
        <w:rPr>
          <w:rFonts w:ascii="Consolas" w:hAnsi="Consolas" w:eastAsia="微软雅黑"/>
          <w:color w:val="243447"/>
          <w:sz w:val="17"/>
          <w:szCs w:val="17"/>
        </w:rPr>
        <w:br w:type="textWrapping"/>
      </w:r>
      <w:r>
        <w:rPr>
          <w:rFonts w:ascii="Consolas" w:hAnsi="Consolas" w:eastAsia="微软雅黑"/>
          <w:color w:val="243447"/>
          <w:sz w:val="17"/>
          <w:szCs w:val="17"/>
        </w:rPr>
        <w:t>→ 人工确认并留痕</w:t>
      </w:r>
    </w:p>
    <w:p w14:paraId="063539BA">
      <w:pPr>
        <w:keepNext w:val="0"/>
        <w:spacing w:before="0" w:after="110" w:line="330" w:lineRule="auto"/>
        <w:ind w:firstLine="420"/>
        <w:jc w:val="both"/>
      </w:pPr>
      <w:r>
        <w:rPr>
          <w:rFonts w:ascii="Arial" w:hAnsi="Arial" w:eastAsia="微软雅黑"/>
          <w:b w:val="0"/>
          <w:bCs w:val="0"/>
          <w:color w:val="1F2937"/>
          <w:sz w:val="21"/>
          <w:szCs w:val="21"/>
        </w:rPr>
        <w:t>在该架构下，地堆核销可以下钻到每家合同门店和每张现场照片，人员激励可以下钻到每个 SKU、每家门店和每笔发放记录；缺少统一结算单、客户盖章、签章合同、盖章 POS、付款主体或完整发放时间等关键证据时，系统不会因金额相同而误判通过。最终方案同时满足自动化效率、财务金额安全、客户审核口径一致和全链路可追溯四项要求。</w:t>
      </w:r>
    </w:p>
    <w:sectPr>
      <w:headerReference r:id="rId3" w:type="default"/>
      <w:footerReference r:id="rId4" w:type="default"/>
      <w:pgSz w:w="11906" w:h="16838"/>
      <w:pgMar w:top="1276" w:right="1276" w:bottom="1276" w:left="1276" w:header="620" w:footer="6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A7B8BB">
    <w:pPr>
      <w:pBdr>
        <w:top w:val="single" w:color="B7C9D6" w:sz="4" w:space="4"/>
      </w:pBdr>
      <w:tabs>
        <w:tab w:val="right" w:pos="9026"/>
      </w:tabs>
      <w:spacing w:before="0"/>
    </w:pPr>
    <w:r>
      <w:rPr>
        <w:rFonts w:ascii="Arial" w:hAnsi="Arial" w:eastAsia="微软雅黑"/>
        <w:color w:val="64748B"/>
        <w:sz w:val="16"/>
        <w:szCs w:val="16"/>
      </w:rPr>
      <w:t>技术方案 · 受控文档</w:t>
    </w:r>
    <w:r>
      <w:rPr>
        <w:rFonts w:ascii="Arial" w:hAnsi="Arial" w:eastAsia="微软雅黑"/>
        <w:color w:val="64748B"/>
        <w:sz w:val="16"/>
        <w:szCs w:val="16"/>
      </w:rPr>
      <w:tab/>
      <w:t xml:space="preserve">第 </w:t>
    </w:r>
    <w:r>
      <w:rPr>
        <w:rFonts w:ascii="Arial" w:hAnsi="Arial" w:eastAsia="微软雅黑"/>
        <w:color w:val="64748B"/>
        <w:sz w:val="16"/>
        <w:szCs w:val="16"/>
      </w:rPr>
      <w:fldChar w:fldCharType="begin"/>
    </w:r>
    <w:r>
      <w:rPr>
        <w:rFonts w:ascii="Arial" w:hAnsi="Arial" w:eastAsia="微软雅黑"/>
        <w:color w:val="64748B"/>
        <w:sz w:val="16"/>
        <w:szCs w:val="16"/>
      </w:rPr>
      <w:instrText xml:space="preserve">PAGE</w:instrText>
    </w:r>
    <w:r>
      <w:rPr>
        <w:rFonts w:ascii="Arial" w:hAnsi="Arial" w:eastAsia="微软雅黑"/>
        <w:color w:val="64748B"/>
        <w:sz w:val="16"/>
        <w:szCs w:val="16"/>
      </w:rPr>
      <w:fldChar w:fldCharType="separate"/>
    </w:r>
    <w:r>
      <w:rPr>
        <w:rFonts w:ascii="Arial" w:hAnsi="Arial" w:eastAsia="微软雅黑"/>
        <w:color w:val="64748B"/>
        <w:sz w:val="16"/>
        <w:szCs w:val="16"/>
      </w:rPr>
      <w:fldChar w:fldCharType="end"/>
    </w:r>
    <w:r>
      <w:rPr>
        <w:rFonts w:ascii="Arial" w:hAnsi="Arial" w:eastAsia="微软雅黑"/>
        <w:color w:val="64748B"/>
        <w:sz w:val="16"/>
        <w:szCs w:val="16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31F815">
    <w:pPr>
      <w:pBdr>
        <w:bottom w:val="single" w:color="B7C9D6" w:sz="4" w:space="4"/>
      </w:pBdr>
      <w:tabs>
        <w:tab w:val="right" w:pos="9026"/>
      </w:tabs>
      <w:spacing w:after="0"/>
    </w:pPr>
    <w:r>
      <w:rPr>
        <w:rFonts w:ascii="Arial" w:hAnsi="Arial" w:eastAsia="微软雅黑"/>
        <w:b/>
        <w:bCs/>
        <w:color w:val="17365D"/>
        <w:sz w:val="17"/>
        <w:szCs w:val="17"/>
      </w:rPr>
      <w:t>线下市场费用核销 AI 技术方案</w:t>
    </w:r>
    <w:r>
      <w:rPr>
        <w:rFonts w:ascii="Arial" w:hAnsi="Arial" w:eastAsia="微软雅黑"/>
        <w:color w:val="64748B"/>
        <w:sz w:val="16"/>
        <w:szCs w:val="16"/>
      </w:rPr>
      <w:tab/>
      <w:t>V1.0 客户同步版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59DC01"/>
    <w:multiLevelType w:val="singleLevel"/>
    <w:tmpl w:val="8059DC01"/>
    <w:lvl w:ilvl="0" w:tentative="0">
      <w:start w:val="1"/>
      <w:numFmt w:val="decimal"/>
      <w:lvlText w:val="%1."/>
      <w:lvlJc w:val="left"/>
      <w:pPr>
        <w:ind w:left="680" w:hanging="360"/>
      </w:pPr>
      <w:rPr>
        <w:rFonts w:ascii="Arial" w:hAnsi="Arial" w:eastAsia="Arial" w:cs="Arial"/>
        <w:color w:val="17365D"/>
      </w:rPr>
    </w:lvl>
  </w:abstractNum>
  <w:abstractNum w:abstractNumId="1">
    <w:nsid w:val="A474A1BF"/>
    <w:multiLevelType w:val="singleLevel"/>
    <w:tmpl w:val="A474A1BF"/>
    <w:lvl w:ilvl="0" w:tentative="0">
      <w:start w:val="1"/>
      <w:numFmt w:val="decimal"/>
      <w:lvlText w:val="%1."/>
      <w:lvlJc w:val="left"/>
      <w:pPr>
        <w:ind w:left="680" w:hanging="360"/>
      </w:pPr>
      <w:rPr>
        <w:rFonts w:ascii="Arial" w:hAnsi="Arial" w:eastAsia="Arial" w:cs="Arial"/>
        <w:color w:val="17365D"/>
      </w:rPr>
    </w:lvl>
  </w:abstractNum>
  <w:abstractNum w:abstractNumId="2">
    <w:nsid w:val="B56E6DE5"/>
    <w:multiLevelType w:val="singleLevel"/>
    <w:tmpl w:val="B56E6DE5"/>
    <w:lvl w:ilvl="0" w:tentative="0">
      <w:start w:val="1"/>
      <w:numFmt w:val="decimal"/>
      <w:lvlText w:val="%1."/>
      <w:lvlJc w:val="left"/>
      <w:pPr>
        <w:ind w:left="680" w:hanging="360"/>
      </w:pPr>
      <w:rPr>
        <w:rFonts w:ascii="Arial" w:hAnsi="Arial" w:eastAsia="Arial" w:cs="Arial"/>
        <w:color w:val="17365D"/>
      </w:rPr>
    </w:lvl>
  </w:abstractNum>
  <w:abstractNum w:abstractNumId="3">
    <w:nsid w:val="C3073466"/>
    <w:multiLevelType w:val="singleLevel"/>
    <w:tmpl w:val="C3073466"/>
    <w:lvl w:ilvl="0" w:tentative="0">
      <w:start w:val="1"/>
      <w:numFmt w:val="decimal"/>
      <w:lvlText w:val="%1."/>
      <w:lvlJc w:val="left"/>
      <w:pPr>
        <w:ind w:left="680" w:hanging="360"/>
      </w:pPr>
      <w:rPr>
        <w:rFonts w:ascii="Arial" w:hAnsi="Arial" w:eastAsia="Arial" w:cs="Arial"/>
        <w:color w:val="17365D"/>
      </w:rPr>
    </w:lvl>
  </w:abstractNum>
  <w:abstractNum w:abstractNumId="4">
    <w:nsid w:val="D5BA2713"/>
    <w:multiLevelType w:val="singleLevel"/>
    <w:tmpl w:val="D5BA2713"/>
    <w:lvl w:ilvl="0" w:tentative="0">
      <w:start w:val="1"/>
      <w:numFmt w:val="decimal"/>
      <w:lvlText w:val="%1."/>
      <w:lvlJc w:val="left"/>
      <w:pPr>
        <w:ind w:left="680" w:hanging="360"/>
      </w:pPr>
      <w:rPr>
        <w:rFonts w:ascii="Arial" w:hAnsi="Arial" w:eastAsia="Arial" w:cs="Arial"/>
        <w:color w:val="17365D"/>
      </w:rPr>
    </w:lvl>
  </w:abstractNum>
  <w:abstractNum w:abstractNumId="5">
    <w:nsid w:val="D91FC1E4"/>
    <w:multiLevelType w:val="singleLevel"/>
    <w:tmpl w:val="D91FC1E4"/>
    <w:lvl w:ilvl="0" w:tentative="0">
      <w:start w:val="1"/>
      <w:numFmt w:val="bullet"/>
      <w:lvlText w:val="•"/>
      <w:lvlJc w:val="left"/>
      <w:pPr>
        <w:ind w:left="620" w:hanging="300"/>
      </w:pPr>
      <w:rPr>
        <w:rFonts w:ascii="Arial" w:hAnsi="Arial" w:eastAsia="Arial" w:cs="Arial"/>
        <w:color w:val="2F75B5"/>
      </w:rPr>
    </w:lvl>
  </w:abstractNum>
  <w:abstractNum w:abstractNumId="6">
    <w:nsid w:val="DF0D433E"/>
    <w:multiLevelType w:val="singleLevel"/>
    <w:tmpl w:val="DF0D433E"/>
    <w:lvl w:ilvl="0" w:tentative="0">
      <w:start w:val="1"/>
      <w:numFmt w:val="decimal"/>
      <w:lvlText w:val="%1."/>
      <w:lvlJc w:val="left"/>
      <w:pPr>
        <w:ind w:left="680" w:hanging="360"/>
      </w:pPr>
      <w:rPr>
        <w:rFonts w:ascii="Arial" w:hAnsi="Arial" w:eastAsia="Arial" w:cs="Arial"/>
        <w:color w:val="17365D"/>
      </w:rPr>
    </w:lvl>
  </w:abstractNum>
  <w:abstractNum w:abstractNumId="7">
    <w:nsid w:val="245178F0"/>
    <w:multiLevelType w:val="singleLevel"/>
    <w:tmpl w:val="245178F0"/>
    <w:lvl w:ilvl="0" w:tentative="0">
      <w:start w:val="1"/>
      <w:numFmt w:val="decimal"/>
      <w:lvlText w:val="%1."/>
      <w:lvlJc w:val="left"/>
      <w:pPr>
        <w:ind w:left="680" w:hanging="360"/>
      </w:pPr>
      <w:rPr>
        <w:rFonts w:ascii="Arial" w:hAnsi="Arial" w:eastAsia="Arial" w:cs="Arial"/>
        <w:color w:val="17365D"/>
      </w:rPr>
    </w:lvl>
  </w:abstractNum>
  <w:abstractNum w:abstractNumId="8">
    <w:nsid w:val="2662E540"/>
    <w:multiLevelType w:val="singleLevel"/>
    <w:tmpl w:val="2662E540"/>
    <w:lvl w:ilvl="0" w:tentative="0">
      <w:start w:val="1"/>
      <w:numFmt w:val="decimal"/>
      <w:lvlText w:val="%1."/>
      <w:lvlJc w:val="left"/>
      <w:pPr>
        <w:ind w:left="680" w:hanging="360"/>
      </w:pPr>
      <w:rPr>
        <w:rFonts w:ascii="Arial" w:hAnsi="Arial" w:eastAsia="Arial" w:cs="Arial"/>
        <w:color w:val="17365D"/>
      </w:rPr>
    </w:lvl>
  </w:abstractNum>
  <w:abstractNum w:abstractNumId="9">
    <w:nsid w:val="310152DB"/>
    <w:multiLevelType w:val="singleLevel"/>
    <w:tmpl w:val="310152DB"/>
    <w:lvl w:ilvl="0" w:tentative="0">
      <w:start w:val="1"/>
      <w:numFmt w:val="decimal"/>
      <w:lvlText w:val="%1."/>
      <w:lvlJc w:val="left"/>
      <w:pPr>
        <w:ind w:left="680" w:hanging="360"/>
      </w:pPr>
      <w:rPr>
        <w:rFonts w:ascii="Arial" w:hAnsi="Arial" w:eastAsia="Arial" w:cs="Arial"/>
        <w:color w:val="17365D"/>
      </w:rPr>
    </w:lvl>
  </w:abstractNum>
  <w:abstractNum w:abstractNumId="10">
    <w:nsid w:val="6148C315"/>
    <w:multiLevelType w:val="singleLevel"/>
    <w:tmpl w:val="6148C315"/>
    <w:lvl w:ilvl="0" w:tentative="0">
      <w:start w:val="1"/>
      <w:numFmt w:val="decimal"/>
      <w:lvlText w:val="%1."/>
      <w:lvlJc w:val="left"/>
      <w:pPr>
        <w:ind w:left="680" w:hanging="360"/>
      </w:pPr>
      <w:rPr>
        <w:rFonts w:ascii="Arial" w:hAnsi="Arial" w:eastAsia="Arial" w:cs="Arial"/>
        <w:color w:val="17365D"/>
      </w:rPr>
    </w:lvl>
  </w:abstractNum>
  <w:num w:numId="1">
    <w:abstractNumId w:val="2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7"/>
    <w:lvlOverride w:ilvl="0">
      <w:startOverride w:val="1"/>
    </w:lvlOverride>
  </w:num>
  <w:num w:numId="5">
    <w:abstractNumId w:val="9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6"/>
    <w:lvlOverride w:ilvl="0">
      <w:startOverride w:val="1"/>
    </w:lvlOverride>
  </w:num>
  <w:num w:numId="11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11C2B6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color w:val="1F2937"/>
      <w:sz w:val="21"/>
      <w:szCs w:val="21"/>
    </w:rPr>
  </w:style>
  <w:style w:type="paragraph" w:styleId="2">
    <w:name w:val="heading 1"/>
    <w:next w:val="1"/>
    <w:qFormat/>
    <w:uiPriority w:val="0"/>
    <w:pPr>
      <w:keepNext/>
      <w:spacing w:before="260" w:after="150" w:line="330" w:lineRule="auto"/>
      <w:outlineLvl w:val="0"/>
    </w:pPr>
    <w:rPr>
      <w:rFonts w:ascii="Arial" w:hAnsi="Arial" w:eastAsia="Arial" w:cs="Arial"/>
      <w:b/>
      <w:bCs/>
      <w:color w:val="17365D"/>
      <w:sz w:val="32"/>
      <w:szCs w:val="32"/>
    </w:rPr>
  </w:style>
  <w:style w:type="paragraph" w:styleId="3">
    <w:name w:val="heading 2"/>
    <w:next w:val="1"/>
    <w:qFormat/>
    <w:uiPriority w:val="0"/>
    <w:pPr>
      <w:keepNext/>
      <w:spacing w:before="220" w:after="110" w:line="330" w:lineRule="auto"/>
      <w:outlineLvl w:val="1"/>
    </w:pPr>
    <w:rPr>
      <w:rFonts w:ascii="Arial" w:hAnsi="Arial" w:eastAsia="Arial" w:cs="Arial"/>
      <w:b/>
      <w:bCs/>
      <w:color w:val="1F4E78"/>
      <w:sz w:val="27"/>
      <w:szCs w:val="27"/>
    </w:rPr>
  </w:style>
  <w:style w:type="paragraph" w:styleId="4">
    <w:name w:val="heading 3"/>
    <w:next w:val="1"/>
    <w:qFormat/>
    <w:uiPriority w:val="0"/>
    <w:pPr>
      <w:keepNext/>
      <w:spacing w:before="170" w:after="90" w:line="330" w:lineRule="auto"/>
      <w:outlineLvl w:val="2"/>
    </w:pPr>
    <w:rPr>
      <w:rFonts w:ascii="Arial" w:hAnsi="Arial" w:eastAsia="Arial" w:cs="Arial"/>
      <w:b/>
      <w:bCs/>
      <w:color w:val="2F75B5"/>
      <w:sz w:val="23"/>
      <w:szCs w:val="23"/>
    </w:rPr>
  </w:style>
  <w:style w:type="paragraph" w:styleId="5">
    <w:name w:val="heading 4"/>
    <w:next w:val="1"/>
    <w:qFormat/>
    <w:uiPriority w:val="0"/>
    <w:pPr>
      <w:keepNext/>
      <w:spacing w:before="130" w:after="70" w:line="330" w:lineRule="auto"/>
      <w:outlineLvl w:val="3"/>
    </w:pPr>
    <w:rPr>
      <w:rFonts w:ascii="Arial" w:hAnsi="Arial" w:eastAsia="Arial" w:cs="Arial"/>
      <w:b/>
      <w:bCs/>
      <w:color w:val="1F2937"/>
      <w:sz w:val="21"/>
      <w:szCs w:val="21"/>
    </w:rPr>
  </w:style>
  <w:style w:type="paragraph" w:styleId="6">
    <w:name w:val="heading 5"/>
    <w:next w:val="1"/>
    <w:qFormat/>
    <w:uiPriority w:val="0"/>
    <w:pPr>
      <w:spacing w:line="330" w:lineRule="auto"/>
    </w:pPr>
    <w:rPr>
      <w:rFonts w:ascii="Arial" w:hAnsi="Arial" w:eastAsia="Arial" w:cs="Arial"/>
      <w:color w:val="2E74B5"/>
      <w:sz w:val="21"/>
      <w:szCs w:val="21"/>
    </w:rPr>
  </w:style>
  <w:style w:type="paragraph" w:styleId="7">
    <w:name w:val="heading 6"/>
    <w:next w:val="1"/>
    <w:qFormat/>
    <w:uiPriority w:val="0"/>
    <w:pPr>
      <w:spacing w:line="330" w:lineRule="auto"/>
    </w:pPr>
    <w:rPr>
      <w:rFonts w:ascii="Arial" w:hAnsi="Arial" w:eastAsia="Arial" w:cs="Arial"/>
      <w:color w:val="1F4D78"/>
      <w:sz w:val="21"/>
      <w:szCs w:val="21"/>
    </w:rPr>
  </w:style>
  <w:style w:type="character" w:default="1" w:styleId="15">
    <w:name w:val="Default Paragraph Font"/>
    <w:semiHidden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basedOn w:val="1"/>
    <w:next w:val="1"/>
    <w:uiPriority w:val="0"/>
    <w:pPr>
      <w:ind w:left="840" w:leftChars="400"/>
    </w:pPr>
  </w:style>
  <w:style w:type="paragraph" w:styleId="9">
    <w:name w:val="endnote text"/>
    <w:link w:val="21"/>
    <w:semiHidden/>
    <w:unhideWhenUsed/>
    <w:uiPriority w:val="99"/>
    <w:pPr>
      <w:spacing w:after="0" w:line="240" w:lineRule="auto"/>
    </w:pPr>
    <w:rPr>
      <w:rFonts w:ascii="Arial" w:hAnsi="Arial" w:eastAsia="Arial" w:cs="Arial"/>
      <w:color w:val="1F2937"/>
      <w:sz w:val="20"/>
      <w:szCs w:val="20"/>
    </w:rPr>
  </w:style>
  <w:style w:type="paragraph" w:styleId="10">
    <w:name w:val="toc 1"/>
    <w:basedOn w:val="1"/>
    <w:next w:val="1"/>
    <w:uiPriority w:val="0"/>
  </w:style>
  <w:style w:type="paragraph" w:styleId="11">
    <w:name w:val="footnote text"/>
    <w:link w:val="20"/>
    <w:semiHidden/>
    <w:unhideWhenUsed/>
    <w:uiPriority w:val="99"/>
    <w:pPr>
      <w:spacing w:after="0" w:line="240" w:lineRule="auto"/>
    </w:pPr>
    <w:rPr>
      <w:rFonts w:ascii="Arial" w:hAnsi="Arial" w:eastAsia="Arial" w:cs="Arial"/>
      <w:color w:val="1F2937"/>
      <w:sz w:val="20"/>
      <w:szCs w:val="20"/>
    </w:rPr>
  </w:style>
  <w:style w:type="paragraph" w:styleId="12">
    <w:name w:val="toc 2"/>
    <w:basedOn w:val="1"/>
    <w:next w:val="1"/>
    <w:uiPriority w:val="0"/>
    <w:pPr>
      <w:ind w:left="420" w:leftChars="200"/>
    </w:pPr>
  </w:style>
  <w:style w:type="paragraph" w:styleId="13">
    <w:name w:val="Title"/>
    <w:qFormat/>
    <w:uiPriority w:val="0"/>
    <w:pPr>
      <w:spacing w:line="330" w:lineRule="auto"/>
    </w:pPr>
    <w:rPr>
      <w:rFonts w:ascii="Arial" w:hAnsi="Arial" w:eastAsia="Arial" w:cs="Arial"/>
      <w:color w:val="1F2937"/>
      <w:sz w:val="56"/>
      <w:szCs w:val="56"/>
    </w:rPr>
  </w:style>
  <w:style w:type="character" w:styleId="16">
    <w:name w:val="endnote reference"/>
    <w:semiHidden/>
    <w:unhideWhenUsed/>
    <w:uiPriority w:val="99"/>
    <w:rPr>
      <w:vertAlign w:val="superscript"/>
    </w:rPr>
  </w:style>
  <w:style w:type="character" w:styleId="17">
    <w:name w:val="Hyperlink"/>
    <w:unhideWhenUsed/>
    <w:uiPriority w:val="99"/>
    <w:rPr>
      <w:color w:val="0563C1"/>
      <w:u w:val="single"/>
    </w:rPr>
  </w:style>
  <w:style w:type="character" w:styleId="18">
    <w:name w:val="footnote reference"/>
    <w:semiHidden/>
    <w:unhideWhenUsed/>
    <w:uiPriority w:val="99"/>
    <w:rPr>
      <w:vertAlign w:val="superscript"/>
    </w:rPr>
  </w:style>
  <w:style w:type="paragraph" w:styleId="19">
    <w:name w:val="List Paragraph"/>
    <w:qFormat/>
    <w:uiPriority w:val="0"/>
    <w:pPr>
      <w:spacing w:line="330" w:lineRule="auto"/>
    </w:pPr>
    <w:rPr>
      <w:rFonts w:ascii="Arial" w:hAnsi="Arial" w:eastAsia="Arial" w:cs="Arial"/>
      <w:color w:val="1F2937"/>
      <w:sz w:val="21"/>
      <w:szCs w:val="21"/>
    </w:rPr>
  </w:style>
  <w:style w:type="character" w:customStyle="1" w:styleId="20">
    <w:name w:val="Footnote Text Char"/>
    <w:link w:val="11"/>
    <w:semiHidden/>
    <w:unhideWhenUsed/>
    <w:uiPriority w:val="99"/>
    <w:rPr>
      <w:sz w:val="20"/>
      <w:szCs w:val="20"/>
    </w:rPr>
  </w:style>
  <w:style w:type="character" w:customStyle="1" w:styleId="21">
    <w:name w:val="Endnote Text Char"/>
    <w:link w:val="9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27</Pages>
  <TotalTime>0</TotalTime>
  <ScaleCrop>false</ScaleCrop>
  <LinksUpToDate>false</LinksUpToDate>
  <Application>WPS Office_12.1.0.28022_F1E327BC-269C-435d-A152-05C5408002CA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2026-08-14T10:25:00Z</dcterms:created>
  <dc:creator>Codex</dc:creator>
  <dc:description>OCR、视觉识别、Skill、规则引擎、Agent 判断和人工复核技术方案</dc:description>
  <cp:lastModifiedBy>EDY</cp:lastModifiedBy>
  <dcterms:modified xsi:type="dcterms:W3CDTF">2026-08-14T10:25:19Z</dcterms:modified>
  <dc:subject>客户同步版纯技术方案</dc:subject>
  <dc:title>线下市场费用核销 AI 技术方案（地堆/陈列、人员激励）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ICV">
    <vt:lpwstr>2D71DBDCA8EC4143AB87128C95C21F39_12</vt:lpwstr>
  </property>
</Properties>
</file>