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Human-Centric Analysis of Data Preprocessing</w:t>
      </w:r>
    </w:p>
    <w:p>
      <w:r>
        <w:t>In this analysis, we walk through the data cleaning notebook with a human lens—explaining not only what the code does but why each step matters, weaving insights into the narrative rather than listing questions.</w:t>
      </w:r>
    </w:p>
    <w:p>
      <w:pPr>
        <w:pStyle w:val="Heading2"/>
      </w:pPr>
      <w:r>
        <w:t>Assessing Data Quality</w:t>
      </w:r>
    </w:p>
    <w:p>
      <w:r>
        <w:t>The first step was a quick audit for missing values. Running `df.isnull().sum()` confirmed there were no gaps, so we could proceed confidently without crafting imputation strategies. Catching nulls early is a cornerstone of good practice; had any appeared, we would need to decide between dropping incomplete records or filling them based on context.</w:t>
      </w:r>
    </w:p>
    <w:p>
      <w:pPr>
        <w:pStyle w:val="Heading2"/>
      </w:pPr>
      <w:r>
        <w:t>Verifying Column Types</w:t>
      </w:r>
    </w:p>
    <w:p>
      <w:r>
        <w:t>Inspecting `df.dtypes` revealed the nature of each field (integers for test scores, floats for GPAs, and objects for potential categorical labels). Proper typing ensures that mathematical operations, visualizations, and groupings behave as intended. For instance, treating the gender flag as numeric could mislead a plot, so confirming types guides future transformations.</w:t>
      </w:r>
    </w:p>
    <w:p>
      <w:pPr>
        <w:pStyle w:val="Heading2"/>
      </w:pPr>
      <w:r>
        <w:t>Profiling the Data Distribution</w:t>
      </w:r>
    </w:p>
    <w:p>
      <w:r>
        <w:t>Calling `df.describe(include='all')` sketched the landscape: mean GPAs hovered around 3.0 with a tight spread, test scores clustered between 60 and 100, and categorical columns showed clear class counts. This step surfaces skews, outliers, or unexpected categories—key hints for whether to normalize, cap extreme values, or revisit data collection.</w:t>
      </w:r>
    </w:p>
    <w:p>
      <w:pPr>
        <w:pStyle w:val="Heading2"/>
      </w:pPr>
      <w:r>
        <w:t>Creating Intuitive Grade Categories</w:t>
      </w:r>
    </w:p>
    <w:p>
      <w:r>
        <w:t>Raw GPAs, while precise, can be abstract for many audiences. The notebook maps numeric GPAs into letter grades (A–F), transforming a continuous scale into familiar milestones. This translation isn't purely cosmetic: it enables straightforward comparisons across demographic segments and aligns reporting with common academic conventions.</w:t>
      </w:r>
    </w:p>
    <w:p>
      <w:pPr>
        <w:pStyle w:val="Heading2"/>
      </w:pPr>
      <w:r>
        <w:t>Enhancing Demographic Readability</w:t>
      </w:r>
    </w:p>
    <w:p>
      <w:r>
        <w:t>Binary and multi-code fields—like gender, race, music participation, and volunteering—were remapped from numeric flags to descriptive labels (e.g., 0→Male, 1→Female). This humanizes the tables and charts, sparing readers from guessing what a '1' means. Clear labels also reduce errors when slicing data for subgroup analyses.</w:t>
      </w:r>
    </w:p>
    <w:p>
      <w:pPr>
        <w:pStyle w:val="Heading2"/>
      </w:pPr>
      <w:r>
        <w:t>Simulating Enrollment Timeline</w:t>
      </w:r>
    </w:p>
    <w:p>
      <w:r>
        <w:t>To enable any time-based exploration, the code synthesizes enrollment dates. It builds a realistic calendar—skipping summer break and holidays—then assigns each student a random date. While synthetic, these timestamps open doors to pattern analysis: we might ask, "Do students who enroll later in the term perform differently?" Without dates, such investigations remain out of reach.</w:t>
      </w:r>
    </w:p>
    <w:p>
      <w:pPr>
        <w:pStyle w:val="Heading2"/>
      </w:pPr>
      <w:r>
        <w:t>Preserving the Cleaned Dataset</w:t>
      </w:r>
    </w:p>
    <w:p>
      <w:r>
        <w:t>After all transformations, exporting the DataFrame to CSV creates a stable artifact. Sharing this file means collaborators don’t need to rerun preprocessing code—they can jump straight into modeling or reporting, confident they’re working on vetted data.</w:t>
      </w:r>
    </w:p>
    <w:p>
      <w:pPr>
        <w:pStyle w:val="Heading2"/>
      </w:pPr>
      <w:r>
        <w:t>Conclusion</w:t>
      </w:r>
    </w:p>
    <w:p>
      <w:r>
        <w:t>These preprocessing steps—rooted in data quality, clarity, and analytical foresight—lay a robust foundation. By checking for gaps, verifying types, summarizing distributions, translating raw numbers into meaningful categories, and crafting a timeline, the notebook ensures the data is not only clean but also primed for actionable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