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b/>
          <w:bCs/>
          <w:sz w:val="20"/>
          <w:szCs w:val="20"/>
        </w:rPr>
      </w:pPr>
      <w:r>
        <w:rPr>
          <w:rFonts w:cs="Arial"/>
          <w:b/>
          <w:bCs/>
          <w:sz w:val="20"/>
          <w:szCs w:val="20"/>
        </w:rPr>
        <w:t xml:space="preserve"> </w:t>
      </w:r>
    </w:p>
    <w:p>
      <w:pPr>
        <w:pStyle w:val="Normal"/>
        <w:jc w:val="both"/>
        <w:rPr>
          <w:rFonts w:cs="Arial"/>
          <w:b/>
          <w:bCs/>
          <w:sz w:val="20"/>
          <w:szCs w:val="20"/>
        </w:rPr>
      </w:pPr>
      <w:r>
        <w:rPr>
          <w:rFonts w:cs="Arial"/>
          <w:b/>
          <w:bCs/>
          <w:sz w:val="20"/>
          <w:szCs w:val="20"/>
        </w:rPr>
      </w:r>
    </w:p>
    <w:p>
      <w:pPr>
        <w:pStyle w:val="Normal"/>
        <w:jc w:val="center"/>
        <w:rPr>
          <w:rFonts w:cs="Arial"/>
          <w:b/>
          <w:bCs/>
          <w:sz w:val="20"/>
          <w:szCs w:val="20"/>
        </w:rPr>
      </w:pPr>
      <w:bookmarkStart w:id="0" w:name="_Hlk188539187"/>
      <w:r>
        <w:rPr>
          <w:rFonts w:cs="Arial"/>
          <w:b/>
          <w:bCs/>
          <w:sz w:val="20"/>
          <w:szCs w:val="20"/>
        </w:rPr>
        <w:t>LANCET COUNTDOWN Europe AUTHOR AGREEMENT</w:t>
      </w:r>
      <w:bookmarkEnd w:id="0"/>
    </w:p>
    <w:p>
      <w:pPr>
        <w:pStyle w:val="Normal"/>
        <w:spacing w:before="0" w:after="0"/>
        <w:jc w:val="both"/>
        <w:rPr>
          <w:rFonts w:cs="Arial"/>
          <w:sz w:val="20"/>
          <w:szCs w:val="20"/>
        </w:rPr>
      </w:pPr>
      <w:r>
        <w:rPr>
          <w:rFonts w:cs="Arial"/>
          <w:sz w:val="20"/>
          <w:szCs w:val="20"/>
        </w:rPr>
        <w:t>Thank you for your interest in contributing to the Lancet Countdown project (the “</w:t>
      </w:r>
      <w:r>
        <w:rPr>
          <w:rFonts w:cs="Arial"/>
          <w:b/>
          <w:bCs/>
          <w:sz w:val="20"/>
          <w:szCs w:val="20"/>
        </w:rPr>
        <w:t>Project</w:t>
      </w:r>
      <w:r>
        <w:rPr>
          <w:rFonts w:cs="Arial"/>
          <w:sz w:val="20"/>
          <w:szCs w:val="20"/>
        </w:rPr>
        <w:t>”) hosted by the Lancet Countdown Secretariat based at Heidelberg Institute of Global Health (the “</w:t>
      </w:r>
      <w:r>
        <w:rPr>
          <w:rFonts w:cs="Arial"/>
          <w:b/>
          <w:bCs/>
          <w:sz w:val="20"/>
          <w:szCs w:val="20"/>
        </w:rPr>
        <w:t>Secretariat</w:t>
      </w:r>
      <w:r>
        <w:rPr>
          <w:rFonts w:cs="Arial"/>
          <w:sz w:val="20"/>
          <w:szCs w:val="20"/>
        </w:rPr>
        <w:t>”), as author(s) of the 2027 Europe Report of the Lancet Countdown. This Contributor Agreement ("</w:t>
      </w:r>
      <w:r>
        <w:rPr>
          <w:rFonts w:cs="Arial"/>
          <w:b/>
          <w:bCs/>
          <w:sz w:val="20"/>
          <w:szCs w:val="20"/>
        </w:rPr>
        <w:t>Agreement</w:t>
      </w:r>
      <w:r>
        <w:rPr>
          <w:rFonts w:cs="Arial"/>
          <w:sz w:val="20"/>
          <w:szCs w:val="20"/>
        </w:rPr>
        <w:t>") sets out the terms and conditions under which you ("</w:t>
      </w:r>
      <w:r>
        <w:rPr>
          <w:rFonts w:cs="Arial"/>
          <w:b/>
          <w:bCs/>
          <w:sz w:val="20"/>
          <w:szCs w:val="20"/>
        </w:rPr>
        <w:t>Contributor</w:t>
      </w:r>
      <w:r>
        <w:rPr>
          <w:rFonts w:cs="Arial"/>
          <w:sz w:val="20"/>
          <w:szCs w:val="20"/>
        </w:rPr>
        <w:t>" or “</w:t>
      </w:r>
      <w:r>
        <w:rPr>
          <w:rFonts w:cs="Arial"/>
          <w:b/>
          <w:bCs/>
          <w:sz w:val="20"/>
          <w:szCs w:val="20"/>
        </w:rPr>
        <w:t>You</w:t>
      </w:r>
      <w:r>
        <w:rPr>
          <w:rFonts w:cs="Arial"/>
          <w:sz w:val="20"/>
          <w:szCs w:val="20"/>
        </w:rPr>
        <w:t>”) agree to contribute to the Project, and to its 2027 Europe Report. By signing this Agreement, or by contributing to the Project, You agree to the following terms:</w:t>
      </w:r>
    </w:p>
    <w:p>
      <w:pPr>
        <w:pStyle w:val="Normal"/>
        <w:spacing w:before="0" w:after="0"/>
        <w:jc w:val="both"/>
        <w:rPr>
          <w:rFonts w:cs="Arial"/>
          <w:sz w:val="20"/>
          <w:szCs w:val="20"/>
        </w:rPr>
      </w:pPr>
      <w:r>
        <w:rPr>
          <w:rFonts w:cs="Arial"/>
          <w:sz w:val="20"/>
          <w:szCs w:val="20"/>
        </w:rPr>
      </w:r>
    </w:p>
    <w:p>
      <w:pPr>
        <w:pStyle w:val="Normal"/>
        <w:spacing w:before="0" w:after="0"/>
        <w:jc w:val="both"/>
        <w:rPr>
          <w:rFonts w:cs="Arial"/>
          <w:sz w:val="20"/>
          <w:szCs w:val="20"/>
        </w:rPr>
      </w:pPr>
      <w:r>
        <w:rPr>
          <w:rFonts w:cs="Arial"/>
          <w:sz w:val="20"/>
          <w:szCs w:val="20"/>
        </w:rPr>
      </w:r>
    </w:p>
    <w:p>
      <w:pPr>
        <w:pStyle w:val="ListParagraph"/>
        <w:numPr>
          <w:ilvl w:val="0"/>
          <w:numId w:val="3"/>
        </w:numPr>
        <w:jc w:val="both"/>
        <w:rPr>
          <w:rFonts w:cs="Arial"/>
          <w:b/>
          <w:bCs/>
          <w:sz w:val="20"/>
          <w:szCs w:val="20"/>
        </w:rPr>
      </w:pPr>
      <w:r>
        <w:rPr>
          <w:rFonts w:cs="Arial"/>
          <w:b/>
          <w:bCs/>
          <w:sz w:val="20"/>
          <w:szCs w:val="20"/>
        </w:rPr>
        <w:t>Contribution to the Lancet Countdown Europe Report</w:t>
      </w:r>
    </w:p>
    <w:p>
      <w:pPr>
        <w:pStyle w:val="ListParagraph"/>
        <w:ind w:left="360"/>
        <w:jc w:val="bot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sz w:val="20"/>
          <w:szCs w:val="20"/>
        </w:rPr>
        <w:t xml:space="preserve">You agree to contribute to the draft and publication efforts of the Lancet Countdown Europe annual reports for 2027, and that your contribution will meet the established requirements and criteria set in the Lancet Countdown’s </w:t>
      </w:r>
      <w:hyperlink r:id="rId2">
        <w:r>
          <w:rPr>
            <w:rStyle w:val="Hyperlink"/>
            <w:rFonts w:cs="Arial"/>
            <w:sz w:val="20"/>
            <w:szCs w:val="20"/>
          </w:rPr>
          <w:t>The Authorship Criteria</w:t>
        </w:r>
      </w:hyperlink>
      <w:r>
        <w:rPr>
          <w:rFonts w:cs="Arial"/>
          <w:sz w:val="20"/>
          <w:szCs w:val="20"/>
        </w:rPr>
        <w:t xml:space="preserve">.  </w:t>
      </w:r>
    </w:p>
    <w:p>
      <w:pPr>
        <w:pStyle w:val="ListParagraph"/>
        <w:ind w:left="360"/>
        <w:jc w:val="bot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sz w:val="20"/>
          <w:szCs w:val="20"/>
        </w:rPr>
        <w:t xml:space="preserve">You agree to follow the guidance and requirements of the Lancet Countdown secretariat in your contributions to the Europe reports of the Lancet Countdown. </w:t>
      </w:r>
    </w:p>
    <w:p>
      <w:pPr>
        <w:pStyle w:val="ListParagraph"/>
        <w:ind w:left="792"/>
        <w:jc w:val="bot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sz w:val="20"/>
          <w:szCs w:val="20"/>
        </w:rPr>
        <w:t>You agree not to share any confidential information disclosed to you through your involvement of the Project until such time as the Project discloses it publicly. This includes findings from the Project, the strategy or direction of the Project, or any draft publication material.</w:t>
      </w:r>
    </w:p>
    <w:p>
      <w:pPr>
        <w:pStyle w:val="ListParagraph"/>
        <w:ind w:left="792"/>
        <w:jc w:val="bot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sz w:val="20"/>
          <w:szCs w:val="20"/>
        </w:rPr>
        <w:t xml:space="preserve">This Agreement is signed on an indicator-level basis, which means multiple Contributors may sign the same Agreement. Each Contributor signs in their own right and does not take responsibility for the conduct of the other Contributor(s), if any. Each Contributor should do their best to ensure other contributors for their indicator (if any) are named and sign this Agreement.   </w:t>
      </w:r>
    </w:p>
    <w:p>
      <w:pPr>
        <w:pStyle w:val="ListParagraph"/>
        <w:rPr>
          <w:rFonts w:cs="Arial"/>
          <w:b/>
          <w:bCs/>
          <w:sz w:val="20"/>
          <w:szCs w:val="20"/>
        </w:rPr>
      </w:pPr>
      <w:r>
        <w:rPr>
          <w:rFonts w:cs="Arial"/>
          <w:b/>
          <w:bCs/>
          <w:sz w:val="20"/>
          <w:szCs w:val="20"/>
        </w:rPr>
      </w:r>
    </w:p>
    <w:p>
      <w:pPr>
        <w:pStyle w:val="ListParagraph"/>
        <w:numPr>
          <w:ilvl w:val="1"/>
          <w:numId w:val="9"/>
        </w:numPr>
        <w:jc w:val="both"/>
        <w:rPr>
          <w:rFonts w:cs="Arial"/>
          <w:b/>
          <w:bCs/>
          <w:sz w:val="20"/>
          <w:szCs w:val="20"/>
        </w:rPr>
      </w:pPr>
      <w:r>
        <w:rPr>
          <w:rFonts w:cs="Arial"/>
          <w:b/>
          <w:bCs/>
          <w:sz w:val="20"/>
          <w:szCs w:val="20"/>
        </w:rPr>
        <w:t xml:space="preserve">You agree to follow the timelines provided by the European secretariat for the 2027 report. </w:t>
      </w:r>
    </w:p>
    <w:p>
      <w:pPr>
        <w:pStyle w:val="ListParagraph"/>
        <w:ind w:left="792"/>
        <w:jc w:val="both"/>
        <w:rPr>
          <w:rFonts w:cs="Arial"/>
          <w:b/>
          <w:bCs/>
          <w:sz w:val="20"/>
          <w:szCs w:val="20"/>
        </w:rPr>
      </w:pPr>
      <w:r>
        <w:rPr>
          <w:rFonts w:cs="Arial"/>
          <w:b/>
          <w:bCs/>
          <w:sz w:val="20"/>
          <w:szCs w:val="20"/>
        </w:rPr>
      </w:r>
    </w:p>
    <w:p>
      <w:pPr>
        <w:pStyle w:val="ListParagraph"/>
        <w:numPr>
          <w:ilvl w:val="0"/>
          <w:numId w:val="3"/>
        </w:numPr>
        <w:jc w:val="both"/>
        <w:rPr>
          <w:rFonts w:cs="Arial"/>
          <w:b/>
          <w:bCs/>
          <w:sz w:val="20"/>
          <w:szCs w:val="20"/>
        </w:rPr>
      </w:pPr>
      <w:r>
        <w:rPr>
          <w:rFonts w:cs="Arial"/>
          <w:b/>
          <w:bCs/>
          <w:sz w:val="20"/>
          <w:szCs w:val="20"/>
        </w:rPr>
        <w:t>Lancet Countdown Policies</w:t>
      </w:r>
    </w:p>
    <w:p>
      <w:pPr>
        <w:pStyle w:val="ListParagraph"/>
        <w:ind w:left="360"/>
        <w:jc w:val="bot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sz w:val="20"/>
          <w:szCs w:val="20"/>
        </w:rPr>
        <w:t>You agree to abide by the Lancet Countdown Project policies, as updated from time to time, including:</w:t>
      </w:r>
    </w:p>
    <w:p>
      <w:pPr>
        <w:pStyle w:val="ListParagraph"/>
        <w:ind w:left="792"/>
        <w:jc w:val="both"/>
        <w:rPr>
          <w:rFonts w:cs="Arial"/>
          <w:b/>
          <w:bCs/>
          <w:sz w:val="20"/>
          <w:szCs w:val="20"/>
        </w:rPr>
      </w:pPr>
      <w:r>
        <w:rPr>
          <w:rFonts w:cs="Arial"/>
          <w:b/>
          <w:bCs/>
          <w:sz w:val="20"/>
          <w:szCs w:val="20"/>
        </w:rPr>
      </w:r>
    </w:p>
    <w:p>
      <w:pPr>
        <w:pStyle w:val="ListParagraph"/>
        <w:numPr>
          <w:ilvl w:val="2"/>
          <w:numId w:val="7"/>
        </w:numPr>
        <w:jc w:val="both"/>
        <w:rPr>
          <w:rFonts w:cs="Arial"/>
          <w:b/>
          <w:bCs/>
          <w:sz w:val="20"/>
          <w:szCs w:val="20"/>
        </w:rPr>
      </w:pPr>
      <w:hyperlink r:id="rId3">
        <w:r>
          <w:rPr>
            <w:rStyle w:val="Hyperlink"/>
            <w:rFonts w:cs="Arial"/>
            <w:sz w:val="20"/>
            <w:szCs w:val="20"/>
          </w:rPr>
          <w:t>The Academic Conduct Policy</w:t>
        </w:r>
      </w:hyperlink>
      <w:r>
        <w:rPr>
          <w:rFonts w:cs="Arial"/>
          <w:sz w:val="20"/>
          <w:szCs w:val="20"/>
        </w:rPr>
        <w:t>;</w:t>
      </w:r>
    </w:p>
    <w:p>
      <w:pPr>
        <w:pStyle w:val="ListParagraph"/>
        <w:numPr>
          <w:ilvl w:val="2"/>
          <w:numId w:val="7"/>
        </w:numPr>
        <w:jc w:val="both"/>
        <w:rPr>
          <w:rFonts w:cs="Arial"/>
          <w:b/>
          <w:bCs/>
          <w:sz w:val="20"/>
          <w:szCs w:val="20"/>
        </w:rPr>
      </w:pPr>
      <w:hyperlink r:id="rId4">
        <w:r>
          <w:rPr>
            <w:rStyle w:val="Hyperlink"/>
            <w:rFonts w:cs="Arial"/>
            <w:sz w:val="20"/>
            <w:szCs w:val="20"/>
          </w:rPr>
          <w:t>The Behavioural Policy</w:t>
        </w:r>
      </w:hyperlink>
    </w:p>
    <w:p>
      <w:pPr>
        <w:pStyle w:val="ListParagraph"/>
        <w:ind w:left="1080"/>
        <w:jc w:val="both"/>
        <w:rPr>
          <w:rFonts w:cs="Arial"/>
          <w:b/>
          <w:bCs/>
          <w:sz w:val="20"/>
          <w:szCs w:val="20"/>
        </w:rPr>
      </w:pPr>
      <w:r>
        <w:rPr>
          <w:rFonts w:cs="Arial"/>
          <w:b/>
          <w:bCs/>
          <w:sz w:val="20"/>
          <w:szCs w:val="20"/>
        </w:rPr>
      </w:r>
    </w:p>
    <w:p>
      <w:pPr>
        <w:pStyle w:val="ListParagraph"/>
        <w:ind w:left="792"/>
        <w:jc w:val="both"/>
        <w:rPr>
          <w:rFonts w:cs="Arial"/>
          <w:sz w:val="20"/>
          <w:szCs w:val="20"/>
        </w:rPr>
      </w:pPr>
      <w:r>
        <w:rPr>
          <w:rFonts w:cs="Arial"/>
          <w:sz w:val="20"/>
          <w:szCs w:val="20"/>
        </w:rPr>
        <w:t>All of which You agree and confirm have been made available to You electronically.</w:t>
      </w:r>
    </w:p>
    <w:p>
      <w:pPr>
        <w:pStyle w:val="ListParagraph"/>
        <w:ind w:left="792"/>
        <w:jc w:val="both"/>
        <w:rPr>
          <w:rFonts w:cs="Arial"/>
          <w:sz w:val="20"/>
          <w:szCs w:val="20"/>
        </w:rPr>
      </w:pPr>
      <w:r>
        <w:rPr>
          <w:rFonts w:cs="Arial"/>
          <w:sz w:val="20"/>
          <w:szCs w:val="20"/>
        </w:rPr>
      </w:r>
    </w:p>
    <w:p>
      <w:pPr>
        <w:pStyle w:val="ListParagraph"/>
        <w:ind w:left="792"/>
        <w:jc w:val="both"/>
        <w:rPr>
          <w:rFonts w:cs="Arial"/>
          <w:b/>
          <w:bCs/>
          <w:sz w:val="20"/>
          <w:szCs w:val="20"/>
        </w:rPr>
      </w:pPr>
      <w:r>
        <w:rPr>
          <w:rFonts w:cs="Arial"/>
          <w:b/>
          <w:bCs/>
          <w:sz w:val="20"/>
          <w:szCs w:val="20"/>
        </w:rPr>
      </w:r>
    </w:p>
    <w:p>
      <w:pPr>
        <w:pStyle w:val="ListParagraph"/>
        <w:numPr>
          <w:ilvl w:val="0"/>
          <w:numId w:val="3"/>
        </w:numPr>
        <w:jc w:val="both"/>
        <w:rPr>
          <w:rFonts w:cs="Arial"/>
          <w:b/>
          <w:bCs/>
          <w:sz w:val="20"/>
          <w:szCs w:val="20"/>
        </w:rPr>
      </w:pPr>
      <w:r>
        <w:rPr>
          <w:rFonts w:cs="Arial"/>
          <w:b/>
          <w:bCs/>
          <w:sz w:val="20"/>
          <w:szCs w:val="20"/>
        </w:rPr>
        <w:t>Data Sharing</w:t>
      </w:r>
    </w:p>
    <w:p>
      <w:pPr>
        <w:pStyle w:val="ListParagraph"/>
        <w:ind w:left="360"/>
        <w:jc w:val="both"/>
        <w:rPr>
          <w:rFonts w:cs="Arial"/>
          <w:sz w:val="20"/>
          <w:szCs w:val="20"/>
        </w:rPr>
      </w:pPr>
      <w:r>
        <w:rPr>
          <w:rFonts w:cs="Arial"/>
          <w:sz w:val="20"/>
          <w:szCs w:val="20"/>
        </w:rPr>
      </w:r>
    </w:p>
    <w:p>
      <w:pPr>
        <w:pStyle w:val="ListParagraph"/>
        <w:ind w:left="360"/>
        <w:jc w:val="both"/>
        <w:rPr>
          <w:rFonts w:cs="Arial"/>
          <w:sz w:val="20"/>
          <w:szCs w:val="20"/>
        </w:rPr>
      </w:pPr>
      <w:r>
        <w:rPr>
          <w:rFonts w:cs="Arial"/>
          <w:sz w:val="20"/>
          <w:szCs w:val="20"/>
        </w:rPr>
        <w:t>If your contribution to the 2027 Europe Report of the Lancet Countdown entails the production of an indicator:</w:t>
      </w:r>
    </w:p>
    <w:p>
      <w:pPr>
        <w:pStyle w:val="ListParagraph"/>
        <w:ind w:left="360"/>
        <w:jc w:val="bot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b/>
          <w:bCs/>
          <w:sz w:val="20"/>
          <w:szCs w:val="20"/>
        </w:rPr>
        <w:t>Data Provision</w:t>
      </w:r>
      <w:r>
        <w:rPr>
          <w:rFonts w:cs="Arial"/>
          <w:sz w:val="20"/>
          <w:szCs w:val="20"/>
        </w:rPr>
        <w:t xml:space="preserve">: You agree to provide indicator Data to the Europe Secretariat, to be quality controlled, and utilised in the </w:t>
      </w:r>
      <w:r>
        <w:rPr>
          <w:rFonts w:cs="Arial"/>
          <w:i/>
          <w:iCs/>
          <w:sz w:val="20"/>
          <w:szCs w:val="20"/>
        </w:rPr>
        <w:t xml:space="preserve">Lancet </w:t>
      </w:r>
      <w:r>
        <w:rPr>
          <w:rFonts w:cs="Arial"/>
          <w:sz w:val="20"/>
          <w:szCs w:val="20"/>
        </w:rPr>
        <w:t xml:space="preserve">Countdown’s non-academic products, including the online data visualisation platform, dissemination products (including press releases and presentations), country-level policy and communication products, and co-produced policy engagement reports developed in the context of the </w:t>
      </w:r>
      <w:r>
        <w:rPr>
          <w:rFonts w:cs="Arial"/>
          <w:i/>
          <w:iCs/>
          <w:sz w:val="20"/>
          <w:szCs w:val="20"/>
        </w:rPr>
        <w:t xml:space="preserve">Lancet </w:t>
      </w:r>
      <w:r>
        <w:rPr>
          <w:rFonts w:cs="Arial"/>
          <w:sz w:val="20"/>
          <w:szCs w:val="20"/>
        </w:rPr>
        <w:t xml:space="preserve">Countdown’s agreed policy and stakeholder engagement activities. You commit to rigorously quality control the Data yourself before sending to the Europe Secretariat, and to correct any errors identified in the Data in a timely manner.  </w:t>
      </w:r>
    </w:p>
    <w:p>
      <w:pPr>
        <w:pStyle w:val="ListParagraph"/>
        <w:ind w:left="792"/>
        <w:jc w:val="both"/>
        <w:rPr>
          <w:rFonts w:cs="Arial"/>
          <w:b/>
          <w:bCs/>
          <w:sz w:val="20"/>
          <w:szCs w:val="20"/>
        </w:rPr>
      </w:pPr>
      <w:r>
        <w:rPr>
          <w:rFonts w:cs="Arial"/>
          <w:b/>
          <w:bCs/>
          <w:sz w:val="20"/>
          <w:szCs w:val="20"/>
        </w:rPr>
      </w:r>
    </w:p>
    <w:p>
      <w:pPr>
        <w:pStyle w:val="ListParagraph"/>
        <w:ind w:left="792"/>
        <w:jc w:val="both"/>
        <w:rPr>
          <w:rFonts w:cs="Arial"/>
          <w:sz w:val="20"/>
          <w:szCs w:val="20"/>
        </w:rPr>
      </w:pPr>
      <w:r>
        <w:rPr>
          <w:rFonts w:cs="Arial"/>
          <w:sz w:val="20"/>
          <w:szCs w:val="20"/>
        </w:rPr>
        <w:t>You agree to provide data files (the “</w:t>
      </w:r>
      <w:r>
        <w:rPr>
          <w:rFonts w:cs="Arial"/>
          <w:b/>
          <w:bCs/>
          <w:sz w:val="20"/>
          <w:szCs w:val="20"/>
        </w:rPr>
        <w:t>Data</w:t>
      </w:r>
      <w:r>
        <w:rPr>
          <w:rFonts w:cs="Arial"/>
          <w:sz w:val="20"/>
          <w:szCs w:val="20"/>
        </w:rPr>
        <w:t xml:space="preserve">”) to the Europe Secretariat at the highest spatial resolution for which the Data are available and reliable. You agree that the files will be in the format, and contain all the information, requested by the Secretariat, which shall include any restrictions regarding the geographical resolution that can be used, including for the data platform, and policy or communications products. </w:t>
      </w:r>
    </w:p>
    <w:p>
      <w:pPr>
        <w:pStyle w:val="ListParagraph"/>
        <w:ind w:left="792"/>
        <w:jc w:val="both"/>
        <w:rPr>
          <w:rFonts w:cs="Arial"/>
          <w:b/>
          <w:bCs/>
          <w:sz w:val="20"/>
          <w:szCs w:val="20"/>
        </w:rPr>
      </w:pPr>
      <w:r>
        <w:rPr>
          <w:rFonts w:cs="Arial"/>
          <w:b/>
          <w:bCs/>
          <w:sz w:val="20"/>
          <w:szCs w:val="20"/>
        </w:rPr>
      </w:r>
    </w:p>
    <w:p>
      <w:pPr>
        <w:pStyle w:val="ListParagrap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b/>
          <w:bCs/>
          <w:sz w:val="20"/>
          <w:szCs w:val="20"/>
        </w:rPr>
        <w:t xml:space="preserve">Restrictions: </w:t>
      </w:r>
      <w:r>
        <w:rPr>
          <w:rFonts w:cs="Arial"/>
          <w:sz w:val="20"/>
          <w:szCs w:val="20"/>
        </w:rPr>
        <w:t>The Europe Secretariat recognise that there may be legitimate reasons to restrict the sharing of Data within non-academic products. You may declare to the Europe Secretariat any existing restrictions on the use of the Data by submitting to the Europe Secretariat a completed form set out at Schedule 1. The Europe Secretariat will use reasonable efforts to respect any restrictions declared to Us in this way.</w:t>
      </w:r>
    </w:p>
    <w:p>
      <w:pPr>
        <w:pStyle w:val="ListParagraph"/>
        <w:jc w:val="both"/>
        <w:rPr>
          <w:rFonts w:cs="Arial"/>
          <w:b/>
          <w:bCs/>
          <w:sz w:val="20"/>
          <w:szCs w:val="20"/>
        </w:rPr>
      </w:pPr>
      <w:r>
        <w:rPr>
          <w:rFonts w:cs="Arial"/>
          <w:b/>
          <w:bCs/>
          <w:sz w:val="20"/>
          <w:szCs w:val="20"/>
        </w:rPr>
      </w:r>
    </w:p>
    <w:p>
      <w:pPr>
        <w:pStyle w:val="ListParagraph"/>
        <w:numPr>
          <w:ilvl w:val="1"/>
          <w:numId w:val="3"/>
        </w:numPr>
        <w:jc w:val="both"/>
        <w:rPr>
          <w:rFonts w:cs="Arial"/>
          <w:b/>
          <w:bCs/>
          <w:sz w:val="20"/>
          <w:szCs w:val="20"/>
        </w:rPr>
      </w:pPr>
      <w:r>
        <w:rPr>
          <w:rFonts w:cs="Arial"/>
          <w:b/>
          <w:bCs/>
          <w:sz w:val="20"/>
          <w:szCs w:val="20"/>
        </w:rPr>
        <w:t xml:space="preserve">Right to Use Data: </w:t>
      </w:r>
      <w:r>
        <w:rPr>
          <w:rFonts w:cs="Arial"/>
          <w:sz w:val="20"/>
          <w:szCs w:val="20"/>
        </w:rPr>
        <w:t>Except where You have told the Europe Secretariat in the form in Schedule 1, You promise to the Europe Secretariat that You have the right to submit the Data to us for the Project, and that You have the right to give the Europe Secretariat permission to use the Data in the ways set out in this Agreement.</w:t>
      </w:r>
    </w:p>
    <w:p>
      <w:pPr>
        <w:pStyle w:val="ListParagraph"/>
        <w:ind w:left="360"/>
        <w:jc w:val="both"/>
        <w:rPr>
          <w:rFonts w:cs="Arial"/>
          <w:b/>
          <w:bCs/>
          <w:sz w:val="20"/>
          <w:szCs w:val="20"/>
        </w:rPr>
      </w:pPr>
      <w:r>
        <w:rPr>
          <w:rFonts w:cs="Arial"/>
          <w:b/>
          <w:bCs/>
          <w:sz w:val="20"/>
          <w:szCs w:val="20"/>
        </w:rPr>
      </w:r>
    </w:p>
    <w:p>
      <w:pPr>
        <w:pStyle w:val="Normal"/>
        <w:jc w:val="both"/>
        <w:rPr>
          <w:rFonts w:cs="Arial"/>
          <w:sz w:val="20"/>
          <w:szCs w:val="20"/>
        </w:rPr>
      </w:pPr>
      <w:r>
        <w:rPr>
          <w:rFonts w:cs="Arial"/>
          <w:sz w:val="20"/>
          <w:szCs w:val="20"/>
        </w:rPr>
        <w:t>By signing below, You acknowledge that You have read, understood, and agree to the terms and conditions of this Agreement.</w:t>
      </w:r>
    </w:p>
    <w:tbl>
      <w:tblPr>
        <w:tblStyle w:val="Tabellrutnt"/>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4"/>
        <w:gridCol w:w="2599"/>
        <w:gridCol w:w="1417"/>
        <w:gridCol w:w="2205"/>
      </w:tblGrid>
      <w:tr>
        <w:trPr/>
        <w:tc>
          <w:tcPr>
            <w:tcW w:w="2074" w:type="dxa"/>
            <w:tcBorders/>
            <w:vAlign w:val="center"/>
          </w:tcPr>
          <w:p>
            <w:pPr>
              <w:pStyle w:val="Normal"/>
              <w:widowControl/>
              <w:suppressAutoHyphens w:val="true"/>
              <w:spacing w:before="120" w:after="120"/>
              <w:jc w:val="center"/>
              <w:rPr>
                <w:rFonts w:cs="Arial"/>
                <w:b/>
                <w:bCs/>
                <w:sz w:val="18"/>
                <w:szCs w:val="18"/>
              </w:rPr>
            </w:pPr>
            <w:r>
              <w:rPr>
                <w:rFonts w:eastAsia="Times New Roman" w:cs="Arial"/>
                <w:b/>
                <w:bCs/>
                <w:kern w:val="0"/>
                <w:sz w:val="18"/>
                <w:szCs w:val="18"/>
                <w:lang w:val="en-GB" w:bidi="ar-SA"/>
              </w:rPr>
              <w:t>Contributor’s Name</w:t>
            </w:r>
          </w:p>
        </w:tc>
        <w:tc>
          <w:tcPr>
            <w:tcW w:w="2599" w:type="dxa"/>
            <w:tcBorders/>
            <w:vAlign w:val="center"/>
          </w:tcPr>
          <w:p>
            <w:pPr>
              <w:pStyle w:val="Normal"/>
              <w:widowControl/>
              <w:suppressAutoHyphens w:val="true"/>
              <w:spacing w:before="120" w:after="120"/>
              <w:jc w:val="center"/>
              <w:rPr>
                <w:rFonts w:cs="Arial"/>
                <w:b/>
                <w:bCs/>
                <w:sz w:val="18"/>
                <w:szCs w:val="18"/>
              </w:rPr>
            </w:pPr>
            <w:r>
              <w:rPr>
                <w:rFonts w:eastAsia="Times New Roman" w:cs="Arial"/>
                <w:b/>
                <w:bCs/>
                <w:kern w:val="0"/>
                <w:sz w:val="18"/>
                <w:szCs w:val="18"/>
                <w:lang w:val="en-GB" w:bidi="ar-SA"/>
              </w:rPr>
              <w:t>Contributor’s Email Adress</w:t>
            </w:r>
          </w:p>
        </w:tc>
        <w:tc>
          <w:tcPr>
            <w:tcW w:w="1417" w:type="dxa"/>
            <w:tcBorders/>
            <w:vAlign w:val="center"/>
          </w:tcPr>
          <w:p>
            <w:pPr>
              <w:pStyle w:val="Normal"/>
              <w:widowControl/>
              <w:suppressAutoHyphens w:val="true"/>
              <w:spacing w:before="120" w:after="120"/>
              <w:jc w:val="center"/>
              <w:rPr>
                <w:rFonts w:cs="Arial"/>
                <w:b/>
                <w:bCs/>
                <w:sz w:val="18"/>
                <w:szCs w:val="18"/>
              </w:rPr>
            </w:pPr>
            <w:r>
              <w:rPr>
                <w:rFonts w:eastAsia="Times New Roman" w:cs="Arial"/>
                <w:b/>
                <w:bCs/>
                <w:kern w:val="0"/>
                <w:sz w:val="18"/>
                <w:szCs w:val="18"/>
                <w:lang w:val="en-GB" w:bidi="ar-SA"/>
              </w:rPr>
              <w:t>Date</w:t>
            </w:r>
          </w:p>
        </w:tc>
        <w:tc>
          <w:tcPr>
            <w:tcW w:w="2205" w:type="dxa"/>
            <w:tcBorders/>
            <w:vAlign w:val="center"/>
          </w:tcPr>
          <w:p>
            <w:pPr>
              <w:pStyle w:val="Normal"/>
              <w:widowControl/>
              <w:suppressAutoHyphens w:val="true"/>
              <w:spacing w:before="120" w:after="120"/>
              <w:jc w:val="center"/>
              <w:rPr>
                <w:rFonts w:cs="Arial"/>
                <w:b/>
                <w:bCs/>
                <w:sz w:val="18"/>
                <w:szCs w:val="18"/>
              </w:rPr>
            </w:pPr>
            <w:r>
              <w:rPr>
                <w:rFonts w:eastAsia="Times New Roman" w:cs="Arial"/>
                <w:b/>
                <w:bCs/>
                <w:kern w:val="0"/>
                <w:sz w:val="18"/>
                <w:szCs w:val="18"/>
                <w:lang w:val="en-GB" w:bidi="ar-SA"/>
              </w:rPr>
              <w:t>Signature</w:t>
            </w:r>
          </w:p>
        </w:tc>
      </w:tr>
      <w:tr>
        <w:trPr/>
        <w:tc>
          <w:tcPr>
            <w:tcW w:w="2074" w:type="dxa"/>
            <w:tcBorders/>
            <w:vAlign w:val="center"/>
          </w:tcPr>
          <w:p>
            <w:pPr>
              <w:pStyle w:val="Normal"/>
              <w:widowControl/>
              <w:suppressAutoHyphens w:val="true"/>
              <w:spacing w:before="120" w:after="120"/>
              <w:jc w:val="left"/>
              <w:rPr>
                <w:rFonts w:cs="Arial"/>
                <w:sz w:val="20"/>
                <w:szCs w:val="20"/>
              </w:rPr>
            </w:pPr>
            <w:r>
              <w:rPr>
                <w:rFonts w:eastAsia="Times New Roman" w:cs="Arial"/>
                <w:kern w:val="0"/>
                <w:sz w:val="20"/>
                <w:szCs w:val="20"/>
                <w:lang w:val="en-GB" w:bidi="ar-SA"/>
              </w:rPr>
              <w:t>Zachary Dickson</w:t>
            </w:r>
          </w:p>
        </w:tc>
        <w:tc>
          <w:tcPr>
            <w:tcW w:w="2599" w:type="dxa"/>
            <w:tcBorders/>
            <w:vAlign w:val="center"/>
          </w:tcPr>
          <w:p>
            <w:pPr>
              <w:pStyle w:val="Normal"/>
              <w:widowControl/>
              <w:suppressAutoHyphens w:val="true"/>
              <w:spacing w:before="120" w:after="120"/>
              <w:jc w:val="left"/>
              <w:rPr>
                <w:rFonts w:cs="Arial"/>
                <w:sz w:val="20"/>
                <w:szCs w:val="20"/>
              </w:rPr>
            </w:pPr>
            <w:r>
              <w:rPr>
                <w:rStyle w:val="Hyperlink"/>
                <w:rFonts w:eastAsia="Times New Roman" w:cs="Arial"/>
                <w:kern w:val="0"/>
                <w:sz w:val="20"/>
                <w:szCs w:val="20"/>
                <w:lang w:val="en-GB" w:bidi="ar-SA"/>
              </w:rPr>
              <w:t>z.dickson@lse.ac.uk</w:t>
            </w:r>
          </w:p>
        </w:tc>
        <w:tc>
          <w:tcPr>
            <w:tcW w:w="1417" w:type="dxa"/>
            <w:tcBorders/>
            <w:vAlign w:val="center"/>
          </w:tcPr>
          <w:p>
            <w:pPr>
              <w:pStyle w:val="Normal"/>
              <w:widowControl/>
              <w:suppressAutoHyphens w:val="true"/>
              <w:spacing w:before="120" w:after="120"/>
              <w:jc w:val="left"/>
              <w:rPr>
                <w:rFonts w:cs="Arial"/>
                <w:sz w:val="20"/>
                <w:szCs w:val="20"/>
              </w:rPr>
            </w:pPr>
            <w:r>
              <w:rPr>
                <w:rFonts w:eastAsia="Times New Roman" w:cs="Arial"/>
                <w:kern w:val="0"/>
                <w:sz w:val="20"/>
                <w:szCs w:val="20"/>
                <w:lang w:val="en-GB" w:bidi="ar-SA"/>
              </w:rPr>
              <w:t>14/01/2026</w:t>
            </w:r>
          </w:p>
        </w:tc>
        <w:tc>
          <w:tcPr>
            <w:tcW w:w="2205" w:type="dxa"/>
            <w:tcBorders/>
            <w:vAlign w:val="center"/>
          </w:tcPr>
          <w:p>
            <w:pPr>
              <w:pStyle w:val="Normal"/>
              <w:widowControl/>
              <w:suppressAutoHyphens w:val="true"/>
              <w:spacing w:before="120" w:after="120"/>
              <w:jc w:val="left"/>
              <w:rPr>
                <w:rFonts w:cs="Arial"/>
                <w:sz w:val="20"/>
                <w:szCs w:val="20"/>
              </w:rPr>
            </w:pPr>
            <w:r>
              <w:rPr>
                <w:rFonts w:eastAsia="Times New Roman" w:cs="Arial"/>
                <w:kern w:val="0"/>
                <w:sz w:val="20"/>
                <w:szCs w:val="20"/>
                <w:lang w:val="en-GB" w:bidi="ar-SA"/>
              </w:rPr>
              <w:t>Zachary Dickson</w:t>
            </w:r>
          </w:p>
        </w:tc>
      </w:tr>
      <w:tr>
        <w:trPr/>
        <w:tc>
          <w:tcPr>
            <w:tcW w:w="2074" w:type="dxa"/>
            <w:tcBorders/>
            <w:vAlign w:val="center"/>
          </w:tcPr>
          <w:p>
            <w:pPr>
              <w:pStyle w:val="Author"/>
              <w:widowControl/>
              <w:suppressAutoHyphens w:val="true"/>
              <w:spacing w:before="120" w:after="120"/>
              <w:jc w:val="left"/>
              <w:rPr>
                <w:rFonts w:cs="Arial"/>
                <w:sz w:val="20"/>
                <w:szCs w:val="20"/>
              </w:rPr>
            </w:pPr>
            <w:r>
              <w:rPr>
                <w:rFonts w:eastAsia="Times New Roman" w:cs="Arial"/>
                <w:kern w:val="0"/>
                <w:sz w:val="20"/>
                <w:szCs w:val="20"/>
                <w:lang w:val="en-GB" w:bidi="ar-SA"/>
              </w:rPr>
              <w:t>Cornelius Erfort</w:t>
            </w:r>
          </w:p>
        </w:tc>
        <w:tc>
          <w:tcPr>
            <w:tcW w:w="2599" w:type="dxa"/>
            <w:tcBorders/>
            <w:vAlign w:val="center"/>
          </w:tcPr>
          <w:p>
            <w:pPr>
              <w:pStyle w:val="Normal"/>
              <w:widowControl/>
              <w:suppressAutoHyphens w:val="true"/>
              <w:spacing w:before="120" w:after="120"/>
              <w:jc w:val="left"/>
              <w:rPr>
                <w:rFonts w:cs="Arial"/>
                <w:sz w:val="20"/>
                <w:szCs w:val="20"/>
              </w:rPr>
            </w:pPr>
            <w:r>
              <w:rPr>
                <w:rFonts w:eastAsia="Times New Roman" w:cs="Arial"/>
                <w:kern w:val="0"/>
                <w:sz w:val="20"/>
                <w:szCs w:val="20"/>
                <w:lang w:val="en-GB" w:bidi="ar-SA"/>
              </w:rPr>
              <w:t>cornelius.erfort@uni-wh.de</w:t>
            </w:r>
          </w:p>
        </w:tc>
        <w:tc>
          <w:tcPr>
            <w:tcW w:w="1417" w:type="dxa"/>
            <w:tcBorders/>
            <w:vAlign w:val="center"/>
          </w:tcPr>
          <w:p>
            <w:pPr>
              <w:pStyle w:val="Normal"/>
              <w:widowControl/>
              <w:suppressAutoHyphens w:val="true"/>
              <w:spacing w:before="120" w:after="120"/>
              <w:jc w:val="left"/>
              <w:rPr>
                <w:rFonts w:cs="Arial"/>
                <w:sz w:val="20"/>
                <w:szCs w:val="20"/>
              </w:rPr>
            </w:pPr>
            <w:r>
              <w:rPr>
                <w:rFonts w:eastAsia="Times New Roman" w:cs="Arial"/>
                <w:kern w:val="0"/>
                <w:sz w:val="20"/>
                <w:szCs w:val="20"/>
                <w:lang w:val="en-GB" w:bidi="ar-SA"/>
              </w:rPr>
              <w:t>14/01/2026</w:t>
            </w:r>
          </w:p>
        </w:tc>
        <w:tc>
          <w:tcPr>
            <w:tcW w:w="2205" w:type="dxa"/>
            <w:tcBorders/>
            <w:vAlign w:val="center"/>
          </w:tcPr>
          <w:p>
            <w:pPr>
              <w:pStyle w:val="Author"/>
              <w:widowControl/>
              <w:suppressAutoHyphens w:val="true"/>
              <w:spacing w:before="120" w:after="120"/>
              <w:jc w:val="left"/>
              <w:rPr>
                <w:rFonts w:cs="Arial"/>
                <w:sz w:val="20"/>
                <w:szCs w:val="20"/>
              </w:rPr>
            </w:pPr>
            <w:r>
              <w:rPr>
                <w:rFonts w:eastAsia="Times New Roman" w:cs="Arial"/>
                <w:kern w:val="0"/>
                <w:sz w:val="20"/>
                <w:szCs w:val="20"/>
                <w:lang w:val="en-GB" w:bidi="ar-SA"/>
              </w:rPr>
              <w:t>Cornelius Erfort</w:t>
            </w:r>
          </w:p>
        </w:tc>
      </w:tr>
      <w:tr>
        <w:trPr/>
        <w:tc>
          <w:tcPr>
            <w:tcW w:w="2074"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599"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1417"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205"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r>
      <w:tr>
        <w:trPr/>
        <w:tc>
          <w:tcPr>
            <w:tcW w:w="2074"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599"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1417"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205"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r>
      <w:tr>
        <w:trPr/>
        <w:tc>
          <w:tcPr>
            <w:tcW w:w="2074"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599"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1417"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205"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r>
      <w:tr>
        <w:trPr/>
        <w:tc>
          <w:tcPr>
            <w:tcW w:w="2074"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599"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1417"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205"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r>
      <w:tr>
        <w:trPr/>
        <w:tc>
          <w:tcPr>
            <w:tcW w:w="2074"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599"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1417"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205"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r>
      <w:tr>
        <w:trPr/>
        <w:tc>
          <w:tcPr>
            <w:tcW w:w="2074"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599"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1417"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c>
          <w:tcPr>
            <w:tcW w:w="2205" w:type="dxa"/>
            <w:tcBorders/>
            <w:vAlign w:val="center"/>
          </w:tcPr>
          <w:p>
            <w:pPr>
              <w:pStyle w:val="Normal"/>
              <w:widowControl/>
              <w:suppressAutoHyphens w:val="true"/>
              <w:spacing w:before="120" w:after="120"/>
              <w:jc w:val="left"/>
              <w:rPr>
                <w:rFonts w:cs="Arial"/>
                <w:sz w:val="20"/>
                <w:szCs w:val="20"/>
              </w:rPr>
            </w:pPr>
            <w:r>
              <w:rPr>
                <w:rFonts w:cs="Arial"/>
                <w:sz w:val="20"/>
                <w:szCs w:val="20"/>
              </w:rPr>
            </w:r>
          </w:p>
        </w:tc>
      </w:tr>
    </w:tbl>
    <w:p>
      <w:pPr>
        <w:pStyle w:val="Normal"/>
        <w:jc w:val="both"/>
        <w:rPr>
          <w:rFonts w:cs="Arial"/>
          <w:b/>
          <w:bCs/>
          <w:sz w:val="20"/>
          <w:szCs w:val="20"/>
        </w:rPr>
      </w:pPr>
      <w:r>
        <w:rPr>
          <w:rFonts w:cs="Arial"/>
          <w:b/>
          <w:bCs/>
          <w:sz w:val="20"/>
          <w:szCs w:val="20"/>
        </w:rPr>
      </w:r>
    </w:p>
    <w:p>
      <w:pPr>
        <w:pStyle w:val="Normal"/>
        <w:tabs>
          <w:tab w:val="clear" w:pos="567"/>
          <w:tab w:val="clear" w:pos="1134"/>
          <w:tab w:val="clear" w:pos="1701"/>
          <w:tab w:val="clear" w:pos="5670"/>
          <w:tab w:val="clear" w:pos="9072"/>
        </w:tabs>
        <w:spacing w:before="0" w:after="0"/>
        <w:jc w:val="both"/>
        <w:rPr>
          <w:rFonts w:cs="Arial"/>
          <w:b/>
          <w:bCs/>
          <w:sz w:val="20"/>
          <w:szCs w:val="20"/>
        </w:rPr>
      </w:pPr>
      <w:r>
        <w:rPr>
          <w:rFonts w:cs="Arial"/>
          <w:b/>
          <w:bCs/>
          <w:sz w:val="20"/>
          <w:szCs w:val="20"/>
        </w:rPr>
      </w:r>
      <w:r>
        <w:br w:type="page"/>
      </w:r>
    </w:p>
    <w:p>
      <w:pPr>
        <w:pStyle w:val="Normal"/>
        <w:spacing w:before="0" w:after="120"/>
        <w:rPr>
          <w:rFonts w:cs="Arial"/>
          <w:sz w:val="20"/>
          <w:szCs w:val="20"/>
        </w:rPr>
      </w:pPr>
      <w:r>
        <w:rPr>
          <w:rFonts w:cs="Arial"/>
          <w:sz w:val="20"/>
          <w:szCs w:val="20"/>
        </w:rPr>
        <w:t xml:space="preserve">Are you contributing to the data of one or more indicators? </w:t>
      </w:r>
    </w:p>
    <w:p>
      <w:pPr>
        <w:pStyle w:val="ListParagraph"/>
        <w:numPr>
          <w:ilvl w:val="0"/>
          <w:numId w:val="8"/>
        </w:numPr>
        <w:rPr>
          <w:rFonts w:cs="Arial"/>
          <w:sz w:val="20"/>
          <w:szCs w:val="20"/>
        </w:rPr>
      </w:pPr>
      <w:r>
        <w:rPr>
          <w:rFonts w:cs="Arial"/>
          <w:sz w:val="20"/>
          <w:szCs w:val="20"/>
        </w:rPr>
        <w:t xml:space="preserve"> </w:t>
      </w:r>
      <w:r>
        <w:rPr>
          <w:rFonts w:cs="Arial"/>
          <w:sz w:val="20"/>
          <w:szCs w:val="20"/>
        </w:rPr>
        <w:t xml:space="preserve">No </w:t>
      </w:r>
    </w:p>
    <w:p>
      <w:pPr>
        <w:pStyle w:val="ListParagraph"/>
        <w:numPr>
          <w:ilvl w:val="0"/>
          <w:numId w:val="8"/>
        </w:numPr>
        <w:rPr>
          <w:rFonts w:cs="Arial"/>
          <w:sz w:val="20"/>
          <w:szCs w:val="20"/>
        </w:rPr>
      </w:pPr>
      <w:r>
        <w:rPr>
          <w:rFonts w:cs="Arial"/>
          <w:sz w:val="20"/>
          <w:szCs w:val="20"/>
        </w:rPr>
        <w:t xml:space="preserve"> </w:t>
      </w:r>
      <w:r>
        <w:rPr>
          <w:rFonts w:cs="Arial"/>
          <w:sz w:val="20"/>
          <w:szCs w:val="20"/>
        </w:rPr>
        <w:t xml:space="preserve">Yes – please complete Schedule 1 </w:t>
      </w:r>
    </w:p>
    <w:p>
      <w:pPr>
        <w:pStyle w:val="Normal"/>
        <w:jc w:val="center"/>
        <w:rPr>
          <w:rFonts w:cs="Arial"/>
          <w:b/>
          <w:bCs/>
          <w:sz w:val="20"/>
          <w:szCs w:val="20"/>
        </w:rPr>
      </w:pPr>
      <w:r>
        <w:rPr>
          <w:rFonts w:cs="Arial"/>
          <w:sz w:val="20"/>
          <w:szCs w:val="20"/>
        </w:rPr>
        <w:br/>
      </w:r>
    </w:p>
    <w:p>
      <w:pPr>
        <w:pStyle w:val="Normal"/>
        <w:jc w:val="center"/>
        <w:rPr>
          <w:rFonts w:cs="Arial"/>
          <w:b/>
          <w:bCs/>
          <w:sz w:val="20"/>
          <w:szCs w:val="20"/>
        </w:rPr>
      </w:pPr>
      <w:r>
        <w:rPr>
          <w:rFonts w:cs="Arial"/>
          <w:b/>
          <w:bCs/>
          <w:sz w:val="20"/>
          <w:szCs w:val="20"/>
        </w:rPr>
        <w:t>SCHEDULE 1</w:t>
      </w:r>
    </w:p>
    <w:p>
      <w:pPr>
        <w:pStyle w:val="Normal"/>
        <w:tabs>
          <w:tab w:val="clear" w:pos="567"/>
          <w:tab w:val="clear" w:pos="1134"/>
          <w:tab w:val="clear" w:pos="1701"/>
          <w:tab w:val="clear" w:pos="5670"/>
          <w:tab w:val="clear" w:pos="9072"/>
        </w:tabs>
        <w:spacing w:before="0" w:after="0"/>
        <w:jc w:val="center"/>
        <w:rPr>
          <w:rFonts w:cs="Arial"/>
          <w:b/>
          <w:bCs/>
          <w:sz w:val="20"/>
          <w:szCs w:val="20"/>
        </w:rPr>
      </w:pPr>
      <w:r>
        <w:rPr>
          <w:rFonts w:cs="Arial"/>
          <w:b/>
          <w:bCs/>
          <w:sz w:val="20"/>
          <w:szCs w:val="20"/>
        </w:rPr>
        <w:t>NOTIFICATION TO THE PROJECT SECRETARIAT</w:t>
      </w:r>
    </w:p>
    <w:p>
      <w:pPr>
        <w:pStyle w:val="Normal"/>
        <w:tabs>
          <w:tab w:val="clear" w:pos="567"/>
          <w:tab w:val="clear" w:pos="1134"/>
          <w:tab w:val="clear" w:pos="1701"/>
          <w:tab w:val="clear" w:pos="5670"/>
          <w:tab w:val="clear" w:pos="9072"/>
        </w:tabs>
        <w:spacing w:before="0" w:after="0"/>
        <w:rPr>
          <w:rFonts w:cs="Arial"/>
          <w:b/>
          <w:bCs/>
          <w:sz w:val="20"/>
          <w:szCs w:val="20"/>
        </w:rPr>
      </w:pPr>
      <w:r>
        <w:rPr>
          <w:rFonts w:cs="Arial"/>
          <w:b/>
          <w:bCs/>
          <w:sz w:val="20"/>
          <w:szCs w:val="20"/>
        </w:rPr>
      </w:r>
    </w:p>
    <w:p>
      <w:pPr>
        <w:pStyle w:val="ListParagraph"/>
        <w:numPr>
          <w:ilvl w:val="0"/>
          <w:numId w:val="6"/>
        </w:numPr>
        <w:jc w:val="both"/>
        <w:rPr>
          <w:rFonts w:cs="Arial"/>
          <w:b/>
          <w:bCs/>
          <w:sz w:val="20"/>
          <w:szCs w:val="20"/>
          <w:u w:val="single"/>
        </w:rPr>
      </w:pPr>
      <w:r>
        <w:rPr>
          <w:rFonts w:cs="Arial"/>
          <w:b/>
          <w:bCs/>
          <w:sz w:val="20"/>
          <w:szCs w:val="20"/>
          <w:u w:val="single"/>
        </w:rPr>
        <w:t>Indicator Information</w:t>
      </w:r>
    </w:p>
    <w:p>
      <w:pPr>
        <w:pStyle w:val="Normal"/>
        <w:numPr>
          <w:ilvl w:val="0"/>
          <w:numId w:val="4"/>
        </w:numPr>
        <w:jc w:val="both"/>
        <w:rPr>
          <w:rFonts w:cs="Arial"/>
          <w:sz w:val="20"/>
          <w:szCs w:val="20"/>
        </w:rPr>
      </w:pPr>
      <w:r>
        <w:rPr>
          <w:rFonts w:cs="Arial"/>
          <w:sz w:val="20"/>
          <w:szCs w:val="20"/>
        </w:rPr>
        <w:t xml:space="preserve">Indicator Number &amp; Name: </w:t>
      </w:r>
    </w:p>
    <w:p>
      <w:pPr>
        <w:pStyle w:val="Normal"/>
        <w:ind w:left="360"/>
        <w:jc w:val="both"/>
        <w:rPr>
          <w:rFonts w:cs="Arial"/>
          <w:sz w:val="20"/>
          <w:szCs w:val="20"/>
        </w:rPr>
      </w:pPr>
      <w:r>
        <w:rPr>
          <w:rFonts w:cs="Arial"/>
          <w:sz w:val="20"/>
          <w:szCs w:val="20"/>
        </w:rPr>
        <w:t xml:space="preserve">    </w:t>
      </w:r>
      <w:bookmarkStart w:id="1" w:name="docs-internal-guid-15d20330-7fff-899e-a1"/>
      <w:bookmarkEnd w:id="1"/>
      <w:r>
        <w:rPr>
          <w:rFonts w:cs="Arial" w:ascii="Calibri;sans-serif" w:hAnsi="Calibri;sans-serif"/>
          <w:b w:val="false"/>
          <w:i w:val="false"/>
          <w:caps w:val="false"/>
          <w:smallCaps w:val="false"/>
          <w:strike w:val="false"/>
          <w:dstrike w:val="false"/>
          <w:color w:val="1F3863"/>
          <w:sz w:val="20"/>
          <w:szCs w:val="20"/>
          <w:u w:val="none"/>
          <w:effect w:val="none"/>
          <w:shd w:fill="auto" w:val="clear"/>
        </w:rPr>
        <w:t>Indicator 5.3.3: Political party engagement with health and climate change </w:t>
      </w:r>
    </w:p>
    <w:p>
      <w:pPr>
        <w:pStyle w:val="Normal"/>
        <w:ind w:left="360"/>
        <w:jc w:val="both"/>
        <w:rPr>
          <w:rFonts w:cs="Arial"/>
          <w:sz w:val="20"/>
          <w:szCs w:val="20"/>
        </w:rPr>
      </w:pPr>
      <w:r>
        <w:rPr/>
      </w:r>
    </w:p>
    <w:p>
      <w:pPr>
        <w:pStyle w:val="ListParagraph"/>
        <w:numPr>
          <w:ilvl w:val="0"/>
          <w:numId w:val="6"/>
        </w:numPr>
        <w:jc w:val="both"/>
        <w:rPr>
          <w:rFonts w:cs="Arial"/>
          <w:b/>
          <w:bCs/>
          <w:sz w:val="20"/>
          <w:szCs w:val="20"/>
          <w:u w:val="single"/>
        </w:rPr>
      </w:pPr>
      <w:r>
        <w:rPr>
          <w:rFonts w:cs="Arial"/>
          <w:b/>
          <w:bCs/>
          <w:sz w:val="20"/>
          <w:szCs w:val="20"/>
          <w:u w:val="single"/>
        </w:rPr>
        <w:t>Data sharing permissions</w:t>
      </w:r>
    </w:p>
    <w:p>
      <w:pPr>
        <w:pStyle w:val="Normal"/>
        <w:jc w:val="both"/>
        <w:rPr>
          <w:rFonts w:cs="Arial"/>
          <w:b/>
          <w:bCs/>
          <w:sz w:val="20"/>
          <w:szCs w:val="20"/>
          <w:u w:val="single"/>
        </w:rPr>
      </w:pPr>
      <w:r>
        <w:rPr>
          <w:rFonts w:cs="Arial"/>
          <w:sz w:val="20"/>
          <w:szCs w:val="20"/>
        </w:rPr>
        <w:t xml:space="preserve">Please indicate below which </w:t>
      </w:r>
      <w:commentRangeStart w:id="0"/>
      <w:r>
        <w:rPr>
          <w:rFonts w:cs="Arial"/>
          <w:sz w:val="20"/>
          <w:szCs w:val="20"/>
        </w:rPr>
        <w:t>that your data can be shared with the Lancet Countdown Europe data platform, policy engagement and communication and with stakeholders (e.g. Climate and Health Observatory). Please also in</w:t>
      </w:r>
      <w:r>
        <w:rPr>
          <w:rFonts w:cs="Arial"/>
          <w:sz w:val="20"/>
          <w:szCs w:val="20"/>
        </w:rPr>
      </w:r>
      <w:commentRangeEnd w:id="0"/>
      <w:r>
        <w:commentReference w:id="0"/>
      </w:r>
      <w:r>
        <w:rPr>
          <w:rFonts w:cs="Arial"/>
          <w:sz w:val="20"/>
          <w:szCs w:val="20"/>
        </w:rPr>
        <w:t xml:space="preserve">dicate whether you would request to review the use of your data in produced products.  </w:t>
      </w:r>
    </w:p>
    <w:p>
      <w:pPr>
        <w:pStyle w:val="Normal"/>
        <w:tabs>
          <w:tab w:val="clear" w:pos="567"/>
          <w:tab w:val="clear" w:pos="1134"/>
          <w:tab w:val="clear" w:pos="1701"/>
          <w:tab w:val="clear" w:pos="5670"/>
          <w:tab w:val="clear" w:pos="9072"/>
        </w:tabs>
        <w:spacing w:before="0" w:after="0"/>
        <w:rPr>
          <w:rFonts w:cs="Arial"/>
          <w:b/>
          <w:bCs/>
          <w:sz w:val="20"/>
          <w:szCs w:val="20"/>
          <w:u w:val="single"/>
        </w:rPr>
      </w:pPr>
      <w:r>
        <w:rPr>
          <w:rFonts w:cs="Arial"/>
          <w:b/>
          <w:bCs/>
          <w:sz w:val="20"/>
          <w:szCs w:val="20"/>
          <w:u w:val="single"/>
        </w:rPr>
        <w:t xml:space="preserve">Data can be shared. </w:t>
      </w:r>
    </w:p>
    <w:p>
      <w:pPr>
        <w:pStyle w:val="Normal"/>
        <w:tabs>
          <w:tab w:val="clear" w:pos="567"/>
          <w:tab w:val="clear" w:pos="1134"/>
          <w:tab w:val="clear" w:pos="1701"/>
          <w:tab w:val="clear" w:pos="5670"/>
          <w:tab w:val="clear" w:pos="9072"/>
        </w:tabs>
        <w:spacing w:before="0" w:after="0"/>
        <w:rPr>
          <w:rFonts w:cs="Arial"/>
          <w:sz w:val="20"/>
          <w:szCs w:val="20"/>
          <w:u w:val="single"/>
        </w:rPr>
      </w:pPr>
      <w:r>
        <w:rPr>
          <w:rFonts w:cs="Arial"/>
          <w:sz w:val="20"/>
          <w:szCs w:val="20"/>
          <w:u w:val="single"/>
        </w:rPr>
      </w:r>
    </w:p>
    <w:p>
      <w:pPr>
        <w:pStyle w:val="Normal"/>
        <w:tabs>
          <w:tab w:val="clear" w:pos="567"/>
          <w:tab w:val="clear" w:pos="1134"/>
          <w:tab w:val="clear" w:pos="1701"/>
          <w:tab w:val="clear" w:pos="5670"/>
          <w:tab w:val="clear" w:pos="9072"/>
        </w:tabs>
        <w:spacing w:before="0" w:after="0"/>
        <w:rPr>
          <w:rFonts w:cs="Arial"/>
          <w:sz w:val="20"/>
          <w:szCs w:val="20"/>
        </w:rPr>
      </w:pPr>
      <w:r>
        <w:rPr>
          <w:rFonts w:cs="Arial"/>
          <w:sz w:val="20"/>
          <w:szCs w:val="20"/>
        </w:rPr>
        <w:t>(Schedule 1 continues on next page)</w:t>
      </w:r>
      <w:r>
        <w:br w:type="page"/>
      </w:r>
    </w:p>
    <w:p>
      <w:pPr>
        <w:pStyle w:val="ListParagraph"/>
        <w:numPr>
          <w:ilvl w:val="0"/>
          <w:numId w:val="6"/>
        </w:numPr>
        <w:spacing w:before="0" w:after="240"/>
        <w:contextualSpacing/>
        <w:jc w:val="both"/>
        <w:rPr>
          <w:rFonts w:cs="Arial"/>
          <w:b/>
          <w:bCs/>
          <w:sz w:val="20"/>
          <w:szCs w:val="20"/>
          <w:u w:val="single"/>
        </w:rPr>
      </w:pPr>
      <w:r>
        <w:rPr>
          <w:rFonts w:cs="Arial"/>
          <w:b/>
          <w:bCs/>
          <w:sz w:val="20"/>
          <w:szCs w:val="20"/>
          <w:u w:val="single"/>
        </w:rPr>
        <w:t>Impediments to Data Sharing</w:t>
      </w:r>
    </w:p>
    <w:p>
      <w:pPr>
        <w:pStyle w:val="Normal"/>
        <w:jc w:val="both"/>
        <w:rPr>
          <w:rFonts w:cs="Arial"/>
          <w:sz w:val="20"/>
          <w:szCs w:val="20"/>
        </w:rPr>
      </w:pPr>
      <w:r>
        <w:rPr>
          <w:rFonts w:cs="Arial"/>
          <w:sz w:val="20"/>
          <w:szCs w:val="20"/>
        </w:rPr>
        <w:t>Please indicate the nature of the impediment(s) to data sharing by selecting the appropriate option(s) below and providing a detailed explanation.</w:t>
      </w:r>
    </w:p>
    <w:p>
      <w:pPr>
        <w:pStyle w:val="Normal"/>
        <w:jc w:val="both"/>
        <w:rPr>
          <w:rFonts w:cs="Arial"/>
          <w:sz w:val="20"/>
          <w:szCs w:val="20"/>
          <w:u w:val="single"/>
        </w:rPr>
      </w:pPr>
      <w:r>
        <w:rPr>
          <w:rFonts w:cs="Arial"/>
          <w:sz w:val="20"/>
          <w:szCs w:val="20"/>
          <w:u w:val="single"/>
        </w:rPr>
        <w:t>A. Intellectual Property Rights</w:t>
      </w:r>
    </w:p>
    <w:p>
      <w:pPr>
        <w:pStyle w:val="Normal"/>
        <w:numPr>
          <w:ilvl w:val="0"/>
          <w:numId w:val="5"/>
        </w:numPr>
        <w:tabs>
          <w:tab w:val="left" w:pos="567" w:leader="none"/>
          <w:tab w:val="left" w:pos="720" w:leader="none"/>
          <w:tab w:val="left" w:pos="1134" w:leader="none"/>
          <w:tab w:val="left" w:pos="1701" w:leader="none"/>
          <w:tab w:val="left" w:pos="5670" w:leader="none"/>
          <w:tab w:val="right" w:pos="9072" w:leader="none"/>
        </w:tabs>
        <w:jc w:val="both"/>
        <w:rPr>
          <w:rFonts w:cs="Arial"/>
          <w:sz w:val="20"/>
          <w:szCs w:val="20"/>
        </w:rPr>
      </w:pPr>
      <w:r>
        <w:rPr>
          <w:rFonts w:cs="Arial"/>
          <w:sz w:val="20"/>
          <w:szCs w:val="20"/>
        </w:rPr>
        <w:t> </w:t>
      </w:r>
      <w:r>
        <w:rPr>
          <w:rFonts w:cs="Arial"/>
          <w:sz w:val="20"/>
          <w:szCs w:val="20"/>
        </w:rPr>
        <w:t>Pre-existing licence or intellectual property rights impede the sharing of the data file.</w:t>
      </w:r>
    </w:p>
    <w:p>
      <w:pPr>
        <w:pStyle w:val="Normal"/>
        <w:numPr>
          <w:ilvl w:val="1"/>
          <w:numId w:val="5"/>
        </w:numPr>
        <w:jc w:val="both"/>
        <w:rPr>
          <w:rFonts w:cs="Arial"/>
          <w:sz w:val="20"/>
          <w:szCs w:val="20"/>
        </w:rPr>
      </w:pPr>
      <w:r>
        <w:rPr>
          <w:rFonts w:cs="Arial"/>
          <w:sz w:val="20"/>
          <w:szCs w:val="20"/>
        </w:rPr>
        <w:t xml:space="preserve">Explanation: </w:t>
      </w:r>
    </w:p>
    <w:p>
      <w:pPr>
        <w:pStyle w:val="Normal"/>
        <w:spacing w:lineRule="auto" w:line="360" w:before="0" w:after="0"/>
        <w:ind w:left="646"/>
        <w:jc w:val="both"/>
        <w:rPr>
          <w:rFonts w:cs="Arial"/>
          <w:sz w:val="20"/>
          <w:szCs w:val="20"/>
        </w:rPr>
      </w:pPr>
      <w:r>
        <w:rPr>
          <w:rFonts w:cs="Arial"/>
          <w:sz w:val="20"/>
          <w:szCs w:val="20"/>
        </w:rPr>
      </w:r>
    </w:p>
    <w:p>
      <w:pPr>
        <w:pStyle w:val="Normal"/>
        <w:spacing w:lineRule="auto" w:line="360" w:before="0" w:after="0"/>
        <w:ind w:left="646"/>
        <w:jc w:val="both"/>
        <w:rPr>
          <w:rFonts w:cs="Arial"/>
          <w:sz w:val="20"/>
          <w:szCs w:val="20"/>
        </w:rPr>
      </w:pPr>
      <w:r>
        <w:rPr>
          <w:rFonts w:cs="Arial"/>
          <w:sz w:val="20"/>
          <w:szCs w:val="20"/>
        </w:rPr>
      </w:r>
    </w:p>
    <w:p>
      <w:pPr>
        <w:pStyle w:val="Normal"/>
        <w:spacing w:lineRule="auto" w:line="360" w:before="0" w:after="0"/>
        <w:ind w:left="646"/>
        <w:jc w:val="both"/>
        <w:rPr>
          <w:rFonts w:cs="Arial"/>
          <w:sz w:val="20"/>
          <w:szCs w:val="20"/>
        </w:rPr>
      </w:pPr>
      <w:r>
        <w:rPr>
          <w:rFonts w:cs="Arial"/>
          <w:sz w:val="20"/>
          <w:szCs w:val="20"/>
        </w:rPr>
      </w:r>
    </w:p>
    <w:p>
      <w:pPr>
        <w:pStyle w:val="Normal"/>
        <w:spacing w:lineRule="auto" w:line="360" w:before="0" w:after="0"/>
        <w:ind w:left="646"/>
        <w:jc w:val="both"/>
        <w:rPr>
          <w:rFonts w:cs="Arial"/>
          <w:sz w:val="20"/>
          <w:szCs w:val="20"/>
        </w:rPr>
      </w:pPr>
      <w:r>
        <w:rPr>
          <w:rFonts w:cs="Arial"/>
          <w:sz w:val="20"/>
          <w:szCs w:val="20"/>
        </w:rPr>
      </w:r>
    </w:p>
    <w:p>
      <w:pPr>
        <w:pStyle w:val="Normal"/>
        <w:numPr>
          <w:ilvl w:val="1"/>
          <w:numId w:val="5"/>
        </w:numPr>
        <w:tabs>
          <w:tab w:val="left" w:pos="567" w:leader="none"/>
          <w:tab w:val="left" w:pos="1134" w:leader="none"/>
          <w:tab w:val="left" w:pos="1440" w:leader="none"/>
          <w:tab w:val="left" w:pos="1701" w:leader="none"/>
          <w:tab w:val="left" w:pos="5670" w:leader="none"/>
          <w:tab w:val="right" w:pos="9072" w:leader="none"/>
        </w:tabs>
        <w:jc w:val="both"/>
        <w:rPr>
          <w:rFonts w:cs="Arial"/>
          <w:sz w:val="20"/>
          <w:szCs w:val="20"/>
        </w:rPr>
      </w:pPr>
      <w:r>
        <w:rPr>
          <w:rFonts w:cs="Arial"/>
          <w:sz w:val="20"/>
          <w:szCs w:val="20"/>
        </w:rPr>
        <w:t xml:space="preserve">Licence/Right Holder: </w:t>
      </w:r>
    </w:p>
    <w:p>
      <w:pPr>
        <w:pStyle w:val="Normal"/>
        <w:tabs>
          <w:tab w:val="left" w:pos="567" w:leader="none"/>
          <w:tab w:val="left" w:pos="1134" w:leader="none"/>
          <w:tab w:val="left" w:pos="1440" w:leader="none"/>
          <w:tab w:val="left" w:pos="1701" w:leader="none"/>
          <w:tab w:val="left" w:pos="5670" w:leader="none"/>
          <w:tab w:val="right" w:pos="9072" w:leader="none"/>
        </w:tabs>
        <w:spacing w:lineRule="auto" w:line="360" w:before="0" w:after="0"/>
        <w:ind w:left="646"/>
        <w:jc w:val="both"/>
        <w:rPr>
          <w:rFonts w:cs="Arial"/>
          <w:sz w:val="20"/>
          <w:szCs w:val="20"/>
        </w:rPr>
      </w:pPr>
      <w:r>
        <w:rPr>
          <w:rFonts w:cs="Arial"/>
          <w:sz w:val="20"/>
          <w:szCs w:val="20"/>
        </w:rPr>
      </w:r>
    </w:p>
    <w:p>
      <w:pPr>
        <w:pStyle w:val="Normal"/>
        <w:tabs>
          <w:tab w:val="left" w:pos="567" w:leader="none"/>
          <w:tab w:val="left" w:pos="1134" w:leader="none"/>
          <w:tab w:val="left" w:pos="1440" w:leader="none"/>
          <w:tab w:val="left" w:pos="1701" w:leader="none"/>
          <w:tab w:val="left" w:pos="5670" w:leader="none"/>
          <w:tab w:val="right" w:pos="9072" w:leader="none"/>
        </w:tabs>
        <w:spacing w:lineRule="auto" w:line="360"/>
        <w:ind w:left="646"/>
        <w:jc w:val="both"/>
        <w:rPr>
          <w:rFonts w:cs="Arial"/>
          <w:sz w:val="20"/>
          <w:szCs w:val="20"/>
        </w:rPr>
      </w:pPr>
      <w:r>
        <w:rPr>
          <w:rFonts w:cs="Arial"/>
          <w:sz w:val="20"/>
          <w:szCs w:val="20"/>
        </w:rPr>
      </w:r>
    </w:p>
    <w:p>
      <w:pPr>
        <w:pStyle w:val="Normal"/>
        <w:numPr>
          <w:ilvl w:val="1"/>
          <w:numId w:val="5"/>
        </w:numPr>
        <w:tabs>
          <w:tab w:val="left" w:pos="567" w:leader="none"/>
          <w:tab w:val="left" w:pos="1134" w:leader="none"/>
          <w:tab w:val="left" w:pos="1440" w:leader="none"/>
          <w:tab w:val="left" w:pos="1701" w:leader="none"/>
          <w:tab w:val="left" w:pos="5670" w:leader="none"/>
          <w:tab w:val="right" w:pos="9072" w:leader="none"/>
        </w:tabs>
        <w:jc w:val="both"/>
        <w:rPr>
          <w:rFonts w:cs="Arial"/>
          <w:sz w:val="20"/>
          <w:szCs w:val="20"/>
        </w:rPr>
      </w:pPr>
      <w:r>
        <w:rPr>
          <w:rFonts w:cs="Arial"/>
          <w:sz w:val="20"/>
          <w:szCs w:val="20"/>
        </w:rPr>
        <w:t>Licence/Right Details (if possible, please paste here the restriction as worded in the license or right details):</w:t>
      </w:r>
    </w:p>
    <w:p>
      <w:pPr>
        <w:pStyle w:val="Normal"/>
        <w:tabs>
          <w:tab w:val="left" w:pos="567" w:leader="none"/>
          <w:tab w:val="left" w:pos="1134" w:leader="none"/>
          <w:tab w:val="left" w:pos="1440" w:leader="none"/>
          <w:tab w:val="left" w:pos="1701" w:leader="none"/>
          <w:tab w:val="left" w:pos="5670" w:leader="none"/>
          <w:tab w:val="right" w:pos="9072" w:leader="none"/>
        </w:tabs>
        <w:spacing w:lineRule="auto" w:line="360" w:before="0" w:after="0"/>
        <w:ind w:left="646"/>
        <w:jc w:val="both"/>
        <w:rPr>
          <w:rFonts w:cs="Arial"/>
          <w:sz w:val="20"/>
          <w:szCs w:val="20"/>
        </w:rPr>
      </w:pPr>
      <w:r>
        <w:rPr>
          <w:rFonts w:cs="Arial"/>
          <w:sz w:val="20"/>
          <w:szCs w:val="20"/>
        </w:rPr>
      </w:r>
    </w:p>
    <w:p>
      <w:pPr>
        <w:pStyle w:val="Normal"/>
        <w:tabs>
          <w:tab w:val="left" w:pos="567" w:leader="none"/>
          <w:tab w:val="left" w:pos="1134" w:leader="none"/>
          <w:tab w:val="left" w:pos="1440" w:leader="none"/>
          <w:tab w:val="left" w:pos="1701" w:leader="none"/>
          <w:tab w:val="left" w:pos="5670" w:leader="none"/>
          <w:tab w:val="right" w:pos="9072" w:leader="none"/>
        </w:tabs>
        <w:spacing w:lineRule="auto" w:line="360" w:before="0" w:after="0"/>
        <w:ind w:left="646"/>
        <w:jc w:val="both"/>
        <w:rPr>
          <w:rFonts w:cs="Arial"/>
          <w:sz w:val="20"/>
          <w:szCs w:val="20"/>
        </w:rPr>
      </w:pPr>
      <w:r>
        <w:rPr>
          <w:rFonts w:cs="Arial"/>
          <w:sz w:val="20"/>
          <w:szCs w:val="20"/>
        </w:rPr>
      </w:r>
    </w:p>
    <w:p>
      <w:pPr>
        <w:pStyle w:val="Normal"/>
        <w:spacing w:lineRule="auto" w:line="360"/>
        <w:jc w:val="both"/>
        <w:rPr>
          <w:rFonts w:cs="Arial"/>
          <w:sz w:val="20"/>
          <w:szCs w:val="20"/>
          <w:u w:val="single"/>
        </w:rPr>
      </w:pPr>
      <w:r>
        <w:rPr>
          <w:rFonts w:cs="Arial"/>
          <w:sz w:val="20"/>
          <w:szCs w:val="20"/>
          <w:u w:val="single"/>
        </w:rPr>
        <w:t>B. Other Limitations</w:t>
      </w:r>
    </w:p>
    <w:p>
      <w:pPr>
        <w:pStyle w:val="Normal"/>
        <w:jc w:val="both"/>
        <w:rPr>
          <w:rFonts w:cs="Arial"/>
          <w:sz w:val="20"/>
          <w:szCs w:val="20"/>
        </w:rPr>
      </w:pPr>
      <w:r>
        <w:rPr>
          <w:rFonts w:cs="Arial"/>
          <w:sz w:val="20"/>
          <w:szCs w:val="20"/>
        </w:rPr>
        <w:t>If any other limitations exist to the sharing of data with in the Lancet Countdown’s Europe data platform and partners (e.g. Climate and Health Observatory), please explain below.</w:t>
      </w:r>
    </w:p>
    <w:p>
      <w:pPr>
        <w:pStyle w:val="Normal"/>
        <w:spacing w:lineRule="auto" w:line="360" w:before="0" w:after="0"/>
        <w:jc w:val="both"/>
        <w:rPr>
          <w:rFonts w:cs="Arial"/>
          <w:sz w:val="20"/>
          <w:szCs w:val="20"/>
        </w:rPr>
      </w:pPr>
      <w:r>
        <w:rPr>
          <w:rFonts w:cs="Arial"/>
          <w:sz w:val="20"/>
          <w:szCs w:val="20"/>
        </w:rPr>
      </w:r>
    </w:p>
    <w:p>
      <w:pPr>
        <w:pStyle w:val="Normal"/>
        <w:spacing w:lineRule="auto" w:line="360" w:before="0" w:after="0"/>
        <w:jc w:val="both"/>
        <w:rPr>
          <w:rFonts w:cs="Arial"/>
          <w:sz w:val="20"/>
          <w:szCs w:val="20"/>
        </w:rPr>
      </w:pPr>
      <w:r>
        <w:rPr>
          <w:rFonts w:cs="Arial"/>
          <w:sz w:val="20"/>
          <w:szCs w:val="20"/>
        </w:rPr>
      </w:r>
    </w:p>
    <w:p>
      <w:pPr>
        <w:pStyle w:val="Normal"/>
        <w:spacing w:lineRule="auto" w:line="360"/>
        <w:jc w:val="both"/>
        <w:rPr>
          <w:rFonts w:cs="Arial"/>
          <w:sz w:val="20"/>
          <w:szCs w:val="20"/>
        </w:rPr>
      </w:pPr>
      <w:r>
        <w:rPr>
          <w:rFonts w:cs="Arial"/>
          <w:sz w:val="20"/>
          <w:szCs w:val="20"/>
        </w:rPr>
      </w:r>
    </w:p>
    <w:p>
      <w:pPr>
        <w:pStyle w:val="Normal"/>
        <w:jc w:val="both"/>
        <w:rPr>
          <w:rFonts w:cs="Arial"/>
          <w:sz w:val="20"/>
          <w:szCs w:val="20"/>
          <w:u w:val="single"/>
        </w:rPr>
      </w:pPr>
      <w:r>
        <w:rPr>
          <w:rFonts w:cs="Arial"/>
          <w:sz w:val="20"/>
          <w:szCs w:val="20"/>
          <w:u w:val="single"/>
        </w:rPr>
      </w:r>
    </w:p>
    <w:p>
      <w:pPr>
        <w:pStyle w:val="Normal"/>
        <w:jc w:val="both"/>
        <w:rPr>
          <w:rFonts w:cs="Arial"/>
          <w:b/>
          <w:bCs/>
          <w:sz w:val="20"/>
          <w:szCs w:val="20"/>
          <w:u w:val="single"/>
        </w:rPr>
      </w:pPr>
      <w:r>
        <w:rPr>
          <w:rFonts w:cs="Arial"/>
          <w:b/>
          <w:bCs/>
          <w:sz w:val="20"/>
          <w:szCs w:val="20"/>
          <w:u w:val="single"/>
        </w:rPr>
        <w:t>4.   Additional Comments</w:t>
      </w:r>
    </w:p>
    <w:p>
      <w:pPr>
        <w:pStyle w:val="Normal"/>
        <w:jc w:val="both"/>
        <w:rPr>
          <w:rFonts w:cs="Arial"/>
          <w:sz w:val="20"/>
          <w:szCs w:val="20"/>
        </w:rPr>
      </w:pPr>
      <w:r>
        <w:rPr>
          <w:rFonts w:cs="Arial"/>
          <w:sz w:val="20"/>
          <w:szCs w:val="20"/>
        </w:rPr>
        <w:t>Please provide any additional comments or information that may be relevant to the impediments to data sharing.</w:t>
      </w:r>
    </w:p>
    <w:p>
      <w:pPr>
        <w:pStyle w:val="Normal"/>
        <w:spacing w:lineRule="auto" w:line="360" w:before="0" w:after="0"/>
        <w:jc w:val="both"/>
        <w:rPr>
          <w:rFonts w:cs="Arial"/>
          <w:sz w:val="20"/>
          <w:szCs w:val="20"/>
        </w:rPr>
      </w:pPr>
      <w:r>
        <w:rPr>
          <w:rFonts w:cs="Arial"/>
          <w:sz w:val="20"/>
          <w:szCs w:val="20"/>
        </w:rPr>
      </w:r>
    </w:p>
    <w:p>
      <w:pPr>
        <w:pStyle w:val="Normal"/>
        <w:spacing w:lineRule="auto" w:line="360" w:before="0" w:after="0"/>
        <w:jc w:val="both"/>
        <w:rPr>
          <w:rFonts w:cs="Arial"/>
          <w:sz w:val="20"/>
          <w:szCs w:val="20"/>
        </w:rPr>
      </w:pPr>
      <w:r>
        <w:rPr>
          <w:rFonts w:cs="Arial"/>
          <w:sz w:val="20"/>
          <w:szCs w:val="20"/>
        </w:rPr>
      </w:r>
    </w:p>
    <w:p>
      <w:pPr>
        <w:pStyle w:val="Normal"/>
        <w:spacing w:lineRule="auto" w:line="360" w:before="0" w:after="0"/>
        <w:jc w:val="both"/>
        <w:rPr>
          <w:rFonts w:cs="Arial"/>
          <w:sz w:val="20"/>
          <w:szCs w:val="20"/>
        </w:rPr>
      </w:pPr>
      <w:r>
        <w:rPr>
          <w:rFonts w:cs="Arial"/>
          <w:sz w:val="20"/>
          <w:szCs w:val="20"/>
        </w:rPr>
      </w:r>
    </w:p>
    <w:p>
      <w:pPr>
        <w:pStyle w:val="Normal"/>
        <w:spacing w:lineRule="auto" w:line="360"/>
        <w:jc w:val="both"/>
        <w:rPr>
          <w:rFonts w:cs="Arial"/>
          <w:sz w:val="20"/>
          <w:szCs w:val="20"/>
        </w:rPr>
      </w:pPr>
      <w:r>
        <w:rPr>
          <w:rFonts w:cs="Arial"/>
          <w:sz w:val="20"/>
          <w:szCs w:val="20"/>
        </w:rPr>
      </w:r>
    </w:p>
    <w:p>
      <w:pPr>
        <w:pStyle w:val="Normal"/>
        <w:spacing w:before="0" w:after="240"/>
        <w:jc w:val="both"/>
        <w:rPr>
          <w:rFonts w:cs="Arial"/>
          <w:b/>
          <w:bCs/>
          <w:sz w:val="20"/>
          <w:szCs w:val="20"/>
        </w:rPr>
      </w:pPr>
      <w:r>
        <w:rPr>
          <w:rFonts w:cs="Arial"/>
          <w:b/>
          <w:bCs/>
          <w:sz w:val="20"/>
          <w:szCs w:val="20"/>
        </w:rPr>
      </w:r>
    </w:p>
    <w:sectPr>
      <w:footerReference w:type="even" r:id="rId5"/>
      <w:footerReference w:type="default" r:id="rId6"/>
      <w:footerReference w:type="first" r:id="rId7"/>
      <w:type w:val="nextPage"/>
      <w:pgSz w:w="11906" w:h="16838"/>
      <w:pgMar w:left="1800" w:right="1800" w:gutter="0" w:header="0" w:top="1440" w:footer="708"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edi Katre Kriit" w:date="2025-10-21T14:14:00Z" w:initials="HK">
    <w:p>
      <w:pPr>
        <w:overflowPunct w:val="true"/>
        <w:spacing w:before="0" w:after="0"/>
        <w:rPr/>
      </w:pPr>
      <w:r>
        <w:rPr>
          <w:rFonts w:ascii="Liberation Serif" w:hAnsi="Liberation Serif" w:eastAsia="DejaVu Sans" w:cs="Noto Sans Arabic"/>
          <w:sz w:val="20"/>
          <w:szCs w:val="20"/>
          <w:lang w:val="en-US" w:eastAsia="en-US" w:bidi="en-US"/>
        </w:rPr>
        <w:t xml:space="preserve">for Europe, ask for a premission to share with the EEA.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ourier New">
    <w:charset w:val="01"/>
    <w:family w:val="roman"/>
    <w:pitch w:val="variable"/>
  </w:font>
  <w:font w:name="Calibri">
    <w:altName w:val="sans-serif"/>
    <w:charset w:val="01"/>
    <w:family w:val="auto"/>
    <w:pitch w:val="default"/>
  </w:font>
  <w:font w:name="Wingdings 2">
    <w:charset w:val="02"/>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spacing w:before="24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spacing w:before="24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right="360"/>
      <w:jc w:val="left"/>
      <w:rPr>
        <w:i/>
        <w:i/>
        <w:sz w:val="16"/>
        <w:szCs w:val="16"/>
      </w:rPr>
    </w:pPr>
    <w:r>
      <w:rPr>
        <w:i/>
        <w:sz w:val="16"/>
        <w:szCs w:val="16"/>
      </w:rPr>
      <mc:AlternateContent>
        <mc:Choice Requires="wps">
          <w:drawing>
            <wp:anchor behindDoc="1" distT="0" distB="0" distL="0" distR="0" simplePos="0" locked="0" layoutInCell="0" allowOverlap="1" relativeHeight="10">
              <wp:simplePos x="0" y="0"/>
              <wp:positionH relativeFrom="margin">
                <wp:align>right</wp:align>
              </wp:positionH>
              <wp:positionV relativeFrom="paragraph">
                <wp:posOffset>635</wp:posOffset>
              </wp:positionV>
              <wp:extent cx="78105" cy="311785"/>
              <wp:effectExtent l="0" t="0" r="0" b="0"/>
              <wp:wrapSquare wrapText="bothSides"/>
              <wp:docPr id="2" name="Frame2"/>
              <a:graphic xmlns:a="http://schemas.openxmlformats.org/drawingml/2006/main">
                <a:graphicData uri="http://schemas.microsoft.com/office/word/2010/wordprocessingShape">
                  <wps:wsp>
                    <wps:cNvSpPr/>
                    <wps:spPr>
                      <a:xfrm>
                        <a:off x="0" y="0"/>
                        <a:ext cx="78120" cy="311760"/>
                      </a:xfrm>
                      <a:prstGeom prst="rect">
                        <a:avLst/>
                      </a:prstGeom>
                      <a:noFill/>
                      <a:ln w="0">
                        <a:noFill/>
                      </a:ln>
                    </wps:spPr>
                    <wps:style>
                      <a:lnRef idx="0"/>
                      <a:fillRef idx="0"/>
                      <a:effectRef idx="0"/>
                      <a:fontRef idx="minor"/>
                    </wps:style>
                    <wps:txbx>
                      <w:txbxContent>
                        <w:p>
                          <w:pPr>
                            <w:pStyle w:val="Footer"/>
                            <w:spacing w:before="24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09.05pt;margin-top:0.05pt;width:6.1pt;height:24.5pt;mso-wrap-style:square;v-text-anchor:top;mso-position-horizontal:right;mso-position-horizontal-relative:margin">
              <v:fill o:detectmouseclick="t" type="solid" color2="black" opacity="0"/>
              <v:stroke color="#3465a4" joinstyle="round" endcap="flat"/>
              <v:textbox>
                <w:txbxContent>
                  <w:p>
                    <w:pPr>
                      <w:pStyle w:val="Footer"/>
                      <w:spacing w:before="24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w:rPr>
        <w:i/>
        <w:sz w:val="16"/>
        <w:szCs w:val="16"/>
      </w:rPr>
      <w:t>Lancet Countdown Contributor Agreement 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right="360"/>
      <w:jc w:val="left"/>
      <w:rPr>
        <w:i/>
        <w:i/>
        <w:sz w:val="16"/>
        <w:szCs w:val="16"/>
      </w:rPr>
    </w:pPr>
    <w:r>
      <w:rPr>
        <w:i/>
        <w:sz w:val="16"/>
        <w:szCs w:val="16"/>
      </w:rPr>
      <mc:AlternateContent>
        <mc:Choice Requires="wps">
          <w:drawing>
            <wp:anchor behindDoc="1" distT="0" distB="0" distL="0" distR="0" simplePos="0" locked="0" layoutInCell="0" allowOverlap="1" relativeHeight="10">
              <wp:simplePos x="0" y="0"/>
              <wp:positionH relativeFrom="margin">
                <wp:align>right</wp:align>
              </wp:positionH>
              <wp:positionV relativeFrom="paragraph">
                <wp:posOffset>635</wp:posOffset>
              </wp:positionV>
              <wp:extent cx="78105" cy="311785"/>
              <wp:effectExtent l="0" t="0" r="0" b="0"/>
              <wp:wrapSquare wrapText="bothSides"/>
              <wp:docPr id="3" name="Frame2"/>
              <a:graphic xmlns:a="http://schemas.openxmlformats.org/drawingml/2006/main">
                <a:graphicData uri="http://schemas.microsoft.com/office/word/2010/wordprocessingShape">
                  <wps:wsp>
                    <wps:cNvSpPr/>
                    <wps:spPr>
                      <a:xfrm>
                        <a:off x="0" y="0"/>
                        <a:ext cx="78120" cy="311760"/>
                      </a:xfrm>
                      <a:prstGeom prst="rect">
                        <a:avLst/>
                      </a:prstGeom>
                      <a:noFill/>
                      <a:ln w="0">
                        <a:noFill/>
                      </a:ln>
                    </wps:spPr>
                    <wps:style>
                      <a:lnRef idx="0"/>
                      <a:fillRef idx="0"/>
                      <a:effectRef idx="0"/>
                      <a:fontRef idx="minor"/>
                    </wps:style>
                    <wps:txbx>
                      <w:txbxContent>
                        <w:p>
                          <w:pPr>
                            <w:pStyle w:val="Footer"/>
                            <w:spacing w:before="24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09.05pt;margin-top:0.05pt;width:6.1pt;height:24.5pt;mso-wrap-style:square;v-text-anchor:top;mso-position-horizontal:right;mso-position-horizontal-relative:margin">
              <v:fill o:detectmouseclick="t" type="solid" color2="black" opacity="0"/>
              <v:stroke color="#3465a4" joinstyle="round" endcap="flat"/>
              <v:textbox>
                <w:txbxContent>
                  <w:p>
                    <w:pPr>
                      <w:pStyle w:val="Footer"/>
                      <w:spacing w:before="24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w:rPr>
        <w:i/>
        <w:sz w:val="16"/>
        <w:szCs w:val="16"/>
      </w:rPr>
      <w:t>Lancet Countdown Contributor Agreement 2025</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720"/>
        </w:tabs>
        <w:ind w:left="0" w:hanging="0"/>
      </w:pPr>
      <w:rPr>
        <w:rFonts w:ascii="Wingdings 2" w:hAnsi="Wingdings 2" w:cs="Wingdings 2" w:hint="default"/>
        <w:sz w:val="4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567"/>
        </w:tabs>
        <w:ind w:left="567" w:hanging="567"/>
      </w:pPr>
      <w:rPr>
        <w:rFonts w:ascii="Symbol" w:hAnsi="Symbol" w:cs="Symbol" w:hint="default"/>
        <w:sz w:val="20"/>
        <w:color w:val="auto"/>
      </w:rPr>
    </w:lvl>
    <w:lvl w:ilvl="1">
      <w:start w:val="1"/>
      <w:numFmt w:val="none"/>
      <w:suff w:val="nothing"/>
      <w:lvlText w:val=""/>
      <w:lvlJc w:val="left"/>
      <w:pPr>
        <w:tabs>
          <w:tab w:val="num" w:pos="0"/>
        </w:tabs>
        <w:ind w:left="567" w:hanging="0"/>
      </w:pPr>
      <w:rPr>
        <w:color w:val="auto"/>
      </w:rPr>
    </w:lvl>
    <w:lvl w:ilvl="2">
      <w:start w:val="1"/>
      <w:numFmt w:val="bullet"/>
      <w:lvlText w:val=""/>
      <w:lvlJc w:val="left"/>
      <w:pPr>
        <w:tabs>
          <w:tab w:val="num" w:pos="1134"/>
        </w:tabs>
        <w:ind w:left="1134" w:hanging="567"/>
      </w:pPr>
      <w:rPr>
        <w:rFonts w:ascii="Symbol" w:hAnsi="Symbol" w:cs="Symbol" w:hint="default"/>
        <w:color w:val="auto"/>
      </w:rPr>
    </w:lvl>
    <w:lvl w:ilvl="3">
      <w:start w:val="1"/>
      <w:numFmt w:val="none"/>
      <w:suff w:val="nothing"/>
      <w:lvlText w:val=""/>
      <w:lvlJc w:val="left"/>
      <w:pPr>
        <w:tabs>
          <w:tab w:val="num" w:pos="0"/>
        </w:tabs>
        <w:ind w:left="1134" w:hanging="0"/>
      </w:pPr>
      <w:rPr>
        <w:color w:val="auto"/>
      </w:rPr>
    </w:lvl>
    <w:lvl w:ilvl="4">
      <w:start w:val="1"/>
      <w:numFmt w:val="none"/>
      <w:suff w:val="nothing"/>
      <w:lvlText w:val=""/>
      <w:lvlJc w:val="left"/>
      <w:pPr>
        <w:tabs>
          <w:tab w:val="num" w:pos="0"/>
        </w:tabs>
        <w:ind w:left="0" w:hanging="0"/>
      </w:pPr>
      <w:rPr>
        <w:color w:val="auto"/>
      </w:rPr>
    </w:lvl>
    <w:lvl w:ilvl="5">
      <w:start w:val="1"/>
      <w:numFmt w:val="none"/>
      <w:suff w:val="nothing"/>
      <w:lvlText w:val=""/>
      <w:lvlJc w:val="left"/>
      <w:pPr>
        <w:tabs>
          <w:tab w:val="num" w:pos="0"/>
        </w:tabs>
        <w:ind w:left="0" w:hanging="0"/>
      </w:pPr>
      <w:rPr>
        <w:color w:val="auto"/>
      </w:rPr>
    </w:lvl>
    <w:lvl w:ilvl="6">
      <w:start w:val="1"/>
      <w:numFmt w:val="none"/>
      <w:suff w:val="nothing"/>
      <w:lvlText w:val=""/>
      <w:lvlJc w:val="left"/>
      <w:pPr>
        <w:tabs>
          <w:tab w:val="num" w:pos="0"/>
        </w:tabs>
        <w:ind w:left="0" w:hanging="0"/>
      </w:pPr>
      <w:rPr>
        <w:color w:val="auto"/>
      </w:rPr>
    </w:lvl>
    <w:lvl w:ilvl="7">
      <w:start w:val="1"/>
      <w:numFmt w:val="none"/>
      <w:suff w:val="nothing"/>
      <w:lvlText w:val=""/>
      <w:lvlJc w:val="left"/>
      <w:pPr>
        <w:tabs>
          <w:tab w:val="num" w:pos="0"/>
        </w:tabs>
        <w:ind w:left="0" w:hanging="0"/>
      </w:pPr>
      <w:rPr>
        <w:color w:val="auto"/>
      </w:rPr>
    </w:lvl>
    <w:lvl w:ilvl="8">
      <w:start w:val="1"/>
      <w:numFmt w:val="none"/>
      <w:suff w:val="nothing"/>
      <w:lvlText w:val=""/>
      <w:lvlJc w:val="left"/>
      <w:pPr>
        <w:tabs>
          <w:tab w:val="num" w:pos="0"/>
        </w:tabs>
        <w:ind w:left="0" w:hanging="0"/>
      </w:pPr>
      <w:rPr>
        <w:color w:val="auto"/>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644"/>
        </w:tabs>
        <w:ind w:left="644" w:hanging="360"/>
      </w:pPr>
      <w:rPr>
        <w:rFonts w:ascii="Symbol" w:hAnsi="Symbol" w:cs="Symbol" w:hint="default"/>
        <w:sz w:val="20"/>
      </w:rPr>
    </w:lvl>
    <w:lvl w:ilvl="2">
      <w:start w:val="1"/>
      <w:numFmt w:val="bullet"/>
      <w:lvlText w:val=""/>
      <w:lvlJc w:val="left"/>
      <w:pPr>
        <w:tabs>
          <w:tab w:val="num" w:pos="1800"/>
        </w:tabs>
        <w:ind w:left="1800" w:hanging="360"/>
      </w:pPr>
      <w:rPr>
        <w:rFonts w:ascii="Symbol" w:hAnsi="Symbol" w:cs="Symbol" w:hint="default"/>
        <w:sz w:val="20"/>
      </w:rPr>
    </w:lvl>
    <w:lvl w:ilvl="3">
      <w:start w:val="1"/>
      <w:numFmt w:val="bullet"/>
      <w:lvlText w:val=""/>
      <w:lvlJc w:val="left"/>
      <w:pPr>
        <w:tabs>
          <w:tab w:val="num" w:pos="2520"/>
        </w:tabs>
        <w:ind w:left="2520" w:hanging="360"/>
      </w:pPr>
      <w:rPr>
        <w:rFonts w:ascii="Symbol" w:hAnsi="Symbol" w:cs="Symbol" w:hint="default"/>
        <w:sz w:val="20"/>
      </w:rPr>
    </w:lvl>
    <w:lvl w:ilvl="4">
      <w:start w:val="1"/>
      <w:numFmt w:val="bullet"/>
      <w:lvlText w:val=""/>
      <w:lvlJc w:val="left"/>
      <w:pPr>
        <w:tabs>
          <w:tab w:val="num" w:pos="3240"/>
        </w:tabs>
        <w:ind w:left="3240" w:hanging="360"/>
      </w:pPr>
      <w:rPr>
        <w:rFonts w:ascii="Symbol" w:hAnsi="Symbol" w:cs="Symbol" w:hint="default"/>
        <w:sz w:val="20"/>
      </w:rPr>
    </w:lvl>
    <w:lvl w:ilvl="5">
      <w:start w:val="1"/>
      <w:numFmt w:val="bullet"/>
      <w:lvlText w:val=""/>
      <w:lvlJc w:val="left"/>
      <w:pPr>
        <w:tabs>
          <w:tab w:val="num" w:pos="3960"/>
        </w:tabs>
        <w:ind w:left="3960" w:hanging="360"/>
      </w:pPr>
      <w:rPr>
        <w:rFonts w:ascii="Symbol" w:hAnsi="Symbol" w:cs="Symbol" w:hint="default"/>
        <w:sz w:val="20"/>
      </w:rPr>
    </w:lvl>
    <w:lvl w:ilvl="6">
      <w:start w:val="1"/>
      <w:numFmt w:val="bullet"/>
      <w:lvlText w:val=""/>
      <w:lvlJc w:val="left"/>
      <w:pPr>
        <w:tabs>
          <w:tab w:val="num" w:pos="4680"/>
        </w:tabs>
        <w:ind w:left="4680" w:hanging="360"/>
      </w:pPr>
      <w:rPr>
        <w:rFonts w:ascii="Symbol" w:hAnsi="Symbol" w:cs="Symbol" w:hint="default"/>
        <w:sz w:val="20"/>
      </w:rPr>
    </w:lvl>
    <w:lvl w:ilvl="7">
      <w:start w:val="1"/>
      <w:numFmt w:val="bullet"/>
      <w:lvlText w:val=""/>
      <w:lvlJc w:val="left"/>
      <w:pPr>
        <w:tabs>
          <w:tab w:val="num" w:pos="5400"/>
        </w:tabs>
        <w:ind w:left="5400" w:hanging="360"/>
      </w:pPr>
      <w:rPr>
        <w:rFonts w:ascii="Symbol" w:hAnsi="Symbol" w:cs="Symbol" w:hint="default"/>
        <w:sz w:val="20"/>
      </w:rPr>
    </w:lvl>
    <w:lvl w:ilvl="8">
      <w:start w:val="1"/>
      <w:numFmt w:val="bullet"/>
      <w:lvlText w:val=""/>
      <w:lvlJc w:val="left"/>
      <w:pPr>
        <w:tabs>
          <w:tab w:val="num" w:pos="6120"/>
        </w:tabs>
        <w:ind w:left="6120" w:hanging="360"/>
      </w:pPr>
      <w:rPr>
        <w:rFonts w:ascii="Symbol" w:hAnsi="Symbol" w:cs="Symbol" w:hint="default"/>
        <w:sz w:val="20"/>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bullet"/>
      <w:lvlText w:val=""/>
      <w:lvlJc w:val="left"/>
      <w:pPr>
        <w:tabs>
          <w:tab w:val="num" w:pos="0"/>
        </w:tabs>
        <w:ind w:left="1080" w:hanging="360"/>
      </w:pPr>
      <w:rPr>
        <w:rFonts w:ascii="Symbol" w:hAnsi="Symbol" w:cs="Symbol" w:hint="default"/>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bullet"/>
      <w:lvlText w:val=""/>
      <w:lvlJc w:val="left"/>
      <w:pPr>
        <w:tabs>
          <w:tab w:val="num" w:pos="0"/>
        </w:tabs>
        <w:ind w:left="720" w:hanging="360"/>
      </w:pPr>
      <w:rPr>
        <w:rFonts w:ascii="Symbol" w:hAnsi="Symbol" w:cs="Symbol" w:hint="default"/>
        <w:sz w:val="32"/>
        <w:b/>
        <w:szCs w:val="32"/>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360" w:hanging="360"/>
      </w:pPr>
      <w:rPr/>
    </w:lvl>
    <w:lvl w:ilvl="1">
      <w:start w:val="5"/>
      <w:numFmt w:val="decimal"/>
      <w:lvlText w:val="%1.%2"/>
      <w:lvlJc w:val="left"/>
      <w:pPr>
        <w:tabs>
          <w:tab w:val="num" w:pos="0"/>
        </w:tabs>
        <w:ind w:left="720" w:hanging="360"/>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1800" w:hanging="72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2880" w:hanging="108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3960" w:hanging="1440"/>
      </w:pPr>
      <w:rPr/>
    </w:lvl>
    <w:lvl w:ilvl="8">
      <w:start w:val="1"/>
      <w:numFmt w:val="decimal"/>
      <w:lvlText w:val="%1.%2.%3.%4.%5.%6.%7.%8.%9"/>
      <w:lvlJc w:val="left"/>
      <w:pPr>
        <w:tabs>
          <w:tab w:val="num" w:pos="0"/>
        </w:tabs>
        <w:ind w:left="4680" w:hanging="180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567"/>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0453"/>
    <w:pPr>
      <w:widowControl/>
      <w:tabs>
        <w:tab w:val="left" w:pos="567" w:leader="none"/>
        <w:tab w:val="left" w:pos="1134" w:leader="none"/>
        <w:tab w:val="left" w:pos="1701" w:leader="none"/>
        <w:tab w:val="left" w:pos="5670" w:leader="none"/>
        <w:tab w:val="right" w:pos="9072" w:leader="none"/>
      </w:tabs>
      <w:suppressAutoHyphens w:val="true"/>
      <w:bidi w:val="0"/>
      <w:spacing w:before="0" w:after="240"/>
      <w:jc w:val="left"/>
    </w:pPr>
    <w:rPr>
      <w:rFonts w:ascii="Arial" w:hAnsi="Arial" w:eastAsia="Times New Roman" w:cs="Times New Roman"/>
      <w:color w:val="auto"/>
      <w:kern w:val="0"/>
      <w:sz w:val="22"/>
      <w:szCs w:val="24"/>
      <w:lang w:val="en-GB" w:eastAsia="en-US" w:bidi="ar-SA"/>
    </w:rPr>
  </w:style>
  <w:style w:type="paragraph" w:styleId="Heading1">
    <w:name w:val="Heading 1"/>
    <w:basedOn w:val="Normal"/>
    <w:next w:val="Normal"/>
    <w:qFormat/>
    <w:pPr>
      <w:keepNext w:val="true"/>
      <w:spacing w:before="360" w:after="120"/>
      <w:outlineLvl w:val="0"/>
    </w:pPr>
    <w:rPr>
      <w:rFonts w:cs="Arial"/>
      <w:b/>
      <w:bCs/>
      <w:caps/>
      <w:kern w:val="2"/>
      <w:szCs w:val="32"/>
    </w:rPr>
  </w:style>
  <w:style w:type="paragraph" w:styleId="Heading2">
    <w:name w:val="Heading 2"/>
    <w:basedOn w:val="Normal"/>
    <w:next w:val="Normal"/>
    <w:qFormat/>
    <w:pPr>
      <w:keepNext w:val="true"/>
      <w:spacing w:before="240" w:after="120"/>
      <w:outlineLvl w:val="1"/>
    </w:pPr>
    <w:rPr>
      <w:rFonts w:cs="Arial"/>
      <w:b/>
      <w:bCs/>
      <w:iCs/>
      <w:szCs w:val="28"/>
    </w:rPr>
  </w:style>
  <w:style w:type="paragraph" w:styleId="Heading3">
    <w:name w:val="Heading 3"/>
    <w:basedOn w:val="Normal"/>
    <w:next w:val="Normal"/>
    <w:qFormat/>
    <w:pPr>
      <w:keepNext w:val="true"/>
      <w:spacing w:before="240" w:after="120"/>
      <w:outlineLvl w:val="2"/>
    </w:pPr>
    <w:rPr>
      <w:rFonts w:cs="Arial"/>
      <w:bCs/>
      <w:i/>
      <w:szCs w:val="26"/>
    </w:rPr>
  </w:style>
  <w:style w:type="paragraph" w:styleId="Heading4">
    <w:name w:val="Heading 4"/>
    <w:basedOn w:val="Normal"/>
    <w:next w:val="Normal"/>
    <w:qFormat/>
    <w:pPr>
      <w:keepNext w:val="true"/>
      <w:spacing w:before="240" w:after="60"/>
      <w:outlineLvl w:val="3"/>
    </w:pPr>
    <w:rPr>
      <w:b/>
      <w:bCs/>
      <w:sz w:val="26"/>
      <w:szCs w:val="28"/>
    </w:rPr>
  </w:style>
  <w:style w:type="paragraph" w:styleId="Heading5">
    <w:name w:val="Heading 5"/>
    <w:basedOn w:val="Normal"/>
    <w:next w:val="Normal"/>
    <w:qFormat/>
    <w:pPr>
      <w:spacing w:before="240" w:after="60"/>
      <w:outlineLvl w:val="4"/>
    </w:pPr>
    <w:rPr>
      <w:b/>
      <w:bCs/>
      <w:i/>
      <w:iCs/>
      <w:sz w:val="24"/>
      <w:szCs w:val="26"/>
    </w:rPr>
  </w:style>
  <w:style w:type="paragraph" w:styleId="Heading6">
    <w:name w:val="Heading 6"/>
    <w:basedOn w:val="Normal"/>
    <w:next w:val="Normal"/>
    <w:qFormat/>
    <w:pPr>
      <w:spacing w:before="240" w:after="60"/>
      <w:outlineLvl w:val="5"/>
    </w:pPr>
    <w:rPr>
      <w:b/>
      <w:bCs/>
      <w:sz w:val="20"/>
      <w:szCs w:val="22"/>
    </w:rPr>
  </w:style>
  <w:style w:type="paragraph" w:styleId="Heading7">
    <w:name w:val="Heading 7"/>
    <w:basedOn w:val="Normal"/>
    <w:next w:val="Normal"/>
    <w:qFormat/>
    <w:pPr>
      <w:spacing w:before="240" w:after="60"/>
      <w:outlineLvl w:val="6"/>
    </w:pPr>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0"/>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semiHidden/>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TickBox" w:customStyle="1">
    <w:name w:val="TickBox"/>
    <w:basedOn w:val="DefaultParagraphFont"/>
    <w:qFormat/>
    <w:rPr/>
  </w:style>
  <w:style w:type="character" w:styleId="LinkMail" w:customStyle="1">
    <w:name w:val="LinkMail"/>
    <w:qFormat/>
    <w:rPr>
      <w:color w:val="FF0000"/>
    </w:rPr>
  </w:style>
  <w:style w:type="character" w:styleId="LinkWeb" w:customStyle="1">
    <w:name w:val="LinkWeb"/>
    <w:qFormat/>
    <w:rPr>
      <w:color w:val="0000FF"/>
    </w:rPr>
  </w:style>
  <w:style w:type="character" w:styleId="WebHidden" w:customStyle="1">
    <w:name w:val="WebHidden"/>
    <w:basedOn w:val="DefaultParagraphFont"/>
    <w:qFormat/>
    <w:rPr/>
  </w:style>
  <w:style w:type="character" w:styleId="WebNoPrint" w:customStyle="1">
    <w:name w:val="WebNoPrint"/>
    <w:qFormat/>
    <w:rPr>
      <w:color w:val="993300"/>
    </w:rPr>
  </w:style>
  <w:style w:type="character" w:styleId="WebPrintOnly" w:customStyle="1">
    <w:name w:val="WebPrintOnly"/>
    <w:qFormat/>
    <w:rPr>
      <w:color w:val="993300"/>
    </w:rPr>
  </w:style>
  <w:style w:type="character" w:styleId="WebSmallFont" w:customStyle="1">
    <w:name w:val="WebSmallFont"/>
    <w:qFormat/>
    <w:rPr>
      <w:color w:val="993300"/>
      <w:sz w:val="20"/>
    </w:rPr>
  </w:style>
  <w:style w:type="character" w:styleId="WebPicText" w:customStyle="1">
    <w:name w:val="WebPicText"/>
    <w:qFormat/>
    <w:rPr>
      <w:color w:val="993300"/>
      <w:sz w:val="20"/>
    </w:rPr>
  </w:style>
  <w:style w:type="character" w:styleId="Hyperlink">
    <w:name w:val="Hyperlink"/>
    <w:semiHidden/>
    <w:rPr>
      <w:color w:val="0000FF"/>
      <w:u w:val="single"/>
    </w:rPr>
  </w:style>
  <w:style w:type="character" w:styleId="WebOnlyWordHidden" w:customStyle="1">
    <w:name w:val="WebOnlyWordHidden"/>
    <w:qFormat/>
    <w:rPr>
      <w:vanish/>
      <w:color w:val="FF00FF"/>
    </w:rPr>
  </w:style>
  <w:style w:type="character" w:styleId="WebLargeFont" w:customStyle="1">
    <w:name w:val="WebLargeFont"/>
    <w:qFormat/>
    <w:rPr>
      <w:color w:val="993300"/>
      <w:sz w:val="32"/>
    </w:rPr>
  </w:style>
  <w:style w:type="character" w:styleId="FollowedHyperlink">
    <w:name w:val="FollowedHyperlink"/>
    <w:semiHidden/>
    <w:rPr>
      <w:color w:val="800080"/>
      <w:u w:val="single"/>
    </w:rPr>
  </w:style>
  <w:style w:type="character" w:styleId="BallongtextChar" w:customStyle="1">
    <w:name w:val="Ballongtext Char"/>
    <w:link w:val="BalloonText"/>
    <w:uiPriority w:val="99"/>
    <w:semiHidden/>
    <w:qFormat/>
    <w:rsid w:val="00ba5ce3"/>
    <w:rPr>
      <w:rFonts w:ascii="Tahoma" w:hAnsi="Tahoma" w:cs="Tahoma"/>
      <w:sz w:val="16"/>
      <w:szCs w:val="16"/>
      <w:lang w:eastAsia="en-US"/>
    </w:rPr>
  </w:style>
  <w:style w:type="character" w:styleId="SidhuvudChar" w:customStyle="1">
    <w:name w:val="Sidhuvud Char"/>
    <w:link w:val="Header"/>
    <w:uiPriority w:val="99"/>
    <w:qFormat/>
    <w:rsid w:val="00ca3271"/>
    <w:rPr>
      <w:rFonts w:ascii="Arial" w:hAnsi="Arial"/>
      <w:sz w:val="22"/>
      <w:szCs w:val="24"/>
      <w:lang w:eastAsia="en-US"/>
    </w:rPr>
  </w:style>
  <w:style w:type="character" w:styleId="annotationreference">
    <w:name w:val="annotation reference"/>
    <w:basedOn w:val="DefaultParagraphFont"/>
    <w:uiPriority w:val="99"/>
    <w:semiHidden/>
    <w:unhideWhenUsed/>
    <w:qFormat/>
    <w:rsid w:val="00933058"/>
    <w:rPr>
      <w:sz w:val="16"/>
      <w:szCs w:val="16"/>
    </w:rPr>
  </w:style>
  <w:style w:type="character" w:styleId="KommentarerChar" w:customStyle="1">
    <w:name w:val="Kommentarer Char"/>
    <w:basedOn w:val="DefaultParagraphFont"/>
    <w:link w:val="AnnotationText"/>
    <w:uiPriority w:val="99"/>
    <w:qFormat/>
    <w:rsid w:val="00933058"/>
    <w:rPr>
      <w:rFonts w:ascii="Arial" w:hAnsi="Arial"/>
      <w:lang w:eastAsia="en-US"/>
    </w:rPr>
  </w:style>
  <w:style w:type="character" w:styleId="KommentarsmneChar" w:customStyle="1">
    <w:name w:val="Kommentarsämne Char"/>
    <w:basedOn w:val="KommentarerChar"/>
    <w:link w:val="annotationsubject"/>
    <w:uiPriority w:val="99"/>
    <w:semiHidden/>
    <w:qFormat/>
    <w:rsid w:val="00933058"/>
    <w:rPr>
      <w:rFonts w:ascii="Arial" w:hAnsi="Arial"/>
      <w:b/>
      <w:bCs/>
      <w:lang w:eastAsia="en-US"/>
    </w:rPr>
  </w:style>
  <w:style w:type="character" w:styleId="UnresolvedMention">
    <w:name w:val="Unresolved Mention"/>
    <w:basedOn w:val="DefaultParagraphFont"/>
    <w:uiPriority w:val="99"/>
    <w:semiHidden/>
    <w:unhideWhenUsed/>
    <w:qFormat/>
    <w:rsid w:val="004a5a49"/>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idden" w:customStyle="1">
    <w:name w:val="Hidden"/>
    <w:basedOn w:val="Normal"/>
    <w:qFormat/>
    <w:pPr>
      <w:widowControl w:val="false"/>
      <w:pBdr>
        <w:left w:val="double" w:sz="4" w:space="4" w:color="000000"/>
        <w:bottom w:val="double" w:sz="4" w:space="1" w:color="000000"/>
        <w:right w:val="double" w:sz="4" w:space="4" w:color="000000"/>
      </w:pBdr>
      <w:shd w:val="clear" w:color="auto" w:fill="FFFFFF"/>
      <w:suppressAutoHyphens w:val="true"/>
      <w:spacing w:before="0" w:after="0"/>
    </w:pPr>
    <w:rPr>
      <w:i/>
      <w:vanish/>
      <w:color w:val="0000FF"/>
    </w:rPr>
  </w:style>
  <w:style w:type="paragraph" w:styleId="HeaderandFooter">
    <w:name w:val="Header and Footer"/>
    <w:basedOn w:val="Normal"/>
    <w:qFormat/>
    <w:pPr/>
    <w:rPr/>
  </w:style>
  <w:style w:type="paragraph" w:styleId="Header">
    <w:name w:val="Header"/>
    <w:basedOn w:val="Normal"/>
    <w:link w:val="SidhuvudChar"/>
    <w:uiPriority w:val="99"/>
    <w:pPr>
      <w:tabs>
        <w:tab w:val="clear" w:pos="567"/>
        <w:tab w:val="clear" w:pos="1134"/>
        <w:tab w:val="left" w:pos="1701" w:leader="none"/>
        <w:tab w:val="left" w:pos="5670" w:leader="none"/>
        <w:tab w:val="right" w:pos="9072" w:leader="none"/>
      </w:tabs>
      <w:jc w:val="center"/>
    </w:pPr>
    <w:rPr/>
  </w:style>
  <w:style w:type="paragraph" w:styleId="Footer">
    <w:name w:val="Footer"/>
    <w:basedOn w:val="Normal"/>
    <w:semiHidden/>
    <w:pPr>
      <w:tabs>
        <w:tab w:val="clear" w:pos="567"/>
        <w:tab w:val="clear" w:pos="1134"/>
        <w:tab w:val="left" w:pos="1701" w:leader="none"/>
        <w:tab w:val="left" w:pos="5670" w:leader="none"/>
        <w:tab w:val="right" w:pos="9072" w:leader="none"/>
      </w:tabs>
      <w:spacing w:before="240" w:after="0"/>
      <w:jc w:val="center"/>
    </w:pPr>
    <w:rPr/>
  </w:style>
  <w:style w:type="paragraph" w:styleId="FootnoteText">
    <w:name w:val="Footnote Text"/>
    <w:basedOn w:val="Normal"/>
    <w:semiHidden/>
    <w:pPr>
      <w:spacing w:lineRule="exact" w:line="200" w:before="0" w:after="80"/>
      <w:ind w:firstLine="288"/>
    </w:pPr>
    <w:rPr>
      <w:sz w:val="19"/>
      <w:szCs w:val="20"/>
    </w:rPr>
  </w:style>
  <w:style w:type="paragraph" w:styleId="NoteHeading">
    <w:name w:val="Note Heading"/>
    <w:basedOn w:val="Normal"/>
    <w:next w:val="Normal"/>
    <w:semiHidden/>
    <w:qFormat/>
    <w:pPr>
      <w:numPr>
        <w:ilvl w:val="0"/>
        <w:numId w:val="1"/>
      </w:numPr>
    </w:pPr>
    <w:rPr>
      <w:color w:val="FF0000"/>
    </w:rPr>
  </w:style>
  <w:style w:type="paragraph" w:styleId="Signature">
    <w:name w:val="Signature"/>
    <w:basedOn w:val="Normal"/>
    <w:semiHidden/>
    <w:pPr>
      <w:spacing w:before="0" w:after="0"/>
      <w:ind w:left="3888"/>
    </w:pPr>
    <w:rPr/>
  </w:style>
  <w:style w:type="paragraph" w:styleId="Title">
    <w:name w:val="Title"/>
    <w:basedOn w:val="Normal"/>
    <w:next w:val="Normal"/>
    <w:qFormat/>
    <w:pPr>
      <w:jc w:val="center"/>
      <w:outlineLvl w:val="0"/>
    </w:pPr>
    <w:rPr>
      <w:rFonts w:cs="Arial"/>
      <w:b/>
      <w:bCs/>
      <w:kern w:val="2"/>
      <w:szCs w:val="32"/>
    </w:rPr>
  </w:style>
  <w:style w:type="paragraph" w:styleId="LetterAddress" w:customStyle="1">
    <w:name w:val="Letter Address"/>
    <w:basedOn w:val="Normal"/>
    <w:qFormat/>
    <w:pPr>
      <w:spacing w:before="0" w:after="280"/>
    </w:pPr>
    <w:rPr>
      <w:szCs w:val="22"/>
    </w:rPr>
  </w:style>
  <w:style w:type="paragraph" w:styleId="LetterFooter" w:customStyle="1">
    <w:name w:val="Letter Footer"/>
    <w:basedOn w:val="Footer"/>
    <w:qFormat/>
    <w:pPr/>
    <w:rPr>
      <w:sz w:val="18"/>
      <w:szCs w:val="18"/>
    </w:rPr>
  </w:style>
  <w:style w:type="paragraph" w:styleId="LetterFrom" w:customStyle="1">
    <w:name w:val="Letter From"/>
    <w:basedOn w:val="Normal"/>
    <w:qFormat/>
    <w:pPr>
      <w:spacing w:before="0" w:after="840"/>
    </w:pPr>
    <w:rPr>
      <w:szCs w:val="22"/>
    </w:rPr>
  </w:style>
  <w:style w:type="paragraph" w:styleId="Salutation">
    <w:name w:val="Salutation"/>
    <w:basedOn w:val="Normal"/>
    <w:next w:val="Normal"/>
    <w:semiHidden/>
    <w:pPr>
      <w:spacing w:before="240" w:after="240"/>
    </w:pPr>
    <w:rPr/>
  </w:style>
  <w:style w:type="paragraph" w:styleId="EnvelopeAddress">
    <w:name w:val="Envelope Address"/>
    <w:basedOn w:val="Normal"/>
    <w:semiHidden/>
    <w:pPr>
      <w:spacing w:before="0" w:after="0"/>
      <w:ind w:left="2880"/>
    </w:pPr>
    <w:rPr>
      <w:rFonts w:cs="Arial"/>
    </w:rPr>
  </w:style>
  <w:style w:type="paragraph" w:styleId="Address" w:customStyle="1">
    <w:name w:val="Address"/>
    <w:basedOn w:val="Normal"/>
    <w:qFormat/>
    <w:pPr>
      <w:spacing w:before="0" w:after="0"/>
      <w:ind w:hanging="144" w:left="144"/>
    </w:pPr>
    <w:rPr/>
  </w:style>
  <w:style w:type="paragraph" w:styleId="EnvelopeReturn">
    <w:name w:val="Envelope Return"/>
    <w:basedOn w:val="Normal"/>
    <w:semiHidden/>
    <w:pPr>
      <w:spacing w:before="0" w:after="0"/>
    </w:pPr>
    <w:rPr>
      <w:rFonts w:cs="Arial"/>
      <w:sz w:val="20"/>
      <w:szCs w:val="20"/>
    </w:rPr>
  </w:style>
  <w:style w:type="paragraph" w:styleId="FootnoteSeparator" w:customStyle="1">
    <w:name w:val="Footnote Separator"/>
    <w:basedOn w:val="FootnoteText"/>
    <w:qFormat/>
    <w:pPr>
      <w:spacing w:lineRule="auto" w:line="240" w:before="0" w:after="0"/>
      <w:ind w:hanging="0"/>
    </w:pPr>
    <w:rPr/>
  </w:style>
  <w:style w:type="paragraph" w:styleId="PlainText">
    <w:name w:val="Plain Text"/>
    <w:basedOn w:val="Normal"/>
    <w:semiHidden/>
    <w:qFormat/>
    <w:pPr>
      <w:spacing w:before="0" w:after="0"/>
    </w:pPr>
    <w:rPr>
      <w:rFonts w:ascii="Courier New" w:hAnsi="Courier New" w:cs="Courier New"/>
      <w:sz w:val="20"/>
      <w:szCs w:val="20"/>
    </w:rPr>
  </w:style>
  <w:style w:type="paragraph" w:styleId="WebInfo" w:customStyle="1">
    <w:name w:val="WebInfo"/>
    <w:basedOn w:val="Normal"/>
    <w:qFormat/>
    <w:pPr>
      <w:spacing w:before="0" w:after="0"/>
    </w:pPr>
    <w:rPr>
      <w:vanish/>
      <w:color w:val="FF0000"/>
    </w:rPr>
  </w:style>
  <w:style w:type="paragraph" w:styleId="ListBullet8" w:customStyle="1">
    <w:name w:val="List Bullet8"/>
    <w:basedOn w:val="Normal"/>
    <w:next w:val="Normal"/>
    <w:qFormat/>
    <w:pPr>
      <w:ind w:hanging="576" w:left="576"/>
    </w:pPr>
    <w:rPr/>
  </w:style>
  <w:style w:type="paragraph" w:styleId="TOC2">
    <w:name w:val="TOC 2"/>
    <w:basedOn w:val="Normal"/>
    <w:next w:val="Normal"/>
    <w:autoRedefine/>
    <w:semiHidden/>
    <w:pPr>
      <w:tabs>
        <w:tab w:val="clear" w:pos="567"/>
        <w:tab w:val="clear" w:pos="1134"/>
        <w:tab w:val="left" w:pos="1701" w:leader="none"/>
        <w:tab w:val="left" w:pos="5670" w:leader="none"/>
        <w:tab w:val="right" w:pos="9072" w:leader="none"/>
      </w:tabs>
      <w:ind w:left="240"/>
    </w:pPr>
    <w:rPr/>
  </w:style>
  <w:style w:type="paragraph" w:styleId="ListBullet">
    <w:name w:val="List Bullet"/>
    <w:basedOn w:val="Normal"/>
    <w:semiHidden/>
    <w:pPr>
      <w:ind w:hanging="567" w:left="567"/>
    </w:pPr>
    <w:rPr/>
  </w:style>
  <w:style w:type="paragraph" w:styleId="ListContinue">
    <w:name w:val="List Continue"/>
    <w:basedOn w:val="Normal"/>
    <w:semiHidden/>
    <w:pPr>
      <w:ind w:left="567"/>
    </w:pPr>
    <w:rPr/>
  </w:style>
  <w:style w:type="paragraph" w:styleId="ListBullet2">
    <w:name w:val="List Bullet 2"/>
    <w:basedOn w:val="Normal"/>
    <w:semiHidden/>
    <w:pPr>
      <w:numPr>
        <w:ilvl w:val="2"/>
        <w:numId w:val="2"/>
      </w:numPr>
    </w:pPr>
    <w:rPr/>
  </w:style>
  <w:style w:type="paragraph" w:styleId="ListContinue2">
    <w:name w:val="List Continue 2"/>
    <w:basedOn w:val="Normal"/>
    <w:semiHidden/>
    <w:pPr>
      <w:numPr>
        <w:ilvl w:val="3"/>
        <w:numId w:val="2"/>
      </w:numPr>
    </w:pPr>
    <w:rPr/>
  </w:style>
  <w:style w:type="paragraph" w:styleId="BalloonText">
    <w:name w:val="Balloon Text"/>
    <w:basedOn w:val="Normal"/>
    <w:link w:val="BallongtextChar"/>
    <w:uiPriority w:val="99"/>
    <w:semiHidden/>
    <w:unhideWhenUsed/>
    <w:qFormat/>
    <w:rsid w:val="00ba5ce3"/>
    <w:pPr>
      <w:spacing w:before="0" w:after="0"/>
    </w:pPr>
    <w:rPr>
      <w:rFonts w:ascii="Tahoma" w:hAnsi="Tahoma" w:cs="Tahoma"/>
      <w:sz w:val="16"/>
      <w:szCs w:val="16"/>
    </w:rPr>
  </w:style>
  <w:style w:type="paragraph" w:styleId="ListParagraph">
    <w:name w:val="List Paragraph"/>
    <w:basedOn w:val="Normal"/>
    <w:uiPriority w:val="34"/>
    <w:qFormat/>
    <w:rsid w:val="00c26d19"/>
    <w:pPr>
      <w:spacing w:before="0" w:after="240"/>
      <w:ind w:left="720"/>
      <w:contextualSpacing/>
    </w:pPr>
    <w:rPr/>
  </w:style>
  <w:style w:type="paragraph" w:styleId="AnnotationText">
    <w:name w:val="Annotation Text"/>
    <w:basedOn w:val="Normal"/>
    <w:link w:val="KommentarerChar"/>
    <w:uiPriority w:val="99"/>
    <w:unhideWhenUsed/>
    <w:rsid w:val="00933058"/>
    <w:pPr/>
    <w:rPr>
      <w:sz w:val="20"/>
      <w:szCs w:val="20"/>
    </w:rPr>
  </w:style>
  <w:style w:type="paragraph" w:styleId="annotationsubject">
    <w:name w:val="annotation subject"/>
    <w:basedOn w:val="AnnotationText"/>
    <w:next w:val="AnnotationText"/>
    <w:link w:val="KommentarsmneChar"/>
    <w:uiPriority w:val="99"/>
    <w:semiHidden/>
    <w:unhideWhenUsed/>
    <w:qFormat/>
    <w:rsid w:val="00933058"/>
    <w:pPr/>
    <w:rPr>
      <w:b/>
      <w:bCs/>
    </w:rPr>
  </w:style>
  <w:style w:type="paragraph" w:styleId="Revision">
    <w:name w:val="Revision"/>
    <w:uiPriority w:val="99"/>
    <w:semiHidden/>
    <w:qFormat/>
    <w:rsid w:val="00563d13"/>
    <w:pPr>
      <w:widowControl/>
      <w:suppressAutoHyphens w:val="true"/>
      <w:bidi w:val="0"/>
      <w:spacing w:before="0" w:after="0"/>
      <w:jc w:val="left"/>
    </w:pPr>
    <w:rPr>
      <w:rFonts w:ascii="Arial" w:hAnsi="Arial" w:eastAsia="Times New Roman" w:cs="Times New Roman"/>
      <w:color w:val="auto"/>
      <w:kern w:val="0"/>
      <w:sz w:val="22"/>
      <w:szCs w:val="24"/>
      <w:lang w:val="en-GB" w:eastAsia="en-US" w:bidi="ar-SA"/>
    </w:rPr>
  </w:style>
  <w:style w:type="paragraph" w:styleId="FrameContents">
    <w:name w:val="Frame Contents"/>
    <w:basedOn w:val="Normal"/>
    <w:qFormat/>
    <w:pPr/>
    <w:rPr/>
  </w:style>
  <w:style w:type="paragraph" w:styleId="Author">
    <w:name w:val="Author"/>
    <w:next w:val="BodyText"/>
    <w:qFormat/>
    <w:pPr>
      <w:keepNext w:val="true"/>
      <w:keepLines/>
      <w:widowControl/>
      <w:suppressAutoHyphens w:val="true"/>
      <w:bidi w:val="0"/>
      <w:spacing w:before="0" w:after="200"/>
      <w:jc w:val="center"/>
    </w:pPr>
    <w:rPr>
      <w:rFonts w:ascii="Times New Roman" w:hAnsi="Times New Roman" w:eastAsia="Times New Roman" w:cs="Times New Roman"/>
      <w:color w:val="auto"/>
      <w:kern w:val="0"/>
      <w:sz w:val="20"/>
      <w:szCs w:val="20"/>
      <w:lang w:val="en-GB" w:eastAsia="en-GB" w:bidi="ar-SA"/>
    </w:rPr>
  </w:style>
  <w:style w:type="numbering" w:styleId="NoList" w:default="1">
    <w:name w:val="No List"/>
    <w:uiPriority w:val="99"/>
    <w:semiHidden/>
    <w:unhideWhenUsed/>
    <w:qFormat/>
  </w:style>
  <w:style w:type="table" w:default="1" w:styleId="Normaltabell">
    <w:name w:val="Normal Table"/>
    <w:uiPriority w:val="99"/>
    <w:semiHidden/>
    <w:unhideWhenUsed/>
    <w:tblPr>
      <w:tblCellMar>
        <w:top w:w="0" w:type="dxa"/>
        <w:left w:w="108" w:type="dxa"/>
        <w:bottom w:w="0" w:type="dxa"/>
        <w:right w:w="108" w:type="dxa"/>
      </w:tblCellMar>
    </w:tblPr>
  </w:style>
  <w:style w:type="table" w:styleId="Tabellrutnt">
    <w:name w:val="Table Grid"/>
    <w:basedOn w:val="Normaltabell"/>
    <w:uiPriority w:val="59"/>
    <w:rsid w:val="008153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ropbox.com/scl/fi/hgqo862q3md7qkbitryij/Author-criterias-2027.pdf?rlkey=7jxgn0guhgtv0yomps0pjm0cg&amp;st=vdgux81f&amp;dl=0" TargetMode="External"/><Relationship Id="rId3" Type="http://schemas.openxmlformats.org/officeDocument/2006/relationships/hyperlink" Target="https://www.dropbox.com/scl/fi/r51ehj7grm1bdigvop89a/Code-Of-Conduct_Academic-Behaviour-Policy.pdf?rlkey=r6cxirnmhlp1r5ehia2g989zf&amp;st=8eiig5jo&amp;dl=0" TargetMode="External"/><Relationship Id="rId4" Type="http://schemas.openxmlformats.org/officeDocument/2006/relationships/hyperlink" Target="https://www.dropbox.com/scl/fi/f0p5j13annqpep0ci1m42/Code-Of-Conduct_-Behavioural-Standards-Policy.pdf?rlkey=lxriq7h5kobqizlizmxmr0kwb&amp;st=dmivfiw3&amp;dl=0"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www.imanage.com/work/xmlschema">
  <documentid>UK!706924958.2</documentid>
  <senderid>TAMG</senderid>
  <senderemail>TOM.MORGAN@CMS-CMNO.COM</senderemail>
  <lastmodified>2025-04-29T14:26:00.0000000+01:00</lastmodified>
  <database>UK</database>
</properties>
</file>

<file path=customXml/itemProps1.xml><?xml version="1.0" encoding="utf-8"?>
<ds:datastoreItem xmlns:ds="http://schemas.openxmlformats.org/officeDocument/2006/customXml" ds:itemID="{25008A1D-6880-41E8-B5AC-83320F439A23}">
  <ds:schemaRefs>
    <ds:schemaRef ds:uri="http://schemas.openxmlformats.org/officeDocument/2006/bibliography"/>
  </ds:schemaRefs>
</ds:datastoreItem>
</file>

<file path=customXml/itemProps2.xml><?xml version="1.0" encoding="utf-8"?>
<ds:datastoreItem xmlns:ds="http://schemas.openxmlformats.org/officeDocument/2006/customXml" ds:itemID="{107CDEB1-24F8-4CBA-8F52-1D32A8A8A59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C:\Users\jgsi\OneDrive - CMS CAMERON MCKENNA NABARRO OLSWANG LLP\Documents\Lancet Countdown Contributor Agreement.dotx</Template>
  <TotalTime>102</TotalTime>
  <Application>LibreOffice/24.2.7.2$Linux_X86_64 LibreOffice_project/420$Build-2</Application>
  <AppVersion>15.0000</AppVersion>
  <Pages>4</Pages>
  <Words>910</Words>
  <Characters>5023</Characters>
  <CharactersWithSpaces>5881</CharactersWithSpaces>
  <Paragraphs>62</Paragraphs>
  <Company>University of Oxford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2025-10-29T08:22:00Z</dcterms:created>
  <dc:creator>Jagpal Singh</dc:creator>
  <dc:description/>
  <dc:language>en-US</dc:language>
  <cp:lastModifiedBy/>
  <cp:lastPrinted>2025-05-02T15:18:00Z</cp:lastPrinted>
  <dcterms:modified xsi:type="dcterms:W3CDTF">2026-01-19T16:04:06Z</dcterms:modified>
  <cp:revision>5</cp:revision>
  <dc:subject/>
  <dc:title>Collaboration - Brunswick Short-form V1.0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#706924958v2&lt;UK&gt; - Lancet Countdown Contributor Agreement 2025</vt:lpwstr>
  </property>
</Properties>
</file>