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color w:val="666666"/>
          <w:sz w:val="28"/>
          <w:szCs w:val="28"/>
        </w:rPr>
        <w:t xml:space="preserve">AAE 568 — Applied Optimal Control</w:t>
      </w:r>
    </w:p>
    <w:p>
      <w:pPr>
        <w:spacing w:after="100"/>
        <w:jc w:val="center"/>
      </w:pPr>
      <w:r>
        <w:rPr>
          <w:rFonts w:ascii="Arial" w:cs="Arial" w:eastAsia="Arial" w:hAnsi="Arial"/>
          <w:b/>
          <w:bCs/>
          <w:color w:val="1B4F72"/>
          <w:sz w:val="44"/>
          <w:szCs w:val="44"/>
        </w:rPr>
        <w:t xml:space="preserve">Project Development Notes</w:t>
      </w:r>
    </w:p>
    <w:p>
      <w:pPr>
        <w:spacing w:after="400"/>
        <w:jc w:val="center"/>
      </w:pPr>
      <w:r>
        <w:rPr>
          <w:rFonts w:ascii="Arial" w:cs="Arial" w:eastAsia="Arial" w:hAnsi="Arial"/>
          <w:i/>
          <w:iCs/>
          <w:color w:val="2E86C1"/>
          <w:sz w:val="24"/>
          <w:szCs w:val="24"/>
        </w:rPr>
        <w:t xml:space="preserve">Bézier Collocation vs Shooting for Cislunar Trajectory Optimization</w:t>
      </w:r>
    </w:p>
    <w:p>
      <w:pPr>
        <w:pBdr>
          <w:top w:val="single" w:color="2E86C1" w:sz="6" w:space="1"/>
        </w:pBdr>
        <w:spacing w:after="200" w:before="200"/>
        <w:jc w:val="center"/>
      </w:pPr>
    </w:p>
    <w:p>
      <w:pPr>
        <w:spacing w:after="80"/>
        <w:jc w:val="center"/>
      </w:pPr>
      <w:r>
        <w:rPr>
          <w:rFonts w:ascii="Arial" w:cs="Arial" w:eastAsia="Arial" w:hAnsi="Arial"/>
          <w:sz w:val="24"/>
          <w:szCs w:val="24"/>
        </w:rPr>
        <w:t xml:space="preserve">Zhuorui Li, Mustakeen Bari, Advait Jawaji</w:t>
      </w:r>
    </w:p>
    <w:p>
      <w:pPr>
        <w:spacing w:after="80"/>
        <w:jc w:val="center"/>
      </w:pPr>
      <w:r>
        <w:rPr>
          <w:rFonts w:ascii="Arial" w:cs="Arial" w:eastAsia="Arial" w:hAnsi="Arial"/>
          <w:color w:val="666666"/>
          <w:sz w:val="22"/>
          <w:szCs w:val="22"/>
        </w:rPr>
        <w:t xml:space="preserve">School of Aeronautics and Astronautics, Purdue University</w:t>
      </w:r>
    </w:p>
    <w:p>
      <w:pPr>
        <w:spacing w:after="80"/>
        <w:jc w:val="center"/>
      </w:pPr>
      <w:r>
        <w:rPr>
          <w:rFonts w:ascii="Arial" w:cs="Arial" w:eastAsia="Arial" w:hAnsi="Arial"/>
          <w:color w:val="666666"/>
          <w:sz w:val="22"/>
          <w:szCs w:val="22"/>
        </w:rPr>
        <w:t xml:space="preserve">Professor Inseok Hwang — Spring 2026</w:t>
      </w:r>
    </w:p>
    <w:p>
      <w:pPr>
        <w:spacing w:after="80"/>
        <w:jc w:val="center"/>
      </w:pPr>
      <w:r>
        <w:rPr>
          <w:rFonts w:ascii="Arial" w:cs="Arial" w:eastAsia="Arial" w:hAnsi="Arial"/>
          <w:color w:val="666666"/>
          <w:sz w:val="22"/>
          <w:szCs w:val="22"/>
        </w:rPr>
        <w:t xml:space="preserve">Last Updated: April 12, 2026</w:t>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after="120"/>
      </w:pPr>
      <w:r>
        <w:t xml:space="preserve">This document summarizes the development and findings from the AAE 568 course project, which compares Bézier curve collocation against classical indirect shooting for solving optimal control two-point boundary value problems (TPBVPs) in cislunar trajectory design.</w:t>
      </w:r>
    </w:p>
    <w:p>
      <w:pPr>
        <w:spacing w:after="120"/>
      </w:pPr>
      <w:r>
        <w:t xml:space="preserve">The project progressed through four phases: a two-body (Earth–Mars) validation case, planar CR3BP transfers between libration-point orbits, a 3D Artemis II reconstruction using both CR3BP and ephemeris-driven dynamics, and a full-mission analysis of the Artemis II free-return trajectory including the translunar injection burn.</w:t>
      </w:r>
    </w:p>
    <w:p>
      <w:pPr>
        <w:spacing w:after="100"/>
      </w:pPr>
    </w:p>
    <w:p>
      <w:pPr>
        <w:pStyle w:val="Heading1"/>
      </w:pPr>
      <w:r>
        <w:t xml:space="preserve">2. Methods and Formulation</w:t>
      </w:r>
    </w:p>
    <w:p>
      <w:pPr>
        <w:pStyle w:val="Heading2"/>
      </w:pPr>
      <w:r>
        <w:t xml:space="preserve">2.1 Indirect Shooting</w:t>
      </w:r>
    </w:p>
    <w:p>
      <w:pPr>
        <w:spacing w:after="120"/>
      </w:pPr>
      <w:r>
        <w:t xml:space="preserve">The indirect approach applies Pontryagin’s Maximum Principle to derive necessary conditions for optimality. For minimum-energy transfers (J = ∫||u||² dt), the optimal control is u* = −½λ_v, where λ_v is the velocity costate. The resulting 12-dimensional state+costate system is integrated from the initial condition, with the six unknown initial costates found by solving the TPBVP via Newton’s method (fsolve). This approach yields exact solutions when it converges, but is highly sensitive to the initial costate guess, especially for long-duration or multi-body problems.</w:t>
      </w:r>
    </w:p>
    <w:p>
      <w:pPr>
        <w:pStyle w:val="Heading2"/>
      </w:pPr>
      <w:r>
        <w:t xml:space="preserve">2.2 Bézier Curve Collocation (Direct Method)</w:t>
      </w:r>
    </w:p>
    <w:p>
      <w:pPr>
        <w:spacing w:after="120"/>
      </w:pPr>
      <w:r>
        <w:t xml:space="preserve">The direct approach parameterizes the trajectory using Bézier curves in the Bernstein polynomial basis. Control points serve as NLP decision variables, with dynamics enforced as equality constraints at Gauss–Legendre collocation points. The NLP is solved using CasADi’s interface to IPOPT, which provides exact sparse Jacobians and Hessians via automatic differentiation. A coarse-to-fine mesh refinement cascade warm-starts finer meshes from coarser solutions.</w:t>
      </w:r>
    </w:p>
    <w:p>
      <w:pPr>
        <w:pStyle w:val="Heading2"/>
      </w:pPr>
      <w:r>
        <w:t xml:space="preserve">2.3 Ephemeris-Driven Propagator</w:t>
      </w:r>
    </w:p>
    <w:p>
      <w:pPr>
        <w:spacing w:after="120"/>
      </w:pPr>
      <w:r>
        <w:t xml:space="preserve">For the Artemis II cases, we replaced the CR3BP model with full Newtonian N-body dynamics in the Earth-centered EME2000 (J2000) inertial frame. Gravitational accelerations include Earth (central), Moon (3rd body), and Sun (3rd body) with indirect terms. Moon and Sun positions are obtained from astropy’s built-in JPL ephemeris, precomputed on a dense time grid and cubically interpolated for speed. The IPOPT formulation uses explicit RK4 integration with 4 sub-steps per segment, and Moon/Sun positions at each RK4 evaluation point are passed as numeric parameters since they cannot go through CasADi’s AD graph.</w:t>
      </w:r>
    </w:p>
    <w:p>
      <w:pPr>
        <w:spacing w:after="100"/>
      </w:pPr>
    </w:p>
    <w:p>
      <w:pPr>
        <w:pStyle w:val="Heading1"/>
      </w:pPr>
      <w:r>
        <w:t xml:space="preserve">3. Cases and Results</w:t>
      </w:r>
    </w:p>
    <w:p>
      <w:pPr>
        <w:pStyle w:val="Heading2"/>
      </w:pPr>
      <w:r>
        <w:t xml:space="preserve">3.1 Earth–Mars Two-Body Transfer</w:t>
      </w:r>
    </w:p>
    <w:p>
      <w:pPr>
        <w:spacing w:after="120"/>
      </w:pPr>
      <w:r>
        <w:t xml:space="preserve">The simplest validation case uses Keplerian two-body dynamics (Earth as central body, no third-body perturbations). Both shooting and Bézier/IPOPT converge to the same minimum-energy transfer with cost agreement to machine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Shooting</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Bézier (IPOPT)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Cost J</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0.01494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0.01494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Cost difference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&lt; 1e−8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Forward prop. error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9.85e−05</w:t>
            </w:r>
          </w:p>
        </w:tc>
      </w:tr>
    </w:tbl>
    <w:p>
      <w:pPr>
        <w:spacing w:after="100"/>
      </w:pPr>
    </w:p>
    <w:p>
      <w:pPr>
        <w:pStyle w:val="Heading2"/>
      </w:pPr>
      <w:r>
        <w:t xml:space="preserve">3.2 Planar CR3BP: L1→L2 Transfer</w:t>
      </w:r>
    </w:p>
    <w:p>
      <w:pPr>
        <w:spacing w:after="120"/>
      </w:pPr>
      <w:r>
        <w:t xml:space="preserve">A minimum-energy transfer between Lyapunov orbits at the Earth–Moon L1 and L2 libration points in the planar CR3BP (μ = 0.01215). The state is 4-dimensional (x, y, vx, vy) in the rotating frame, with Coriolis acceleration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Shooting</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Bézier (IPOPT)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Cost J</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0.043058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0.043058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Cost difference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9.02e−8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Mesh levels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4→8→16→32 segs</w:t>
            </w:r>
          </w:p>
        </w:tc>
      </w:tr>
    </w:tbl>
    <w:p>
      <w:pPr>
        <w:spacing w:after="50"/>
      </w:pPr>
    </w:p>
    <w:p>
      <w:pPr>
        <w:spacing w:after="100"/>
      </w:pPr>
      <w:r>
        <w:rPr>
          <w:b/>
          <w:bCs/>
        </w:rPr>
        <w:t xml:space="preserve">Critical bug found and fixed: </w:t>
      </w:r>
      <w:r>
        <w:t xml:space="preserve">CasADi uses column-major (Fortran) ordering for ca.reshape(), while NumPy defaults to row-major (C) ordering. For an (8,4) matrix, CasADi expects [cp[0,0], cp[1,0], ..., cp[7,0], cp[0,1], ...] but np.ravel() gives [cp[0,0], cp[0,1], ..., cp[0,3], cp[1,0], ...]. The fix was changing all ravel() to ravel(order=‘F’) and all reshape() to reshape(..., order=‘F’). This single fix reduced the IPOPT cost from 0.464 to 0.043058, matching shooting exactly.</w:t>
      </w:r>
    </w:p>
    <w:p>
      <w:pPr>
        <w:spacing w:after="100"/>
      </w:pPr>
    </w:p>
    <w:p>
      <w:pPr>
        <w:pStyle w:val="Heading2"/>
      </w:pPr>
      <w:r>
        <w:t xml:space="preserve">3.3 Artemis II: 3D CR3BP Approximation</w:t>
      </w:r>
    </w:p>
    <w:p>
      <w:pPr>
        <w:spacing w:after="120"/>
      </w:pPr>
      <w:r>
        <w:t xml:space="preserve">Extended both methods to 3D (6D state: x, y, z, vx, vy, vz) for a segment of the actual Artemis II trajectory (days 1–3 of the OEM). The CR3BP model uses a simplified circular lunar orbit with 5.145° inclination. ECI→CR3BP coordinate transformation includes barycentric shift, rotation to the synodic frame, and Coriolis velocity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Shooting</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IPOPT Collocation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TPBVP residual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3.07e−11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converged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Mean pos. error vs NASA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~100,000 km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~100,000 km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iCs/>
                <w:sz w:val="18"/>
                <w:szCs w:val="18"/>
              </w:rPr>
              <w:t xml:space="preserve">Root cause of error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CR3BP model fidelity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CR3BP model fidelity</w:t>
            </w:r>
          </w:p>
        </w:tc>
      </w:tr>
    </w:tbl>
    <w:p>
      <w:pPr>
        <w:spacing w:after="50"/>
      </w:pPr>
    </w:p>
    <w:p>
      <w:pPr>
        <w:spacing w:after="120"/>
      </w:pPr>
      <w:r>
        <w:t xml:space="preserve">Both solvers agreed with each other, confirming the methodology is correct. The ~100,000 km error against NASA comes entirely from the CR3BP approximation (circular Moon orbit, no Sun), not the solvers.</w:t>
      </w:r>
    </w:p>
    <w:p>
      <w:pPr>
        <w:spacing w:after="100"/>
      </w:pPr>
    </w:p>
    <w:p>
      <w:pPr>
        <w:pStyle w:val="Heading2"/>
      </w:pPr>
      <w:r>
        <w:t xml:space="preserve">3.4 Artemis II: Ephemeris-Driven (2-Day Coast)</w:t>
      </w:r>
    </w:p>
    <w:p>
      <w:pPr>
        <w:spacing w:after="120"/>
      </w:pPr>
      <w:r>
        <w:t xml:space="preserve">Replaced CR3BP with full N-body dynamics using actual Moon and Sun positions from astropy. Working in dimensional ECI coordinates (km, s) eliminates the rotating-frame approximation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Ballistic</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Shooting</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IPOPT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Mean pos. 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91,590 km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3,330 km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5,722 km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Max pos. 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208,520 km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8,460 km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12,036 km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Control 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1.61e−05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1.83e−05</w:t>
            </w:r>
          </w:p>
        </w:tc>
      </w:tr>
    </w:tbl>
    <w:p>
      <w:pPr>
        <w:spacing w:after="50"/>
      </w:pPr>
    </w:p>
    <w:p>
      <w:pPr>
        <w:spacing w:after="120"/>
      </w:pPr>
      <w:r>
        <w:t xml:space="preserve">The ephemeris-driven propagator achieved a ~30× improvement over CR3BP (3,330 km vs 100,000 km). The remaining error is attributed to astropy’s low-precision ephemeris, unmodeled mid-course corrections, solar radiation pressure, and Earth oblateness (J2).</w:t>
      </w:r>
    </w:p>
    <w:p>
      <w:pPr>
        <w:spacing w:after="100"/>
      </w:pPr>
      <w:r>
        <w:rPr>
          <w:b/>
          <w:bCs/>
        </w:rPr>
        <w:t xml:space="preserve">Key engineering decision: </w:t>
      </w:r>
      <w:r>
        <w:t xml:space="preserve">60 segments with RK4 integration (4 sub-steps each), piecewise-constant control bounded at 3× the shooting max thrust, warm-started from the shooting solution. The initial 12-segment version showed non-physical behavior due to coarse temporal resolution.</w:t>
      </w:r>
    </w:p>
    <w:p>
      <w:pPr>
        <w:spacing w:after="100"/>
      </w:pPr>
    </w:p>
    <w:p>
      <w:pPr>
        <w:pStyle w:val="Heading2"/>
      </w:pPr>
      <w:r>
        <w:t xml:space="preserve">3.5 Artemis II: Full Free-Return (7.5 Days)</w:t>
      </w:r>
    </w:p>
    <w:p>
      <w:pPr>
        <w:spacing w:after="120"/>
      </w:pPr>
      <w:r>
        <w:t xml:space="preserve">Extended to the entire post-TLI arc: days 1.0–8.5, covering translunar coast, lunar flyby (413,000 km from Earth), and free-return back toward Earth. Indirect shooting was computationally prohibitive (each fsolve evaluation requires a 7.5-day 12D integration, and the costate equations diverge exponentially through the lunar flyby).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Ballistic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IPOPT (NASA warm-start)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Mean pos. error vs NASA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480 km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77.9 km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Max pos. error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2,317 km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211 km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Control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5.30e−12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IPOPT iterations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w:t>
            </w:r>
          </w:p>
        </w:tc>
      </w:tr>
    </w:tbl>
    <w:p>
      <w:pPr>
        <w:spacing w:after="50"/>
      </w:pPr>
    </w:p>
    <w:p>
      <w:pPr>
        <w:spacing w:after="120"/>
      </w:pPr>
      <w:r>
        <w:t xml:space="preserve">IPOPT converged in 2 iterations with effectively zero control (max thrust 5.9e−9 km/s² = numerical noise), meaning our Earth+Moon+Sun gravity model nearly perfectly reproduces the NASA trajectory over the entire 7.5-day arc. This represents a 0.019% error over 413,000 km of travel.</w:t>
      </w:r>
    </w:p>
    <w:p>
      <w:pPr>
        <w:spacing w:after="100"/>
      </w:pPr>
      <w:r>
        <w:rPr>
          <w:b/>
          <w:bCs/>
        </w:rPr>
        <w:t xml:space="preserve">Why shooting failed: </w:t>
      </w:r>
      <w:r>
        <w:t xml:space="preserve">The costate equations involve the gravity gradient tensor (Hessian of the potential), which blows up near the Moon where |r − r_moon| becomes small. Small perturbations in λ₀ get exponentially amplified through the flyby. IPOPT sidesteps this because each segment is independent—the optimizer never propagates sensitive dynamics over more than ~1–2 hours at a time.</w:t>
      </w:r>
    </w:p>
    <w:p>
      <w:pPr>
        <w:spacing w:after="100"/>
      </w:pPr>
    </w:p>
    <w:p>
      <w:pPr>
        <w:pStyle w:val="Heading2"/>
      </w:pPr>
      <w:r>
        <w:t xml:space="preserve">3.6 Artemis II: Full Mission with TLI Burn (8.9 Days)</w:t>
      </w:r>
    </w:p>
    <w:p>
      <w:pPr>
        <w:spacing w:after="120"/>
      </w:pPr>
      <w:r>
        <w:t xml:space="preserve">The most ambitious case: the complete OEM from ICPS separation to atmospheric entry interface. Burn detection from velocity discontinuities identified two engine firings: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Burn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 (day)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ΔV (km/s)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Peak accel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TLI (translunar injection)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0.874–0.945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~22.6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9.23e−3 km/s²</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Entry correction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8.881–8.914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~9.7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8.73e−3 km/s²</w:t>
            </w:r>
          </w:p>
        </w:tc>
      </w:tr>
    </w:tbl>
    <w:p>
      <w:pPr>
        <w:spacing w:after="50"/>
      </w:pPr>
    </w:p>
    <w:p>
      <w:pPr>
        <w:spacing w:after="120"/>
      </w:pPr>
      <w:r>
        <w:t xml:space="preserve">IPOPT with non-uniform segment spacing (2-minute resolution during burns, ~1.8-hour coast segments, 225 total segments) and NASA OEM waypoint constraints successfully reconstructed the full mission. The optimizer “discovered” that thrust is needed at the TLI epoch and at the return, with near-zero control during the 7-day coast phase.</w:t>
      </w:r>
    </w:p>
    <w:p>
      <w:pPr>
        <w:spacing w:after="120"/>
      </w:pPr>
      <w:r>
        <w:t xml:space="preserve">Without the TLI burn, the ballistic trajectory stays in a low near-Earth orbit and never reaches the Moon—this is clearly visible in the 3D plot.</w:t>
      </w:r>
    </w:p>
    <w:p>
      <w:pPr>
        <w:spacing w:after="100"/>
      </w:pPr>
      <w:r>
        <w:rPr>
          <w:b/>
          <w:bCs/>
        </w:rPr>
        <w:t xml:space="preserve">Waypoint constraint strategy: </w:t>
      </w:r>
      <w:r>
        <w:t xml:space="preserve">Without interior constraints, IPOPT found a spurious gravity-only trajectory that satisfied the endpoint BCs but bypassed the TLI burn entirely. To force the solution through the physical trajectory, 39 waypoint constraints were pinned from the NASA OEM. During coast phases, full-state pins (position + velocity, 6 equations each) are placed every 8 hours. During burn phases, only position is pinned (3 equations) at every 5th burn node (~10-minute spacing). This sparse pinning provides enough guidance for IPOPT to converge to the correct trajectory without over-constraining the NLP (an earlier attempt with full-state pins at every burn node produced 2106 constraints for only 2031 variables, making the problem infeasible).</w:t>
      </w:r>
    </w:p>
    <w:p>
      <w:pPr>
        <w:spacing w:after="100"/>
      </w:pPr>
      <w:r>
        <w:rPr>
          <w:b/>
          <w:bCs/>
        </w:rPr>
        <w:t xml:space="preserve">Shooting remains intractable: </w:t>
      </w:r>
      <w:r>
        <w:t xml:space="preserve">Even with NASA OEM warm-starting and waypoint information available, indirect shooting cannot converge on this problem. The 8.9-day arc passes through two impulsive burns and a lunar flyby, all of which cause exponential divergence in the 12-dimensional costate equations. The costate sensitivity to initial conditions grows by orders of magnitude through each event, making the finite-difference Jacobian in fsolve unreliable regardless of the initial guess quality. This is a fundamental limitation of single-shooting for long, multi-event arcs—not a matter of needing a better guess.</w:t>
      </w:r>
    </w:p>
    <w:p>
      <w:pPr>
        <w:spacing w:after="100"/>
      </w:pPr>
    </w:p>
    <w:p>
      <w:pPr>
        <w:pStyle w:val="Heading1"/>
      </w:pPr>
      <w:r>
        <w:t xml:space="preserve">4. Key Technical Lessons</w:t>
      </w:r>
    </w:p>
    <w:p>
      <w:pPr>
        <w:pStyle w:val="Heading2"/>
      </w:pPr>
      <w:r>
        <w:t xml:space="preserve">4.1 CasADi Column-Major Ordering</w:t>
      </w:r>
    </w:p>
    <w:p>
      <w:pPr>
        <w:spacing w:after="120"/>
      </w:pPr>
      <w:r>
        <w:t xml:space="preserve">The most impactful bug was the row-major vs column-major mismatch between NumPy and CasADi. CasADi’s ca.reshape() uses Fortran (column-major) ordering, so all NumPy ravel() and reshape() calls that interface with CasADi must specify order=‘F’. Symptom: IPOPT reported initial primal infeasibility of 1.88e+03 despite the warm-start having tiny defects (3.5e−7) and correct cost. Root cause: the decision vector was being scrambled during pack/unpack.</w:t>
      </w:r>
    </w:p>
    <w:p>
      <w:pPr>
        <w:pStyle w:val="Heading2"/>
      </w:pPr>
      <w:r>
        <w:t xml:space="preserve">4.2 Direct vs Indirect Scalability</w:t>
      </w:r>
    </w:p>
    <w:p>
      <w:pPr>
        <w:spacing w:after="120"/>
      </w:pPr>
      <w:r>
        <w:t xml:space="preserve">Indirect shooting works beautifully for short arcs and simple dynamics (Earth–Mars: converges in seconds) but becomes intractable for long, sensitive arcs like the 7.5-day lunar free-return. The costate propagation through the lunar flyby is numerically chaotic. Direct collocation (IPOPT) scales gracefully because each segment is locally independent—the optimizer sees a sparse NLP, not a long-horizon initial value problem.</w:t>
      </w:r>
    </w:p>
    <w:p>
      <w:pPr>
        <w:pStyle w:val="Heading2"/>
      </w:pPr>
      <w:r>
        <w:t xml:space="preserve">4.3 Warm-Starting and Waypoint Constraints</w:t>
      </w:r>
    </w:p>
    <w:p>
      <w:pPr>
        <w:spacing w:after="120"/>
      </w:pPr>
      <w:r>
        <w:t xml:space="preserve">The quality of the initial guess is critical for IPOPT convergence. For the CR3BP cases, a coarse-to-fine mesh refinement cascade (4→8→16→32 segments) worked well. For the ephemeris-driven cases, the NASA OEM itself provided the best warm-start—IPOPT converged in just 2 iterations for the coast-only arc because the OEM is already nearly dynamically feasible.</w:t>
      </w:r>
    </w:p>
    <w:p>
      <w:pPr>
        <w:spacing w:after="120"/>
      </w:pPr>
      <w:r>
        <w:t xml:space="preserve">For the full mission with burns, warm-starting alone was insufficient—IPOPT converged to a non-physical trajectory that satisfied the endpoint boundary conditions without using thrust. Interior waypoint constraints from the NASA OEM were required to guide the optimizer through the correct trajectory. The key was balancing constraint density: too many pins over-constrain the NLP (DOF &lt; 0), while too few allow IPOPT to find spurious solutions. The final strategy uses 39 waypoints with position-only pins during burns and full-state pins every 8 hours during coast, leaving enough freedom for IPOPT to optimize the control profile while staying on the physical trajectory.</w:t>
      </w:r>
    </w:p>
    <w:p>
      <w:pPr>
        <w:pStyle w:val="Heading2"/>
      </w:pPr>
      <w:r>
        <w:t xml:space="preserve">4.4 Non-Uniform Segment Spacing</w:t>
      </w:r>
    </w:p>
    <w:p>
      <w:pPr>
        <w:spacing w:after="120"/>
      </w:pPr>
      <w:r>
        <w:t xml:space="preserve">Uniform segment spacing fails for trajectories with impulsive burns. A 120-segment uniform grid over 8.9 days allocates only ~1 segment to the TLI burn, making the NLP infeasible. Non-uniform spacing (2-minute resolution during burns, ~2-hour coast) increased the segment count to 225 but enabled convergence.</w:t>
      </w:r>
    </w:p>
    <w:p>
      <w:pPr>
        <w:pStyle w:val="Heading2"/>
      </w:pPr>
      <w:r>
        <w:t xml:space="preserve">4.5 Ephemeris Caching</w:t>
      </w:r>
    </w:p>
    <w:p>
      <w:pPr>
        <w:spacing w:after="120"/>
      </w:pPr>
      <w:r>
        <w:t xml:space="preserve">Calling astropy per RK4 evaluation is prohibitively slow. Vectorized batch computation of all ephemeris points followed by cubic interpolation reduced cache construction from minutes to ~0.1 seconds. This was essential for the 7.5-day and 8.9-day cases.</w:t>
      </w:r>
    </w:p>
    <w:p>
      <w:pPr>
        <w:spacing w:after="100"/>
      </w:pPr>
    </w:p>
    <w:p>
      <w:pPr>
        <w:pStyle w:val="Heading1"/>
      </w:pPr>
      <w:r>
        <w:t xml:space="preserve">5. Code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16"/>
                <w:szCs w:val="16"/>
              </w:rPr>
              <w:t xml:space="preserve">Earth-Mars/compare_methods.py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Two-body comparison: shooting vs IPOPT Bézier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16"/>
                <w:szCs w:val="16"/>
              </w:rPr>
              <w:t xml:space="preserve">Earth-Mars/ipopt_collocation_2body.py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CasADi/IPOPT solver for Keplerian dynamics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16"/>
                <w:szCs w:val="16"/>
              </w:rPr>
              <w:t xml:space="preserve">Planer/cr3bp_transfer.py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L1→L2 CR3BP comparison + animation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16"/>
                <w:szCs w:val="16"/>
              </w:rPr>
              <w:t xml:space="preserve">Planer/ipopt_collocation.py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CasADi/IPOPT Bézier solver for planar CR3BP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16"/>
                <w:szCs w:val="16"/>
              </w:rPr>
              <w:t xml:space="preserve">Artemis2/artemis2_3d.py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3D CR3BP analysis (shooting + IPOPT vs NASA OEM)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16"/>
                <w:szCs w:val="16"/>
              </w:rPr>
              <w:t xml:space="preserve">Artemis2/artemis2_ephemeris.py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Ephemeris-driven propagator (2-day and 7.5-day)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sz w:val="16"/>
                <w:szCs w:val="16"/>
              </w:rPr>
              <w:t xml:space="preserve">Artemis2/artemis2_full_mission.py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Full 8.9-day mission with TLI burn + animation</w:t>
            </w:r>
          </w:p>
        </w:tc>
      </w:tr>
    </w:tbl>
    <w:p>
      <w:pPr>
        <w:spacing w:after="100"/>
      </w:pPr>
    </w:p>
    <w:p>
      <w:pPr>
        <w:pStyle w:val="Heading1"/>
      </w:pPr>
      <w:r>
        <w:t xml:space="preserve">6. Model Fidelity Progression</w:t>
      </w:r>
    </w:p>
    <w:p>
      <w:pPr>
        <w:spacing w:after="120"/>
      </w:pPr>
      <w:r>
        <w:t xml:space="preserve">The progression from simplest to most realistic dynamics, and the corresponding improvement in agreement with NASA’s Artemis II ephemeris: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Dynamics Model</w:t>
            </w:r>
          </w:p>
        </w:tc>
        <w:tc>
          <w:tcPr>
            <w:tcW w:type="dxa" w:w="29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Pos. Error</w:t>
            </w:r>
          </w:p>
        </w:tc>
        <w:tc>
          <w:tcPr>
            <w:tcW w:type="dxa" w:w="29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CR3BP (circular Moon, no Sun)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~100,000 km</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baseline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Ephemeris, 2-day coast</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3,330 km</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~30×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18"/>
                <w:szCs w:val="18"/>
              </w:rPr>
              <w:t xml:space="preserve">Ephemeris, 7.5-day free-return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77.9 km</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8"/>
                <w:szCs w:val="18"/>
              </w:rPr>
              <w:t xml:space="preserve">~1,300×</w:t>
            </w:r>
          </w:p>
        </w:tc>
      </w:tr>
    </w:tbl>
    <w:p>
      <w:pPr>
        <w:spacing w:after="50"/>
      </w:pPr>
    </w:p>
    <w:p>
      <w:pPr>
        <w:spacing w:after="120"/>
      </w:pPr>
      <w:r>
        <w:t xml:space="preserve">The 77.9 km residual over 413,000 km of travel (0.019% error) with three gravitational bodies and a free Python ephemeris represents the practical limit of this approach without higher-fidelity models (DE440 kernels, SRP, J2, actual mid-course burns).</w:t>
      </w:r>
    </w:p>
    <w:p>
      <w:pPr>
        <w:spacing w:after="100"/>
      </w:pPr>
    </w:p>
    <w:p>
      <w:pPr>
        <w:pStyle w:val="Heading1"/>
      </w:pPr>
      <w:r>
        <w:t xml:space="preserve">7. Potential Next Steps</w:t>
      </w:r>
    </w:p>
    <w:p>
      <w:pPr>
        <w:pStyle w:val="ListParagraph"/>
        <w:numPr>
          <w:ilvl w:val="0"/>
          <w:numId w:val="2"/>
        </w:numPr>
        <w:spacing w:after="80"/>
      </w:pPr>
      <w:r>
        <w:t xml:space="preserve">Higher-fidelity ephemeris: download JPL DE440 BSP kernels via jplephem for sub-km accuracy</w:t>
      </w:r>
    </w:p>
    <w:p>
      <w:pPr>
        <w:pStyle w:val="ListParagraph"/>
        <w:numPr>
          <w:ilvl w:val="0"/>
          <w:numId w:val="2"/>
        </w:numPr>
        <w:spacing w:after="80"/>
      </w:pPr>
      <w:r>
        <w:t xml:space="preserve">Full LEO-to-NRHO transfer: combine the Bézier collocation framework with the ephemeris propagator for the original project goal</w:t>
      </w:r>
    </w:p>
    <w:p>
      <w:pPr>
        <w:pStyle w:val="ListParagraph"/>
        <w:numPr>
          <w:ilvl w:val="0"/>
          <w:numId w:val="2"/>
        </w:numPr>
        <w:spacing w:after="80"/>
      </w:pPr>
      <w:r>
        <w:t xml:space="preserve">Adaptive mesh refinement: add segments where collocation error is large rather than using uniform or manually specified grids</w:t>
      </w:r>
    </w:p>
    <w:p>
      <w:pPr>
        <w:pStyle w:val="ListParagraph"/>
        <w:numPr>
          <w:ilvl w:val="0"/>
          <w:numId w:val="2"/>
        </w:numPr>
        <w:spacing w:after="80"/>
      </w:pPr>
      <w:r>
        <w:t xml:space="preserve">Maneuver detection and reconstruction: automatically identify burns in OEM data and reconstruct the thrust profile as an inverse optimal control problem</w:t>
      </w:r>
    </w:p>
    <w:p>
      <w:pPr>
        <w:pStyle w:val="ListParagraph"/>
        <w:numPr>
          <w:ilvl w:val="0"/>
          <w:numId w:val="2"/>
        </w:numPr>
        <w:spacing w:after="80"/>
      </w:pPr>
      <w:r>
        <w:t xml:space="preserve">Surrogate-assisted initial guess: use the lab’s scimlstudio toolkit (GP/RBF/NN surrogates) to generate initial guesses for the NLP</w:t>
      </w:r>
    </w:p>
    <w:p>
      <w:pPr>
        <w:spacing w:after="100"/>
      </w:pPr>
    </w:p>
    <w:p>
      <w:pPr>
        <w:pStyle w:val="Heading1"/>
      </w:pPr>
      <w:r>
        <w:t xml:space="preserve">8. References</w:t>
      </w:r>
    </w:p>
    <w:p>
      <w:pPr>
        <w:pStyle w:val="Heading2"/>
      </w:pPr>
      <w:r>
        <w:t xml:space="preserve">8.1 Software</w:t>
      </w:r>
    </w:p>
    <w:p>
      <w:pPr>
        <w:spacing w:after="120"/>
      </w:pPr>
      <w:r>
        <w:rPr>
          <w:b/>
          <w:bCs/>
        </w:rPr>
        <w:t xml:space="preserve">[1] </w:t>
      </w:r>
      <w:r>
        <w:t xml:space="preserve">J. A. E. Andersson, J. Gillis, G. Horn, J. B. Rawlings, and M. Diehl, “CasADi: A software framework for nonlinear optimization and optimal control,” </w:t>
      </w:r>
      <w:r>
        <w:rPr>
          <w:i/>
          <w:iCs/>
        </w:rPr>
        <w:t xml:space="preserve">Mathematical Programming Computation</w:t>
      </w:r>
      <w:r>
        <w:t xml:space="preserve">, vol. 11, no. 1, pp. 1–36, 2019. doi: 10.1007/s12532-018-0139-4</w:t>
      </w:r>
    </w:p>
    <w:p>
      <w:pPr>
        <w:spacing w:after="120"/>
      </w:pPr>
      <w:r>
        <w:rPr>
          <w:b/>
          <w:bCs/>
        </w:rPr>
        <w:t xml:space="preserve">[2] </w:t>
      </w:r>
      <w:r>
        <w:t xml:space="preserve">A. Wächter and L. T. Biegler, “On the implementation of an interior-point filter line-search algorithm for large-scale nonlinear programming,” </w:t>
      </w:r>
      <w:r>
        <w:rPr>
          <w:i/>
          <w:iCs/>
        </w:rPr>
        <w:t xml:space="preserve">Mathematical Programming</w:t>
      </w:r>
      <w:r>
        <w:t xml:space="preserve">, vol. 106, no. 1, pp. 25–57, 2006. doi: 10.1007/s10107-004-0559-y</w:t>
      </w:r>
    </w:p>
    <w:p>
      <w:pPr>
        <w:spacing w:after="120"/>
      </w:pPr>
      <w:r>
        <w:rPr>
          <w:b/>
          <w:bCs/>
        </w:rPr>
        <w:t xml:space="preserve">[3] </w:t>
      </w:r>
      <w:r>
        <w:t xml:space="preserve">The Astropy Collaboration, “The Astropy Project: Sustaining and growing a community-oriented open-source project and the latest major release (v5.0) of the core package,” </w:t>
      </w:r>
      <w:r>
        <w:rPr>
          <w:i/>
          <w:iCs/>
        </w:rPr>
        <w:t xml:space="preserve">The Astrophysical Journal</w:t>
      </w:r>
      <w:r>
        <w:t xml:space="preserve">, vol. 935, no. 2, art. 167, 2022. doi: 10.3847/1538-4357/ac7c74</w:t>
      </w:r>
    </w:p>
    <w:p>
      <w:pPr>
        <w:pStyle w:val="Heading2"/>
      </w:pPr>
      <w:r>
        <w:t xml:space="preserve">8.2 Methods — Direct and Indirect Optimal Control</w:t>
      </w:r>
    </w:p>
    <w:p>
      <w:pPr>
        <w:spacing w:after="120"/>
      </w:pPr>
      <w:r>
        <w:rPr>
          <w:b/>
          <w:bCs/>
        </w:rPr>
        <w:t xml:space="preserve">[4] </w:t>
      </w:r>
      <w:r>
        <w:t xml:space="preserve">J. T. Betts, </w:t>
      </w:r>
      <w:r>
        <w:rPr>
          <w:i/>
          <w:iCs/>
        </w:rPr>
        <w:t xml:space="preserve">Practical Methods for Optimal Control Using Nonlinear Programming</w:t>
      </w:r>
      <w:r>
        <w:t xml:space="preserve">, 3rd ed. Philadelphia, PA: SIAM, 2020. ISBN: 978-1-611976-18-2</w:t>
      </w:r>
    </w:p>
    <w:p>
      <w:pPr>
        <w:spacing w:after="120"/>
      </w:pPr>
      <w:r>
        <w:rPr>
          <w:b/>
          <w:bCs/>
        </w:rPr>
        <w:t xml:space="preserve">[5] </w:t>
      </w:r>
      <w:r>
        <w:t xml:space="preserve">A. E. Bryson and Y.-C. Ho, </w:t>
      </w:r>
      <w:r>
        <w:rPr>
          <w:i/>
          <w:iCs/>
        </w:rPr>
        <w:t xml:space="preserve">Applied Optimal Control: Optimization, Estimation, and Control</w:t>
      </w:r>
      <w:r>
        <w:t xml:space="preserve">. New York: Taylor &amp; Francis, 1975. ISBN: 978-0-891162-28-5</w:t>
      </w:r>
    </w:p>
    <w:p>
      <w:pPr>
        <w:spacing w:after="120"/>
      </w:pPr>
      <w:r>
        <w:rPr>
          <w:b/>
          <w:bCs/>
        </w:rPr>
        <w:t xml:space="preserve">[6] </w:t>
      </w:r>
      <w:r>
        <w:t xml:space="preserve">L. A. Ricciardi and M. Vasile, “Direct transcription of optimal control problems with finite elements on Bernstein basis,” </w:t>
      </w:r>
      <w:r>
        <w:rPr>
          <w:i/>
          <w:iCs/>
        </w:rPr>
        <w:t xml:space="preserve">Journal of Guidance, Control, and Dynamics</w:t>
      </w:r>
      <w:r>
        <w:t xml:space="preserve">, vol. 42, no. 2, pp. 229–243, 2019. doi: 10.2514/1.G003753</w:t>
      </w:r>
    </w:p>
    <w:p>
      <w:pPr>
        <w:spacing w:after="120"/>
      </w:pPr>
      <w:r>
        <w:rPr>
          <w:b/>
          <w:bCs/>
        </w:rPr>
        <w:t xml:space="preserve">[7] </w:t>
      </w:r>
      <w:r>
        <w:t xml:space="preserve">H. G. Bock and K. J. Plitt, “A multiple shooting algorithm for direct solution of optimal control problems,” in </w:t>
      </w:r>
      <w:r>
        <w:rPr>
          <w:i/>
          <w:iCs/>
        </w:rPr>
        <w:t xml:space="preserve">Proc. 9th IFAC World Congress</w:t>
      </w:r>
      <w:r>
        <w:t xml:space="preserve">, Budapest, 1984, pp. 243–247.</w:t>
      </w:r>
    </w:p>
    <w:p>
      <w:pPr>
        <w:spacing w:after="120"/>
      </w:pPr>
      <w:r>
        <w:rPr>
          <w:b/>
          <w:bCs/>
        </w:rPr>
        <w:t xml:space="preserve">[8] </w:t>
      </w:r>
      <w:r>
        <w:t xml:space="preserve">B. A. Conway, Ed., </w:t>
      </w:r>
      <w:r>
        <w:rPr>
          <w:i/>
          <w:iCs/>
        </w:rPr>
        <w:t xml:space="preserve">Spacecraft Trajectory Optimization</w:t>
      </w:r>
      <w:r>
        <w:t xml:space="preserve">, Cambridge Aerospace Series, no. 29. Cambridge: Cambridge University Press, 2010. ISBN: 978-0-521-51850-5</w:t>
      </w:r>
    </w:p>
    <w:p>
      <w:pPr>
        <w:pStyle w:val="Heading2"/>
      </w:pPr>
      <w:r>
        <w:t xml:space="preserve">8.3 Astrodynamics and Mission Design</w:t>
      </w:r>
    </w:p>
    <w:p>
      <w:pPr>
        <w:spacing w:after="120"/>
      </w:pPr>
      <w:r>
        <w:rPr>
          <w:b/>
          <w:bCs/>
        </w:rPr>
        <w:t xml:space="preserve">[9] </w:t>
      </w:r>
      <w:r>
        <w:t xml:space="preserve">V. Szebehely, </w:t>
      </w:r>
      <w:r>
        <w:rPr>
          <w:i/>
          <w:iCs/>
        </w:rPr>
        <w:t xml:space="preserve">Theory of Orbits: The Restricted Problem of Three Bodies</w:t>
      </w:r>
      <w:r>
        <w:t xml:space="preserve">. New York: Academic Press, 1967. ISBN: 978-0-124124-31-8</w:t>
      </w:r>
    </w:p>
    <w:p>
      <w:pPr>
        <w:spacing w:after="120"/>
      </w:pPr>
      <w:r>
        <w:rPr>
          <w:b/>
          <w:bCs/>
        </w:rPr>
        <w:t xml:space="preserve">[10] </w:t>
      </w:r>
      <w:r>
        <w:t xml:space="preserve">W. S. Koon, M. W. Lo, J. E. Marsden, and S. D. Ross, </w:t>
      </w:r>
      <w:r>
        <w:rPr>
          <w:i/>
          <w:iCs/>
        </w:rPr>
        <w:t xml:space="preserve">Dynamical Systems, the Three-Body Problem and Space Mission Design</w:t>
      </w:r>
      <w:r>
        <w:t xml:space="preserve">. Pasadena, CA: Caltech, 2011. Available: https://www.gg.caltech.edu/~mwl/publications/papers/dynamicalThreeBody.pdf</w:t>
      </w:r>
    </w:p>
    <w:p>
      <w:pPr>
        <w:spacing w:after="120"/>
      </w:pPr>
      <w:r>
        <w:rPr>
          <w:b/>
          <w:bCs/>
        </w:rPr>
        <w:t xml:space="preserve">[11] </w:t>
      </w:r>
      <w:r>
        <w:t xml:space="preserve">K. C. Howell, B. T. Barden, and M. W. Lo, “Application of dynamical systems theory to trajectory design for a libration point mission,” </w:t>
      </w:r>
      <w:r>
        <w:rPr>
          <w:i/>
          <w:iCs/>
        </w:rPr>
        <w:t xml:space="preserve">The Journal of the Astronautical Sciences</w:t>
      </w:r>
      <w:r>
        <w:t xml:space="preserve">, vol. 45, no. 2, pp. 161–178, 1997. doi: 10.1007/BF03546374</w:t>
      </w:r>
    </w:p>
    <w:p>
      <w:pPr>
        <w:pStyle w:val="Heading2"/>
      </w:pPr>
      <w:r>
        <w:t xml:space="preserve">8.4 Artemis II Mission Data</w:t>
      </w:r>
    </w:p>
    <w:p>
      <w:pPr>
        <w:spacing w:after="120"/>
      </w:pPr>
      <w:r>
        <w:rPr>
          <w:b/>
          <w:bCs/>
        </w:rPr>
        <w:t xml:space="preserve">[12] </w:t>
      </w:r>
      <w:r>
        <w:t xml:space="preserve">NASA, “Track NASA’s Artemis II Mission in Real Time,” 2026. [Online]. Available: https://www.nasa.gov/missions/artemis/artemis-2/track-nasas-artemis-ii-mission-in-real-time/ [Accessed: Apr. 10, 2026].</w:t>
      </w:r>
    </w:p>
    <w:p>
      <w:pPr>
        <w:spacing w:after="120"/>
      </w:pPr>
      <w:r>
        <w:rPr>
          <w:b/>
          <w:bCs/>
        </w:rPr>
        <w:t xml:space="preserve">[13] </w:t>
      </w:r>
      <w:r>
        <w:t xml:space="preserve">NASA Scientific Visualization Studio, “Nominal (reference) Artemis II mission trajectory,” SVS Vis. 5610, 2025. [Online]. Available: https://svs.gsfc.nasa.gov/5610/</w:t>
      </w:r>
    </w:p>
    <w:p>
      <w:pPr>
        <w:spacing w:after="120"/>
      </w:pPr>
      <w:r>
        <w:rPr>
          <w:b/>
          <w:bCs/>
        </w:rPr>
        <w:t xml:space="preserve">[14] </w:t>
      </w:r>
      <w:r>
        <w:t xml:space="preserve">a.i. solutions, “Trajectory design for Artemis missions,” 2024. [Online]. Available: https://ai-solutions.com/newsroom/artemis-trajectory-design/</w:t>
      </w:r>
    </w:p>
    <w:p>
      <w:pPr>
        <w:pStyle w:val="Heading2"/>
      </w:pPr>
      <w:r>
        <w:t xml:space="preserve">8.5 Adjacent Literature</w:t>
      </w:r>
    </w:p>
    <w:p>
      <w:pPr>
        <w:spacing w:after="120"/>
      </w:pPr>
      <w:r>
        <w:rPr>
          <w:b/>
          <w:bCs/>
        </w:rPr>
        <w:t xml:space="preserve">[15] </w:t>
      </w:r>
      <w:r>
        <w:t xml:space="preserve">D. Izzo, “Global optimization and space pruning for spacecraft trajectory design,” in </w:t>
      </w:r>
      <w:r>
        <w:rPr>
          <w:i/>
          <w:iCs/>
        </w:rPr>
        <w:t xml:space="preserve">Spacecraft Trajectory Optimization</w:t>
      </w:r>
      <w:r>
        <w:t xml:space="preserve">, B. A. Conway, Ed. Cambridge: Cambridge University Press, 2010, ch. 7, pp. 178–199.</w:t>
      </w:r>
    </w:p>
    <w:p>
      <w:pPr>
        <w:spacing w:after="120"/>
      </w:pPr>
      <w:r>
        <w:rPr>
          <w:b/>
          <w:bCs/>
        </w:rPr>
        <w:t xml:space="preserve">[16] </w:t>
      </w:r>
      <w:r>
        <w:t xml:space="preserve">C. A. Kluever, “Low-thrust trajectory optimization using orbital averaging and control parameterization,” in </w:t>
      </w:r>
      <w:r>
        <w:rPr>
          <w:i/>
          <w:iCs/>
        </w:rPr>
        <w:t xml:space="preserve">Spacecraft Trajectory Optimization</w:t>
      </w:r>
      <w:r>
        <w:t xml:space="preserve">, B. A. Conway, Ed. Cambridge: Cambridge University Press, 2010, ch. 5, pp. 112–138.</w:t>
      </w:r>
    </w:p>
    <w:p>
      <w:pPr>
        <w:spacing w:after="120"/>
      </w:pPr>
      <w:r>
        <w:rPr>
          <w:b/>
          <w:bCs/>
        </w:rPr>
        <w:t xml:space="preserve">[17] </w:t>
      </w:r>
      <w:r>
        <w:t xml:space="preserve">P. E. Gill, W. Murray, and M. A. Saunders, “SNOPT: An SQP algorithm for large-scale constrained optimization,” </w:t>
      </w:r>
      <w:r>
        <w:rPr>
          <w:i/>
          <w:iCs/>
        </w:rPr>
        <w:t xml:space="preserve">SIAM Review</w:t>
      </w:r>
      <w:r>
        <w:t xml:space="preserve">, vol. 47, no. 1, pp. 99–131, 2005. doi: 10.1137/S0036144504446096</w:t>
      </w:r>
    </w:p>
    <w:p>
      <w:pPr>
        <w:spacing w:after="120"/>
      </w:pPr>
      <w:r>
        <w:rPr>
          <w:b/>
          <w:bCs/>
        </w:rPr>
        <w:t xml:space="preserve">[18] </w:t>
      </w:r>
      <w:r>
        <w:t xml:space="preserve">L. S. Pontryagin, V. G. Boltyanskii, R. V. Gamkrelidze, and E. F. Mishchenko, </w:t>
      </w:r>
      <w:r>
        <w:rPr>
          <w:i/>
          <w:iCs/>
        </w:rPr>
        <w:t xml:space="preserve">The Mathematical Theory of Optimal Processes</w:t>
      </w:r>
      <w:r>
        <w:t xml:space="preserve">. New York: Interscience Publishers, 1962.</w:t>
      </w:r>
    </w:p>
    <w:p>
      <w:pPr>
        <w:spacing w:after="120"/>
      </w:pPr>
      <w:r>
        <w:rPr>
          <w:b/>
          <w:bCs/>
        </w:rPr>
        <w:t xml:space="preserve">[19] </w:t>
      </w:r>
      <w:r>
        <w:t xml:space="preserve">R. H. Battin, </w:t>
      </w:r>
      <w:r>
        <w:rPr>
          <w:i/>
          <w:iCs/>
        </w:rPr>
        <w:t xml:space="preserve">An Introduction to the Mathematics and Methods of Astrodynamics</w:t>
      </w:r>
      <w:r>
        <w:t xml:space="preserve">, Revised ed. Reston, VA: AIAA, 1999. ISBN: 978-1-563473-42-7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666666"/>
        <w:sz w:val="18"/>
        <w:szCs w:val="18"/>
      </w:rPr>
      <w:t xml:space="preserve">AAE 568 Project Notes</w:t>
    </w:r>
    <w:r>
      <w:rPr>
        <w:color w:val="666666"/>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2026-04-13T06:11:59.644Z</dcterms:created>
  <dcterms:modified xsi:type="dcterms:W3CDTF">2026-04-13T06:11:59.644Z</dcterms:modified>
</cp:coreProperties>
</file>

<file path=docProps/custom.xml><?xml version="1.0" encoding="utf-8"?>
<Properties xmlns="http://schemas.openxmlformats.org/officeDocument/2006/custom-properties" xmlns:vt="http://schemas.openxmlformats.org/officeDocument/2006/docPropsVTypes"/>
</file>