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ASFALT KAPLAMA TEKNİK ŞARTNAMESİ</w:t>
      </w:r>
    </w:p>
    <w:p>
      <w:pPr>
        <w:pStyle w:val="Heading2"/>
      </w:pPr>
      <w:r>
        <w:t>1. Karışım Tipleri</w:t>
      </w:r>
    </w:p>
    <w:p>
      <w:r>
        <w:t>Aşınma tabakasında Tip-1 taş mastik asfalt (SMA) veya yoğun gradasyonlu beton asfalt kullanılır. Otoyol ana gövdesinde aşınma tabakası kalınlığı 5 cm, binder tabakası 8 cm'dir. Bitüm sınıfı yoğun trafikli kesimlerde 50/70, dağlık ve soğuk iklim kesimlerinde 70/100 penetrasyonlu bitümdür.</w:t>
      </w:r>
    </w:p>
    <w:p>
      <w:pPr>
        <w:pStyle w:val="Heading2"/>
      </w:pPr>
      <w:r>
        <w:t>2. Serim Koşulları</w:t>
      </w:r>
    </w:p>
    <w:p>
      <w:r>
        <w:t>Asfalt serimi, karışım sıcaklığı 135 santigrat derecenin altına düşmeden yapılmak zorundadır. Sıkıştırma, karışım sıcaklığı 80 derecenin üzerindeyken tamamlanır. Yol yüzey sıcaklığı 10 derecenin altındayken ve yağışlı havada serim yapılmaz. Soğuk derz sayısını azaltmak için mümkün olan her kesimde çift finişerle eş zamanlı serim tercih edilir.</w:t>
      </w:r>
    </w:p>
    <w:p>
      <w:pPr>
        <w:pStyle w:val="Heading2"/>
      </w:pPr>
      <w:r>
        <w:t>3. Sıkıştırma ve Kabul Kriterleri</w:t>
      </w:r>
    </w:p>
    <w:p>
      <w:r>
        <w:t>Sıkışma oranı, Marshall yoğunluğunun en az yüzde 97'si olmalıdır. Her 1.000 ton serim için en az bir karot alınır. Yüzey düzgünlüğü 3 metrelik mastarla ölçülür; 4 milimetreyi aşan sapma kabul edilmez. IRI (uluslararası düzgünsüzlük indeksi) otoyollarda 1,5 m/km'yi aşamaz.</w:t>
      </w:r>
    </w:p>
    <w:p>
      <w:pPr>
        <w:pStyle w:val="Heading2"/>
      </w:pPr>
      <w:r>
        <w:t>4. Geri Kazanılmış Asfalt (RAP)</w:t>
      </w:r>
    </w:p>
    <w:p>
      <w:r>
        <w:t>Binder tabakasında ağırlıkça en fazla yüzde 25, aşınma tabakasında en fazla yüzde 10 oranında geri kazanılmış asfalt (RAP) kullanılabilir. RAP kullanımına ilişkin çevresel hedefler Çevre ve Gürültü Yönetimi Talimatında düzenlenmiştir.</w:t>
      </w:r>
    </w:p>
    <w:p>
      <w:pPr>
        <w:pStyle w:val="Heading2"/>
      </w:pPr>
      <w:r>
        <w:t>5. Deneyler</w:t>
      </w:r>
    </w:p>
    <w:p>
      <w:r>
        <w:t>Karışım tasarımı ve rutin kontrol deneyleri kurum laboratuvarlarında yapılır. Deney listesi ve süreleri için Laboratuvar Deney Kataloğuna bakınız. Şantiyede her serim gününde en az bir sıcaklık ölçüm tutanağı düzenlenir.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