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ÇEVRE VE GÜRÜLTÜ YÖNETİMİ TALİMATI</w:t>
      </w:r>
    </w:p>
    <w:p>
      <w:pPr>
        <w:pStyle w:val="Heading2"/>
      </w:pPr>
      <w:r>
        <w:t>1. Gürültü Yönetimi</w:t>
      </w:r>
    </w:p>
    <w:p>
      <w:r>
        <w:t>Yerleşim alanlarından geçen kesimlerde gündüz eşdeğer gürültü seviyesi 65 dBA'yı, gece 55 dBA'yı aşamaz. Ölçümlerle aşım tespit edilen kesimlerde gürültü bariyeri projelendirilir. Bariyer yüksekliği akustik hesapla belirlenir ve 2 metreden az olamaz. Okul ve hastane komşuluğundaki kesimler bariyer programında önceliklidir.</w:t>
      </w:r>
    </w:p>
    <w:p>
      <w:pPr>
        <w:pStyle w:val="Heading2"/>
      </w:pPr>
      <w:r>
        <w:t>2. Su Kaynaklarının Korunması</w:t>
      </w:r>
    </w:p>
    <w:p>
      <w:r>
        <w:t>İçme suyu havzalarından geçen yol kesimlerinde yüzey suları, sızdırmaz drenaj kanallarıyla toplanır ve yağ-çamur ayırıcıdan geçirilmeden alıcı ortama verilemez. Köprülü su geçişlerinde dere yatağına beton ve asfalt atığı dökülmesi kesinlikle yasaktır.</w:t>
      </w:r>
    </w:p>
    <w:p>
      <w:pPr>
        <w:pStyle w:val="Heading2"/>
      </w:pPr>
      <w:r>
        <w:t>3. Atık Yönetimi</w:t>
      </w:r>
    </w:p>
    <w:p>
      <w:r>
        <w:t>Kazınan asfalt (RAP) yüzde 100 geri kazanım hedefiyle plent sahalarında stoklanır; düzenli depolamaya gönderilemez. Şantiye atık yağları lisanslı firmalara teslim edilir ve teslim belgeleri 5 yıl saklanır. Asfalt şartnamesindeki RAP kullanım oranları bu hedefin uygulamasıdır.</w:t>
      </w:r>
    </w:p>
    <w:p>
      <w:pPr>
        <w:pStyle w:val="Heading2"/>
      </w:pPr>
      <w:r>
        <w:t>4. Tuz Kullanımı ve Bitki Örtüsü</w:t>
      </w:r>
    </w:p>
    <w:p>
      <w:r>
        <w:t>Kar mücadelesinde solüsyon kullanımı, katı tuz tüketimini azalttığı için içme suyu havzalarında zorunludur. Ağaçlandırma yapılan şevlerde tuz püskürtme mesafesine dikkat edilir. Refüjlerde kimyasal ot ilacı kullanımı yasaktır; vejetasyon kontrolü mekanik biçmeyle yapılır.</w:t>
      </w:r>
    </w:p>
    <w:p>
      <w:pPr>
        <w:pStyle w:val="Heading2"/>
      </w:pPr>
      <w:r>
        <w:t>5. Çevresel İzleme</w:t>
      </w:r>
    </w:p>
    <w:p>
      <w:r>
        <w:t>Her bölge müdürlüğünde yılda bir çevresel uygunluk denetimi yapılır. Denetim bulguları 30 gün içinde kapatılmak zorundadır; kapatılmayan bulgular genel müdürlük çevre kuruluna raporlanır.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