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İŞ SAĞLIĞI VE GÜVENLİĞİ TALİMATI (YOL ÇALIŞMALARI)</w:t>
      </w:r>
    </w:p>
    <w:p>
      <w:pPr>
        <w:pStyle w:val="Heading2"/>
      </w:pPr>
      <w:r>
        <w:t>1. Kapsam</w:t>
      </w:r>
    </w:p>
    <w:p>
      <w:r>
        <w:t>Bu talimat, trafiğe açık yollarda yürütülen bakım, onarım ve yapım çalışmalarında uygulanacak iş sağlığı ve güvenliği kurallarını düzenler. Talimat, kurum personeli ve yüklenici personeli için bağlayıcıdır.</w:t>
      </w:r>
    </w:p>
    <w:p>
      <w:pPr>
        <w:pStyle w:val="Heading2"/>
      </w:pPr>
      <w:r>
        <w:t>2. Kişisel Koruyucu Donanım</w:t>
      </w:r>
    </w:p>
    <w:p>
      <w:r>
        <w:t>Trafiğe açık alanda çalışan herkes EN ISO 20471 standardında Sınıf 3 reflektif giysi giymek zorundadır. Baret, çelik burunlu ayakkabı ve çalışmaya uygun eldiven tüm şantiyelerde zorunludur. Gece çalışmalarında reflektif giysiye ek olarak yanıp sönen kişisel uyarı lambası kullanılır.</w:t>
      </w:r>
    </w:p>
    <w:p>
      <w:pPr>
        <w:pStyle w:val="Heading2"/>
      </w:pPr>
      <w:r>
        <w:t>3. Trafik Altında Çalışma</w:t>
      </w:r>
    </w:p>
    <w:p>
      <w:r>
        <w:t>Şerit kapatma gerektiren çalışmalarda araç konvoyunun en arkasına çarpışma yastıklı araç (TMA) yerleştirilmesi zorunludur. Koni dizilişi, 90 km/s ve üzeri hız limitli kesimlerde 12 metre aralıklarla, şehir içi kesimlerde 6 metre aralıklarla yapılır. Uyarı levhaları çalışma alanından en az 500 metre önce başlar. Kısa süreli hareketli çalışmalarda (çizgi, biçme) koruma aracı çalışma aracını en fazla 150 metre geriden izler.</w:t>
      </w:r>
    </w:p>
    <w:p>
      <w:pPr>
        <w:pStyle w:val="Heading2"/>
      </w:pPr>
      <w:r>
        <w:t>4. Eğitim ve Yetkilendirme</w:t>
      </w:r>
    </w:p>
    <w:p>
      <w:r>
        <w:t>Trafik altında çalışacak her personel, yılda bir kez tekrarlanan Trafikte Güvenli Çalışma eğitimini tamamlamak zorundadır. Eğitimsiz personel şantiyeye alınmaz. Flama işaretçileri için ayrıca uygulamalı sınav şartı aranır.</w:t>
      </w:r>
    </w:p>
    <w:p>
      <w:pPr>
        <w:pStyle w:val="Heading2"/>
      </w:pPr>
      <w:r>
        <w:t>5. Olay Bildirimi</w:t>
      </w:r>
    </w:p>
    <w:p>
      <w:r>
        <w:t>Tüm iş kazaları ve ramak kala olayları 24 saat içinde İSG birimine bildirilir. Ölümlü veya uzuv kayıplı kazalarda çalışma derhal durdurulur ve saha, inceleme tamamlanana kadar korunur.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