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KARAYOLU DENETİM İSTASYONLARI İŞLETME YÖNERGESİ</w:t>
      </w:r>
    </w:p>
    <w:p>
      <w:pPr>
        <w:pStyle w:val="Heading2"/>
      </w:pPr>
      <w:r>
        <w:t>1. Amaç ve Kapsam</w:t>
      </w:r>
    </w:p>
    <w:p>
      <w:r>
        <w:t>Bu yönerge, ağır taşıtların ağırlık ve boyut denetiminin yapıldığı sabit denetim istasyonları ile hareket halinde tartım (WIM) sisteminin işletme esaslarını düzenler. Denetimlerin dayanağı Ağır ve Özel Yük Taşıma İzni Yönergesindeki genel sınırlardır: azami toplam ağırlık 44 ton, azami yükseklik 4,00 metre, azami genişlik 2,55 metre.</w:t>
      </w:r>
    </w:p>
    <w:p>
      <w:pPr>
        <w:pStyle w:val="Heading2"/>
      </w:pPr>
      <w:r>
        <w:t>2. Sabit Denetim İstasyonları</w:t>
      </w:r>
    </w:p>
    <w:p>
      <w:r>
        <w:t>Ağ genelinde 9 sabit denetim istasyonu bulunur ve tümü 24 saat esasıyla çalışır. İstasyonlarda 60 ton kapasiteli tam platform kantar, dingil kantarı ve lazerli boyut ölçüm kapısı bulunur. Kantarlar yılda iki kez kalibre edilir; kalibrasyon sertifikası olmayan kantarla ceza işlemi yapılamaz.</w:t>
      </w:r>
    </w:p>
    <w:p>
      <w:pPr>
        <w:pStyle w:val="Heading2"/>
      </w:pPr>
      <w:r>
        <w:t>3. Hareket Halinde Tartım (WIM)</w:t>
      </w:r>
    </w:p>
    <w:p>
      <w:r>
        <w:t>Ana otoyol kesimlerine yerleştirilmiş 14 WIM sensörü, araçları seyir halindeyken tartar. WIM verisi ön eleme amaçlıdır: yüzde 5'ten fazla aşım şüphesi taşıyan araçlar, değişken mesaj işaretleri ve plaka okuma altyapısı (SGS kameraları) üzerinden en yakın sabit istasyona yönlendirilir. WIM verisi tek başına ceza gerekçesi olamaz; ceza yalnızca kalibreli sabit kantar tartımına dayanır.</w:t>
      </w:r>
    </w:p>
    <w:p>
      <w:pPr>
        <w:pStyle w:val="Heading2"/>
      </w:pPr>
      <w:r>
        <w:t>4. Tartım ve Tolerans</w:t>
      </w:r>
    </w:p>
    <w:p>
      <w:r>
        <w:t>Sabit kantar tartımında dingil yükü toleransı yüzde 5'tir. Toplam ağırlıkta aşım tespitinde araç, fazla yük ayrı bir araca aktarılmadan veya izin alınmadan yola devam edemez. Aşım cezası, aşılan ton başına hesaplanır ve tutanakla tebliğ edilir. Dingil aşımının izinli taşımalarda tespiti halinde özel yük izni iptal edilir.</w:t>
      </w:r>
    </w:p>
    <w:p>
      <w:pPr>
        <w:pStyle w:val="Heading2"/>
      </w:pPr>
      <w:r>
        <w:t>5. İstasyondan Kaçış</w:t>
      </w:r>
    </w:p>
    <w:p>
      <w:r>
        <w:t>Yönlendirme işaretine rağmen denetim istasyonuna girmeyen araçlar plaka okuma kayıtlarıyla tespit edilir ve normal aşım cezasının 2 katı uygulanır. Kaçış kayıtları aylık olarak trafik zabıtasına bildirilir.</w:t>
      </w:r>
    </w:p>
    <w:p>
      <w:pPr>
        <w:pStyle w:val="Heading2"/>
      </w:pPr>
      <w:r>
        <w:t>6. Boyut Denetimi</w:t>
      </w:r>
    </w:p>
    <w:p>
      <w:r>
        <w:t>Lazerli ölçüm kapısı yükseklik ve genişliği araç geçerken ölçer. Gabari aşımı tespit edilen araç, özel yük izni yoksa güvenli alana alınır. Tünelli güzergahlarda yük yüksekliğinin tünel gabarisinden en az 30 santimetre düşük olması şartı denetimde ayrıca kontrol edilir.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