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40"/>
        </w:rPr>
        <w:t>AIC COMPETITIVE &amp; RISK ANALYSIS</w:t>
      </w:r>
    </w:p>
    <w:p>
      <w:pPr>
        <w:jc w:val="center"/>
      </w:pPr>
      <w:r>
        <w:rPr>
          <w:color w:val="646464"/>
          <w:sz w:val="22"/>
        </w:rPr>
        <w:t>Competitive Positioning, Threat Assessment &amp; Mitigation Strategies</w:t>
      </w:r>
    </w:p>
    <w:p/>
    <w:p>
      <w:r>
        <w:rPr>
          <w:b/>
          <w:color w:val="282828"/>
          <w:sz w:val="28"/>
        </w:rPr>
        <w:t>PART 1: COMPETITIVE LANDSCAPE ANALYSIS</w:t>
      </w:r>
    </w:p>
    <w:p/>
    <w:p>
      <w:r>
        <w:rPr>
          <w:b/>
          <w:u w:val="single"/>
        </w:rPr>
        <w:t>COMPETITOR 1: ISO/IEC 42001 (AI Management System Standard)</w:t>
      </w:r>
    </w:p>
    <w:p/>
    <w:p>
      <w:r>
        <w:rPr>
          <w:b/>
        </w:rPr>
        <w:t xml:space="preserve">Overview: </w:t>
      </w:r>
      <w:r>
        <w:t>Published in 2023, ISO 42001 is the first international standard for AI management systems. Covers organizational governance, risk management, and responsible AI deployment.</w:t>
      </w:r>
    </w:p>
    <w:p>
      <w:r>
        <w:rPr>
          <w:b/>
        </w:rPr>
        <w:t>Competitive Strengths:</w:t>
      </w:r>
    </w:p>
    <w:p>
      <w:pPr>
        <w:pStyle w:val="ListBullet"/>
        <w:ind w:left="720"/>
      </w:pPr>
      <w:r>
        <w:t>• Established global brand (ISO family of standards)</w:t>
      </w:r>
    </w:p>
    <w:p>
      <w:pPr>
        <w:pStyle w:val="ListBullet"/>
        <w:ind w:left="720"/>
      </w:pPr>
      <w:r>
        <w:t>• Existing certification bodies (Bureau Veritas, SGS, BSI) can offer it immediately</w:t>
      </w:r>
    </w:p>
    <w:p>
      <w:pPr>
        <w:pStyle w:val="ListBullet"/>
        <w:ind w:left="720"/>
      </w:pPr>
      <w:r>
        <w:t>• International recognition and mutual recognition arrangements</w:t>
      </w:r>
    </w:p>
    <w:p>
      <w:pPr>
        <w:pStyle w:val="ListBullet"/>
        <w:ind w:left="720"/>
      </w:pPr>
      <w:r>
        <w:t>• Covers broad AI governance (not just decision-making)</w:t>
      </w:r>
    </w:p>
    <w:p/>
    <w:p>
      <w:r>
        <w:rPr>
          <w:b/>
        </w:rPr>
        <w:t>Critical Weaknesses:</w:t>
      </w:r>
    </w:p>
    <w:p>
      <w:pPr>
        <w:pStyle w:val="ListBullet"/>
        <w:ind w:left="720"/>
      </w:pPr>
      <w:r>
        <w:t>• Generic framework not tailored to POPIA Section 71 requirements</w:t>
      </w:r>
    </w:p>
    <w:p>
      <w:pPr>
        <w:pStyle w:val="ListBullet"/>
        <w:ind w:left="720"/>
      </w:pPr>
      <w:r>
        <w:t>• Focuses on organizational policies, not individual AI decision accountability</w:t>
      </w:r>
    </w:p>
    <w:p>
      <w:pPr>
        <w:pStyle w:val="ListBullet"/>
        <w:ind w:left="720"/>
      </w:pPr>
      <w:r>
        <w:t>• Does not provide tiered approach based on decision stakes (Tier 1/2/3 concept)</w:t>
      </w:r>
    </w:p>
    <w:p>
      <w:pPr>
        <w:pStyle w:val="ListBullet"/>
        <w:ind w:left="720"/>
      </w:pPr>
      <w:r>
        <w:t>• No specific human oversight verification methodology</w:t>
      </w:r>
    </w:p>
    <w:p>
      <w:pPr>
        <w:pStyle w:val="ListBullet"/>
        <w:ind w:left="720"/>
      </w:pPr>
      <w:r>
        <w:t>• Not designed for South African regulatory environment</w:t>
      </w:r>
    </w:p>
    <w:p/>
    <w:p>
      <w:r>
        <w:rPr>
          <w:b/>
        </w:rPr>
        <w:t xml:space="preserve">AIC Competitive Advantage: </w:t>
      </w:r>
      <w:r>
        <w:t>Purpose-built for POPIA Section 71 compliance. AIC can certify alongside ISO 42001 (organization-level governance) while providing granular AI decision accountability. Complementary, not competitive.</w:t>
      </w:r>
    </w:p>
    <w:p/>
    <w:p/>
    <w:p>
      <w:r>
        <w:rPr>
          <w:b/>
          <w:u w:val="single"/>
        </w:rPr>
        <w:t>COMPETITOR 2: Big 4 Consultancies (Deloitte, PwC, KPMG, EY)</w:t>
      </w:r>
    </w:p>
    <w:p/>
    <w:p>
      <w:r>
        <w:rPr>
          <w:b/>
        </w:rPr>
        <w:t xml:space="preserve">Overview: </w:t>
      </w:r>
      <w:r>
        <w:t>All Big 4 firms offer "AI Ethics &amp; Governance" consulting services. Conduct risk assessments, policy development, and advisory work for AI deployment.</w:t>
      </w:r>
    </w:p>
    <w:p>
      <w:r>
        <w:rPr>
          <w:b/>
        </w:rPr>
        <w:t>Competitive Strengths:</w:t>
      </w:r>
    </w:p>
    <w:p>
      <w:pPr>
        <w:pStyle w:val="ListBullet"/>
        <w:ind w:left="720"/>
      </w:pPr>
      <w:r>
        <w:t>• Existing relationships with all major South African enterprises</w:t>
      </w:r>
    </w:p>
    <w:p>
      <w:pPr>
        <w:pStyle w:val="ListBullet"/>
        <w:ind w:left="720"/>
      </w:pPr>
      <w:r>
        <w:t>• Deep bench of consultants and subject matter experts</w:t>
      </w:r>
    </w:p>
    <w:p>
      <w:pPr>
        <w:pStyle w:val="ListBullet"/>
        <w:ind w:left="720"/>
      </w:pPr>
      <w:r>
        <w:t>• Ability to bundle AI governance with other advisory work</w:t>
      </w:r>
    </w:p>
    <w:p>
      <w:pPr>
        <w:pStyle w:val="ListBullet"/>
        <w:ind w:left="720"/>
      </w:pPr>
      <w:r>
        <w:t>• Brand credibility and trust with C-suite executives</w:t>
      </w:r>
    </w:p>
    <w:p/>
    <w:p>
      <w:r>
        <w:rPr>
          <w:b/>
        </w:rPr>
        <w:t>Critical Weaknesses:</w:t>
      </w:r>
    </w:p>
    <w:p>
      <w:pPr>
        <w:pStyle w:val="ListBullet"/>
        <w:ind w:left="720"/>
      </w:pPr>
      <w:r>
        <w:t>• Consulting, not certification - no third-party accredited seal</w:t>
      </w:r>
    </w:p>
    <w:p>
      <w:pPr>
        <w:pStyle w:val="ListBullet"/>
        <w:ind w:left="720"/>
      </w:pPr>
      <w:r>
        <w:t>• Project-based revenue (one-time engagements), not recurring</w:t>
      </w:r>
    </w:p>
    <w:p>
      <w:pPr>
        <w:pStyle w:val="ListBullet"/>
        <w:ind w:left="720"/>
      </w:pPr>
      <w:r>
        <w:t>• Cannot offer "certified" status that clients can display publicly</w:t>
      </w:r>
    </w:p>
    <w:p>
      <w:pPr>
        <w:pStyle w:val="ListBullet"/>
        <w:ind w:left="720"/>
      </w:pPr>
      <w:r>
        <w:t>• No SANAS accreditation pathway for their methodologies</w:t>
      </w:r>
    </w:p>
    <w:p>
      <w:pPr>
        <w:pStyle w:val="ListBullet"/>
        <w:ind w:left="720"/>
      </w:pPr>
      <w:r>
        <w:t>• Expensive (ZAR 1M+ for typical Big 4 engagement vs. ZAR 240K for AIC)</w:t>
      </w:r>
    </w:p>
    <w:p>
      <w:pPr>
        <w:pStyle w:val="ListBullet"/>
        <w:ind w:left="720"/>
      </w:pPr>
      <w:r>
        <w:t>• Perceived conflict of interest (auditing their own consulting advice)</w:t>
      </w:r>
    </w:p>
    <w:p/>
    <w:p>
      <w:r>
        <w:rPr>
          <w:b/>
        </w:rPr>
        <w:t xml:space="preserve">AIC Competitive Advantage: </w:t>
      </w:r>
      <w:r>
        <w:t>Certification provides tangible, displayable proof of compliance. Organizations can use "AIC Certified" in marketing, tenders, and insurance negotiations. Big 4 consulting engagement has no external validation. AIC can partner with Big 4 as implementation consultants (they prepare clients for AIC audit).</w:t>
      </w:r>
    </w:p>
    <w:p/>
    <w:p/>
    <w:p>
      <w:r>
        <w:rPr>
          <w:b/>
          <w:u w:val="single"/>
        </w:rPr>
        <w:t>COMPETITOR 3: AI Governance Tech Platforms (Credo AI, Fiddler AI, Arthur AI)</w:t>
      </w:r>
    </w:p>
    <w:p/>
    <w:p>
      <w:r>
        <w:rPr>
          <w:b/>
        </w:rPr>
        <w:t xml:space="preserve">Overview: </w:t>
      </w:r>
      <w:r>
        <w:t>Software platforms for AI model monitoring, bias detection, and explainability. Provide technical tools for continuous AI governance.</w:t>
      </w:r>
    </w:p>
    <w:p>
      <w:r>
        <w:rPr>
          <w:b/>
        </w:rPr>
        <w:t>Competitive Strengths:</w:t>
      </w:r>
    </w:p>
    <w:p>
      <w:pPr>
        <w:pStyle w:val="ListBullet"/>
        <w:ind w:left="720"/>
      </w:pPr>
      <w:r>
        <w:t>• Automated, real-time monitoring (not periodic audit)</w:t>
      </w:r>
    </w:p>
    <w:p>
      <w:pPr>
        <w:pStyle w:val="ListBullet"/>
        <w:ind w:left="720"/>
      </w:pPr>
      <w:r>
        <w:t>• Technical depth in AI/ML model analysis</w:t>
      </w:r>
    </w:p>
    <w:p>
      <w:pPr>
        <w:pStyle w:val="ListBullet"/>
        <w:ind w:left="720"/>
      </w:pPr>
      <w:r>
        <w:t>• Lower cost than consulting or certification (SaaS pricing)</w:t>
      </w:r>
    </w:p>
    <w:p>
      <w:pPr>
        <w:pStyle w:val="ListBullet"/>
        <w:ind w:left="720"/>
      </w:pPr>
      <w:r>
        <w:t>• Fast implementation (days/weeks vs. months for certification)</w:t>
      </w:r>
    </w:p>
    <w:p/>
    <w:p>
      <w:r>
        <w:rPr>
          <w:b/>
        </w:rPr>
        <w:t>Critical Weaknesses:</w:t>
      </w:r>
    </w:p>
    <w:p>
      <w:pPr>
        <w:pStyle w:val="ListBullet"/>
        <w:ind w:left="720"/>
      </w:pPr>
      <w:r>
        <w:t>• Tools, not frameworks - organizations still need to interpret results</w:t>
      </w:r>
    </w:p>
    <w:p>
      <w:pPr>
        <w:pStyle w:val="ListBullet"/>
        <w:ind w:left="720"/>
      </w:pPr>
      <w:r>
        <w:t>• No independent third-party validation or certification</w:t>
      </w:r>
    </w:p>
    <w:p>
      <w:pPr>
        <w:pStyle w:val="ListBullet"/>
        <w:ind w:left="720"/>
      </w:pPr>
      <w:r>
        <w:t>• US/EU-focused with limited African market presence</w:t>
      </w:r>
    </w:p>
    <w:p>
      <w:pPr>
        <w:pStyle w:val="ListBullet"/>
        <w:ind w:left="720"/>
      </w:pPr>
      <w:r>
        <w:t>• Technical bias detection only - does not verify human accountability processes</w:t>
      </w:r>
    </w:p>
    <w:p>
      <w:pPr>
        <w:pStyle w:val="ListBullet"/>
        <w:ind w:left="720"/>
      </w:pPr>
      <w:r>
        <w:t>• Cannot provide regulatory compliance certification (POPIA, AI Act)</w:t>
      </w:r>
    </w:p>
    <w:p>
      <w:pPr>
        <w:pStyle w:val="ListBullet"/>
        <w:ind w:left="720"/>
      </w:pPr>
      <w:r>
        <w:t>• Self-attestation (organization monitors itself, no external audit)</w:t>
      </w:r>
    </w:p>
    <w:p/>
    <w:p>
      <w:r>
        <w:rPr>
          <w:b/>
        </w:rPr>
        <w:t xml:space="preserve">AIC Competitive Advantage: </w:t>
      </w:r>
      <w:r>
        <w:t>AIC Pulse (our monitoring SaaS) can integrate with these platforms as data sources. Organizations use Credo/Fiddler for ongoing monitoring, then AIC audits validate their governance processes. Complementary products. Potential partnership: AIC-certified organizations get discount on Credo AI platform.</w:t>
      </w:r>
    </w:p>
    <w:p/>
    <w:p/>
    <w:p>
      <w:r>
        <w:rPr>
          <w:b/>
          <w:u w:val="single"/>
        </w:rPr>
        <w:t>COMPETITOR 4: Existing SANAS-Accredited Certification Bodies</w:t>
      </w:r>
    </w:p>
    <w:p/>
    <w:p>
      <w:r>
        <w:rPr>
          <w:b/>
        </w:rPr>
        <w:t xml:space="preserve">Overview: </w:t>
      </w:r>
      <w:r>
        <w:t>Organizations like ISOQAR Africa, DEKRA, TÜV Rheinland already have SANAS accreditation for ISO 9001, 14001, 45001. Could theoretically extend into AI certification.</w:t>
      </w:r>
    </w:p>
    <w:p>
      <w:r>
        <w:rPr>
          <w:b/>
        </w:rPr>
        <w:t>Competitive Strengths:</w:t>
      </w:r>
    </w:p>
    <w:p>
      <w:pPr>
        <w:pStyle w:val="ListBullet"/>
        <w:ind w:left="720"/>
      </w:pPr>
      <w:r>
        <w:t>• SANAS accreditation already in place (14-month head start on AIC)</w:t>
      </w:r>
    </w:p>
    <w:p>
      <w:pPr>
        <w:pStyle w:val="ListBullet"/>
        <w:ind w:left="720"/>
      </w:pPr>
      <w:r>
        <w:t>• Established client relationships in South Africa</w:t>
      </w:r>
    </w:p>
    <w:p>
      <w:pPr>
        <w:pStyle w:val="ListBullet"/>
        <w:ind w:left="720"/>
      </w:pPr>
      <w:r>
        <w:t>• Experienced audit teams and operational infrastructure</w:t>
      </w:r>
    </w:p>
    <w:p>
      <w:pPr>
        <w:pStyle w:val="ListBullet"/>
        <w:ind w:left="720"/>
      </w:pPr>
      <w:r>
        <w:t>• Could add AI certification to existing portfolio</w:t>
      </w:r>
    </w:p>
    <w:p/>
    <w:p>
      <w:r>
        <w:rPr>
          <w:b/>
        </w:rPr>
        <w:t>Critical Weaknesses:</w:t>
      </w:r>
    </w:p>
    <w:p>
      <w:pPr>
        <w:pStyle w:val="ListBullet"/>
        <w:ind w:left="720"/>
      </w:pPr>
      <w:r>
        <w:t>• No AI-specific expertise - audit teams trained in quality management, not AI ethics</w:t>
      </w:r>
    </w:p>
    <w:p>
      <w:pPr>
        <w:pStyle w:val="ListBullet"/>
        <w:ind w:left="720"/>
      </w:pPr>
      <w:r>
        <w:t>• Would need to develop methodology from scratch (same position as AIC)</w:t>
      </w:r>
    </w:p>
    <w:p>
      <w:pPr>
        <w:pStyle w:val="ListBullet"/>
        <w:ind w:left="720"/>
      </w:pPr>
      <w:r>
        <w:t>• Lack brand positioning around AI accountability (known for traditional ISO standards)</w:t>
      </w:r>
    </w:p>
    <w:p>
      <w:pPr>
        <w:pStyle w:val="ListBullet"/>
        <w:ind w:left="720"/>
      </w:pPr>
      <w:r>
        <w:t>• Conservative organizations slow to enter new markets</w:t>
      </w:r>
    </w:p>
    <w:p>
      <w:pPr>
        <w:pStyle w:val="ListBullet"/>
        <w:ind w:left="720"/>
      </w:pPr>
      <w:r>
        <w:t>• Would compete with their global parent organizations (Bureau Veritas HQ might want to own AI certification globally)</w:t>
      </w:r>
    </w:p>
    <w:p>
      <w:pPr>
        <w:pStyle w:val="ListBullet"/>
        <w:ind w:left="720"/>
      </w:pPr>
      <w:r>
        <w:t>• To date, none have launched AI-specific certification despite ISO 42001 being available</w:t>
      </w:r>
    </w:p>
    <w:p/>
    <w:p>
      <w:r>
        <w:rPr>
          <w:b/>
        </w:rPr>
        <w:t xml:space="preserve">AIC Competitive Advantage: </w:t>
      </w:r>
      <w:r>
        <w:t>First-mover with purpose-built AI accountability framework. By the time traditional certification bodies decide to enter, AIC will have refined methodology, case studies, and market position. AIC could be acquisition target for these players (exit strategy).</w:t>
      </w:r>
    </w:p>
    <w:p/>
    <w:p/>
    <w:p>
      <w:r>
        <w:rPr>
          <w:b/>
          <w:sz w:val="26"/>
        </w:rPr>
        <w:t>COMPETITIVE POSITIONING SUMMARY</w:t>
      </w:r>
    </w:p>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b/>
              </w:rPr>
              <w:t>Player</w:t>
            </w:r>
          </w:p>
        </w:tc>
        <w:tc>
          <w:tcPr>
            <w:tcW w:type="dxa" w:w="2016"/>
          </w:tcPr>
          <w:p>
            <w:pPr>
              <w:jc w:val="center"/>
            </w:pPr>
            <w:r>
              <w:rPr>
                <w:b/>
              </w:rPr>
              <w:t>Offering</w:t>
            </w:r>
          </w:p>
        </w:tc>
        <w:tc>
          <w:tcPr>
            <w:tcW w:type="dxa" w:w="2016"/>
          </w:tcPr>
          <w:p>
            <w:pPr>
              <w:jc w:val="center"/>
            </w:pPr>
            <w:r>
              <w:rPr>
                <w:b/>
              </w:rPr>
              <w:t>Price Point</w:t>
            </w:r>
          </w:p>
        </w:tc>
        <w:tc>
          <w:tcPr>
            <w:tcW w:type="dxa" w:w="2016"/>
          </w:tcPr>
          <w:p>
            <w:pPr>
              <w:jc w:val="center"/>
            </w:pPr>
            <w:r>
              <w:rPr>
                <w:b/>
              </w:rPr>
              <w:t>AIC Defensibility</w:t>
            </w:r>
          </w:p>
        </w:tc>
        <w:tc>
          <w:tcPr>
            <w:tcW w:type="dxa" w:w="2016"/>
          </w:tcPr>
          <w:p>
            <w:pPr>
              <w:jc w:val="center"/>
            </w:pPr>
            <w:r>
              <w:rPr>
                <w:b/>
              </w:rPr>
              <w:t>Strategy</w:t>
            </w:r>
          </w:p>
        </w:tc>
      </w:tr>
      <w:tr>
        <w:tc>
          <w:tcPr>
            <w:tcW w:type="dxa" w:w="2016"/>
          </w:tcPr>
          <w:p>
            <w:r>
              <w:t>ISO 42001</w:t>
            </w:r>
          </w:p>
        </w:tc>
        <w:tc>
          <w:tcPr>
            <w:tcW w:type="dxa" w:w="2016"/>
          </w:tcPr>
          <w:p>
            <w:r>
              <w:t>Certification</w:t>
            </w:r>
          </w:p>
        </w:tc>
        <w:tc>
          <w:tcPr>
            <w:tcW w:type="dxa" w:w="2016"/>
          </w:tcPr>
          <w:p>
            <w:r>
              <w:t>ZAR 250-500K</w:t>
            </w:r>
          </w:p>
        </w:tc>
        <w:tc>
          <w:tcPr>
            <w:tcW w:type="dxa" w:w="2016"/>
          </w:tcPr>
          <w:p>
            <w:r>
              <w:t>Complementary</w:t>
            </w:r>
          </w:p>
        </w:tc>
        <w:tc>
          <w:tcPr>
            <w:tcW w:type="dxa" w:w="2016"/>
          </w:tcPr>
          <w:p>
            <w:r>
              <w:t>Partner &amp; specialize</w:t>
            </w:r>
          </w:p>
        </w:tc>
      </w:tr>
      <w:tr>
        <w:tc>
          <w:tcPr>
            <w:tcW w:type="dxa" w:w="2016"/>
          </w:tcPr>
          <w:p>
            <w:r>
              <w:t>Big 4</w:t>
            </w:r>
          </w:p>
        </w:tc>
        <w:tc>
          <w:tcPr>
            <w:tcW w:type="dxa" w:w="2016"/>
          </w:tcPr>
          <w:p>
            <w:r>
              <w:t>Consulting</w:t>
            </w:r>
          </w:p>
        </w:tc>
        <w:tc>
          <w:tcPr>
            <w:tcW w:type="dxa" w:w="2016"/>
          </w:tcPr>
          <w:p>
            <w:r>
              <w:t>ZAR 1M+</w:t>
            </w:r>
          </w:p>
        </w:tc>
        <w:tc>
          <w:tcPr>
            <w:tcW w:type="dxa" w:w="2016"/>
          </w:tcPr>
          <w:p>
            <w:r>
              <w:t>Strong</w:t>
            </w:r>
          </w:p>
        </w:tc>
        <w:tc>
          <w:tcPr>
            <w:tcW w:type="dxa" w:w="2016"/>
          </w:tcPr>
          <w:p>
            <w:r>
              <w:t>Different value prop</w:t>
            </w:r>
          </w:p>
        </w:tc>
      </w:tr>
      <w:tr>
        <w:tc>
          <w:tcPr>
            <w:tcW w:type="dxa" w:w="2016"/>
          </w:tcPr>
          <w:p>
            <w:r>
              <w:t>AI Tech Startups</w:t>
            </w:r>
          </w:p>
        </w:tc>
        <w:tc>
          <w:tcPr>
            <w:tcW w:type="dxa" w:w="2016"/>
          </w:tcPr>
          <w:p>
            <w:r>
              <w:t>Software</w:t>
            </w:r>
          </w:p>
        </w:tc>
        <w:tc>
          <w:tcPr>
            <w:tcW w:type="dxa" w:w="2016"/>
          </w:tcPr>
          <w:p>
            <w:r>
              <w:t>ZAR 60-120K/yr</w:t>
            </w:r>
          </w:p>
        </w:tc>
        <w:tc>
          <w:tcPr>
            <w:tcW w:type="dxa" w:w="2016"/>
          </w:tcPr>
          <w:p>
            <w:r>
              <w:t>Complementary</w:t>
            </w:r>
          </w:p>
        </w:tc>
        <w:tc>
          <w:tcPr>
            <w:tcW w:type="dxa" w:w="2016"/>
          </w:tcPr>
          <w:p>
            <w:r>
              <w:t>Integrate tools</w:t>
            </w:r>
          </w:p>
        </w:tc>
      </w:tr>
      <w:tr>
        <w:tc>
          <w:tcPr>
            <w:tcW w:type="dxa" w:w="2016"/>
          </w:tcPr>
          <w:p>
            <w:r>
              <w:t>SANAS Bodies</w:t>
            </w:r>
          </w:p>
        </w:tc>
        <w:tc>
          <w:tcPr>
            <w:tcW w:type="dxa" w:w="2016"/>
          </w:tcPr>
          <w:p>
            <w:r>
              <w:t>Traditional ISO</w:t>
            </w:r>
          </w:p>
        </w:tc>
        <w:tc>
          <w:tcPr>
            <w:tcW w:type="dxa" w:w="2016"/>
          </w:tcPr>
          <w:p>
            <w:r>
              <w:t>ZAR 200-400K</w:t>
            </w:r>
          </w:p>
        </w:tc>
        <w:tc>
          <w:tcPr>
            <w:tcW w:type="dxa" w:w="2016"/>
          </w:tcPr>
          <w:p>
            <w:r>
              <w:t>Moderate</w:t>
            </w:r>
          </w:p>
        </w:tc>
        <w:tc>
          <w:tcPr>
            <w:tcW w:type="dxa" w:w="2016"/>
          </w:tcPr>
          <w:p>
            <w:r>
              <w:t>First-mover speed</w:t>
            </w:r>
          </w:p>
        </w:tc>
      </w:tr>
      <w:tr>
        <w:tc>
          <w:tcPr>
            <w:tcW w:type="dxa" w:w="2016"/>
          </w:tcPr>
          <w:p>
            <w:r>
              <w:t>AIC</w:t>
            </w:r>
          </w:p>
        </w:tc>
        <w:tc>
          <w:tcPr>
            <w:tcW w:type="dxa" w:w="2016"/>
          </w:tcPr>
          <w:p>
            <w:r>
              <w:t>AI Accountability Cert</w:t>
            </w:r>
          </w:p>
        </w:tc>
        <w:tc>
          <w:tcPr>
            <w:tcW w:type="dxa" w:w="2016"/>
          </w:tcPr>
          <w:p>
            <w:r>
              <w:t>ZAR 120-360K</w:t>
            </w:r>
          </w:p>
        </w:tc>
        <w:tc>
          <w:tcPr>
            <w:tcW w:type="dxa" w:w="2016"/>
          </w:tcPr>
          <w:p>
            <w:r>
              <w:t>-</w:t>
            </w:r>
          </w:p>
        </w:tc>
        <w:tc>
          <w:tcPr>
            <w:tcW w:type="dxa" w:w="2016"/>
          </w:tcPr>
          <w:p>
            <w:r>
              <w:t>POPIA-native leader</w:t>
            </w:r>
          </w:p>
        </w:tc>
      </w:tr>
    </w:tbl>
    <w:p/>
    <w:p/>
    <w:p/>
    <w:p>
      <w:r>
        <w:rPr>
          <w:b/>
          <w:color w:val="282828"/>
          <w:sz w:val="28"/>
        </w:rPr>
        <w:t>PART 2: RISK MITIGATION MATRIX</w:t>
      </w:r>
    </w:p>
    <w:p/>
    <w:p>
      <w:r>
        <w:t>Every investor will ask: "What could go wrong?" Here is every major risk and our mitigation strategy:</w:t>
      </w:r>
    </w:p>
    <w:p/>
    <w:p>
      <w:r>
        <w:rPr>
          <w:b/>
          <w:color w:val="960000"/>
          <w:u w:val="single"/>
        </w:rPr>
        <w:t>RISK 1: Market Demand (Low Adoption)</w:t>
      </w:r>
    </w:p>
    <w:p/>
    <w:p>
      <w:r>
        <w:rPr>
          <w:b/>
        </w:rPr>
        <w:t xml:space="preserve">Scenario: </w:t>
      </w:r>
      <w:r>
        <w:t>Organizations view AI certification as "nice to have" but not urgent. Pilot participants express interest but do not convert to paid customers.</w:t>
      </w:r>
    </w:p>
    <w:p>
      <w:r>
        <w:rPr>
          <w:b/>
        </w:rPr>
        <w:t>Early Warning Indicators:</w:t>
      </w:r>
    </w:p>
    <w:p>
      <w:pPr>
        <w:pStyle w:val="ListBullet"/>
        <w:ind w:left="720"/>
      </w:pPr>
      <w:r>
        <w:t>• Less than 3 organizations sign up for Alpha Program despite outreach to 20+ prospects</w:t>
      </w:r>
    </w:p>
    <w:p>
      <w:pPr>
        <w:pStyle w:val="ListBullet"/>
        <w:ind w:left="720"/>
      </w:pPr>
      <w:r>
        <w:t>• Alpha participants say "valuable but not willing to pay full price"</w:t>
      </w:r>
    </w:p>
    <w:p>
      <w:pPr>
        <w:pStyle w:val="ListBullet"/>
        <w:ind w:left="720"/>
      </w:pPr>
      <w:r>
        <w:t>• CFOs and CROs (budget holders) are not engaged - only mid-level compliance officers attend meetings</w:t>
      </w:r>
    </w:p>
    <w:p/>
    <w:p>
      <w:r>
        <w:rPr>
          <w:b/>
        </w:rPr>
        <w:t>Mitigation Strategy:</w:t>
      </w:r>
    </w:p>
    <w:p>
      <w:pPr>
        <w:pStyle w:val="ListBullet"/>
        <w:ind w:left="720"/>
      </w:pPr>
      <w:r>
        <w:t>• Alpha Program validates willingness-to-pay BEFORE raising ZAR 10M</w:t>
      </w:r>
    </w:p>
    <w:p>
      <w:pPr>
        <w:pStyle w:val="ListBullet"/>
        <w:ind w:left="720"/>
      </w:pPr>
      <w:r>
        <w:t>• Target organizations already facing AI liability (banks with credit scoring, recruitment platforms post-Workday lawsuit)</w:t>
      </w:r>
    </w:p>
    <w:p>
      <w:pPr>
        <w:pStyle w:val="ListBullet"/>
        <w:ind w:left="720"/>
      </w:pPr>
      <w:r>
        <w:t>• Create forcing functions: (1) Partner with insurers for premium discounts, (2) Work with government procurement to require certification in RFPs, (3) Position as tender differentiator</w:t>
      </w:r>
    </w:p>
    <w:p>
      <w:pPr>
        <w:pStyle w:val="ListBullet"/>
        <w:ind w:left="720"/>
      </w:pPr>
      <w:r>
        <w:t>• Pivot to consulting if certification demand is weak (proven market for AI governance advisory)</w:t>
      </w:r>
    </w:p>
    <w:p>
      <w:pPr>
        <w:pStyle w:val="ListBullet"/>
        <w:ind w:left="720"/>
      </w:pPr>
      <w:r>
        <w:t>• If South African demand is soft, expand to SADC region via SADCAS recognition</w:t>
      </w:r>
    </w:p>
    <w:p/>
    <w:p/>
    <w:p>
      <w:r>
        <w:rPr>
          <w:b/>
          <w:color w:val="960000"/>
          <w:u w:val="single"/>
        </w:rPr>
        <w:t>RISK 2: Regulatory Timing (AI Act Delayed or Weakened)</w:t>
      </w:r>
    </w:p>
    <w:p/>
    <w:p>
      <w:r>
        <w:rPr>
          <w:b/>
        </w:rPr>
        <w:t xml:space="preserve">Scenario: </w:t>
      </w:r>
      <w:r>
        <w:t>South African AI Act is delayed beyond 2027 or final version does not mandate accountability frameworks. Regulatory tailwind disappears.</w:t>
      </w:r>
    </w:p>
    <w:p>
      <w:r>
        <w:rPr>
          <w:b/>
        </w:rPr>
        <w:t>Early Warning Indicators:</w:t>
      </w:r>
    </w:p>
    <w:p>
      <w:pPr>
        <w:pStyle w:val="ListBullet"/>
        <w:ind w:left="720"/>
      </w:pPr>
      <w:r>
        <w:t>• Department of Communications and Digital Technologies deprioritizes AI Policy Framework</w:t>
      </w:r>
    </w:p>
    <w:p>
      <w:pPr>
        <w:pStyle w:val="ListBullet"/>
        <w:ind w:left="720"/>
      </w:pPr>
      <w:r>
        <w:t>• Public consultation results show industry resistance to regulation</w:t>
      </w:r>
    </w:p>
    <w:p>
      <w:pPr>
        <w:pStyle w:val="ListBullet"/>
        <w:ind w:left="720"/>
      </w:pPr>
      <w:r>
        <w:t>• Government signals "light-touch" or voluntary approach to AI governance</w:t>
      </w:r>
    </w:p>
    <w:p/>
    <w:p>
      <w:r>
        <w:rPr>
          <w:b/>
        </w:rPr>
        <w:t>Mitigation Strategy:</w:t>
      </w:r>
    </w:p>
    <w:p>
      <w:pPr>
        <w:pStyle w:val="ListBullet"/>
        <w:ind w:left="720"/>
      </w:pPr>
      <w:r>
        <w:t>• POPIA Section 71 already provides legal foundation - AI Act is enhancement, not prerequisite</w:t>
      </w:r>
    </w:p>
    <w:p>
      <w:pPr>
        <w:pStyle w:val="ListBullet"/>
        <w:ind w:left="720"/>
      </w:pPr>
      <w:r>
        <w:t>• Mobley v. Workday and other lawsuits create litigation risk even without regulation</w:t>
      </w:r>
    </w:p>
    <w:p>
      <w:pPr>
        <w:pStyle w:val="ListBullet"/>
        <w:ind w:left="720"/>
      </w:pPr>
      <w:r>
        <w:t>• Position AIC as proactive risk management, not just compliance tool</w:t>
      </w:r>
    </w:p>
    <w:p>
      <w:pPr>
        <w:pStyle w:val="ListBullet"/>
        <w:ind w:left="720"/>
      </w:pPr>
      <w:r>
        <w:t>• If South African regulation stalls, pivot to EU AI Act compliance for multinationals</w:t>
      </w:r>
    </w:p>
    <w:p>
      <w:pPr>
        <w:pStyle w:val="ListBullet"/>
        <w:ind w:left="720"/>
      </w:pPr>
      <w:r>
        <w:t>• Insurance partnership model works regardless of regulation (actuarial risk reduction)</w:t>
      </w:r>
    </w:p>
    <w:p/>
    <w:p/>
    <w:p>
      <w:r>
        <w:rPr>
          <w:b/>
          <w:color w:val="960000"/>
          <w:u w:val="single"/>
        </w:rPr>
        <w:t>RISK 3: Competitive Response (Big Player Enters)</w:t>
      </w:r>
    </w:p>
    <w:p/>
    <w:p>
      <w:r>
        <w:rPr>
          <w:b/>
        </w:rPr>
        <w:t xml:space="preserve">Scenario: </w:t>
      </w:r>
      <w:r>
        <w:t>Bureau Veritas, Deloitte, or major player launches AI certification with superior brand, resources, and distribution.</w:t>
      </w:r>
    </w:p>
    <w:p>
      <w:r>
        <w:rPr>
          <w:b/>
        </w:rPr>
        <w:t>Early Warning Indicators:</w:t>
      </w:r>
    </w:p>
    <w:p>
      <w:pPr>
        <w:pStyle w:val="ListBullet"/>
        <w:ind w:left="720"/>
      </w:pPr>
      <w:r>
        <w:t>• Global certification body announces AI certification program</w:t>
      </w:r>
    </w:p>
    <w:p>
      <w:pPr>
        <w:pStyle w:val="ListBullet"/>
        <w:ind w:left="720"/>
      </w:pPr>
      <w:r>
        <w:t>• Big 4 firm publishes AI certification framework white paper</w:t>
      </w:r>
    </w:p>
    <w:p>
      <w:pPr>
        <w:pStyle w:val="ListBullet"/>
        <w:ind w:left="720"/>
      </w:pPr>
      <w:r>
        <w:t>• Competitor begins SANAS accreditation process for AI certification</w:t>
      </w:r>
    </w:p>
    <w:p/>
    <w:p>
      <w:r>
        <w:rPr>
          <w:b/>
        </w:rPr>
        <w:t>Mitigation Strategy:</w:t>
      </w:r>
    </w:p>
    <w:p>
      <w:pPr>
        <w:pStyle w:val="ListBullet"/>
        <w:ind w:left="720"/>
      </w:pPr>
      <w:r>
        <w:t>• First-mover advantage: 14-month SANAS accreditation timeline creates moat</w:t>
      </w:r>
    </w:p>
    <w:p>
      <w:pPr>
        <w:pStyle w:val="ListBullet"/>
        <w:ind w:left="720"/>
      </w:pPr>
      <w:r>
        <w:t>• Purpose-built for South Africa: POPIA-native framework vs. adapted global standard</w:t>
      </w:r>
    </w:p>
    <w:p>
      <w:pPr>
        <w:pStyle w:val="ListBullet"/>
        <w:ind w:left="720"/>
      </w:pPr>
      <w:r>
        <w:t>• Market capture: Lock in 50-100 clients before big player enters</w:t>
      </w:r>
    </w:p>
    <w:p>
      <w:pPr>
        <w:pStyle w:val="ListBullet"/>
        <w:ind w:left="720"/>
      </w:pPr>
      <w:r>
        <w:t>• Differentiated positioning: "Human accountability" vs. generic "AI ethics"</w:t>
      </w:r>
    </w:p>
    <w:p>
      <w:pPr>
        <w:pStyle w:val="ListBullet"/>
        <w:ind w:left="720"/>
      </w:pPr>
      <w:r>
        <w:t>• Exit strategy: Become acquisition target for entering player (validate market before building)</w:t>
      </w:r>
    </w:p>
    <w:p>
      <w:pPr>
        <w:pStyle w:val="ListBullet"/>
        <w:ind w:left="720"/>
      </w:pPr>
      <w:r>
        <w:t>• If out-competed, pivot to specialized auditor training (sell picks and shovels)</w:t>
      </w:r>
    </w:p>
    <w:p/>
    <w:p/>
    <w:p>
      <w:r>
        <w:rPr>
          <w:b/>
          <w:color w:val="960000"/>
          <w:u w:val="single"/>
        </w:rPr>
        <w:t>RISK 4: Execution Risk (SANAS Accreditation Failure)</w:t>
      </w:r>
    </w:p>
    <w:p/>
    <w:p>
      <w:r>
        <w:rPr>
          <w:b/>
        </w:rPr>
        <w:t xml:space="preserve">Scenario: </w:t>
      </w:r>
      <w:r>
        <w:t>SANAS accreditation application is rejected or delayed beyond 18 months. Unable to offer accredited certification.</w:t>
      </w:r>
    </w:p>
    <w:p>
      <w:r>
        <w:rPr>
          <w:b/>
        </w:rPr>
        <w:t>Early Warning Indicators:</w:t>
      </w:r>
    </w:p>
    <w:p>
      <w:pPr>
        <w:pStyle w:val="ListBullet"/>
        <w:ind w:left="720"/>
      </w:pPr>
      <w:r>
        <w:t>• SANAS assessors identify major non-conformities in witness audits</w:t>
      </w:r>
    </w:p>
    <w:p>
      <w:pPr>
        <w:pStyle w:val="ListBullet"/>
        <w:ind w:left="720"/>
      </w:pPr>
      <w:r>
        <w:t>• Audit team lacks required competencies or experience</w:t>
      </w:r>
    </w:p>
    <w:p>
      <w:pPr>
        <w:pStyle w:val="ListBullet"/>
        <w:ind w:left="720"/>
      </w:pPr>
      <w:r>
        <w:t>• Quality management system documentation inadequate</w:t>
      </w:r>
    </w:p>
    <w:p>
      <w:pPr>
        <w:pStyle w:val="ListBullet"/>
        <w:ind w:left="720"/>
      </w:pPr>
      <w:r>
        <w:t>• Technical methodology does not meet ISO/IEC 17021 requirements</w:t>
      </w:r>
    </w:p>
    <w:p/>
    <w:p>
      <w:r>
        <w:rPr>
          <w:b/>
        </w:rPr>
        <w:t>Mitigation Strategy:</w:t>
      </w:r>
    </w:p>
    <w:p>
      <w:pPr>
        <w:pStyle w:val="ListBullet"/>
        <w:ind w:left="720"/>
      </w:pPr>
      <w:r>
        <w:t>• Hire experienced ISO 17021 lead auditors who have been through accreditation before</w:t>
      </w:r>
    </w:p>
    <w:p>
      <w:pPr>
        <w:pStyle w:val="ListBullet"/>
        <w:ind w:left="720"/>
      </w:pPr>
      <w:r>
        <w:t>• Engage accreditation consultant to pre-audit before SANAS submission</w:t>
      </w:r>
    </w:p>
    <w:p>
      <w:pPr>
        <w:pStyle w:val="ListBullet"/>
        <w:ind w:left="720"/>
      </w:pPr>
      <w:r>
        <w:t>• Alpha Program demonstrates audit competence on real engagements</w:t>
      </w:r>
    </w:p>
    <w:p>
      <w:pPr>
        <w:pStyle w:val="ListBullet"/>
        <w:ind w:left="720"/>
      </w:pPr>
      <w:r>
        <w:t>• Build QMS using proven templates from existing certification bodies</w:t>
      </w:r>
    </w:p>
    <w:p>
      <w:pPr>
        <w:pStyle w:val="ListBullet"/>
        <w:ind w:left="720"/>
      </w:pPr>
      <w:r>
        <w:t>• If accreditation delayed, operate as non-accredited certification body during interim</w:t>
      </w:r>
    </w:p>
    <w:p>
      <w:pPr>
        <w:pStyle w:val="ListBullet"/>
        <w:ind w:left="720"/>
      </w:pPr>
      <w:r>
        <w:t>• Maintain revenue through consulting and training while accreditation progresses</w:t>
      </w:r>
    </w:p>
    <w:p/>
    <w:p/>
    <w:p>
      <w:r>
        <w:rPr>
          <w:b/>
          <w:color w:val="960000"/>
          <w:u w:val="single"/>
        </w:rPr>
        <w:t>RISK 5: Reputational Risk (Certified Organization Has AI Scandal)</w:t>
      </w:r>
    </w:p>
    <w:p/>
    <w:p>
      <w:r>
        <w:rPr>
          <w:b/>
        </w:rPr>
        <w:t xml:space="preserve">Scenario: </w:t>
      </w:r>
      <w:r>
        <w:t>AIC-certified organization has major AI discrimination incident. Public perception: "Certification is worthless if this can still happen."</w:t>
      </w:r>
    </w:p>
    <w:p>
      <w:r>
        <w:rPr>
          <w:b/>
        </w:rPr>
        <w:t>Early Warning Indicators:</w:t>
      </w:r>
    </w:p>
    <w:p>
      <w:pPr>
        <w:pStyle w:val="ListBullet"/>
        <w:ind w:left="720"/>
      </w:pPr>
      <w:r>
        <w:t>• Certified organization featured in discrimination lawsuit</w:t>
      </w:r>
    </w:p>
    <w:p>
      <w:pPr>
        <w:pStyle w:val="ListBullet"/>
        <w:ind w:left="720"/>
      </w:pPr>
      <w:r>
        <w:t>• Media reports highlight "certified" status in negative coverage</w:t>
      </w:r>
    </w:p>
    <w:p>
      <w:pPr>
        <w:pStyle w:val="ListBullet"/>
        <w:ind w:left="720"/>
      </w:pPr>
      <w:r>
        <w:t>• Other certified organizations question value of certification</w:t>
      </w:r>
    </w:p>
    <w:p/>
    <w:p>
      <w:r>
        <w:rPr>
          <w:b/>
        </w:rPr>
        <w:t>Mitigation Strategy:</w:t>
      </w:r>
    </w:p>
    <w:p>
      <w:pPr>
        <w:pStyle w:val="ListBullet"/>
        <w:ind w:left="720"/>
      </w:pPr>
      <w:r>
        <w:t>• Clear scope: Certification covers processes in place at audit time, not future guarantee</w:t>
      </w:r>
    </w:p>
    <w:p>
      <w:pPr>
        <w:pStyle w:val="ListBullet"/>
        <w:ind w:left="720"/>
      </w:pPr>
      <w:r>
        <w:t>• Annual surveillance: Incidents may occur between audits - renewal process catches drift</w:t>
      </w:r>
    </w:p>
    <w:p>
      <w:pPr>
        <w:pStyle w:val="ListBullet"/>
        <w:ind w:left="720"/>
      </w:pPr>
      <w:r>
        <w:t>• Revocation policy: Suspend certification immediately upon credible allegation pending investigation</w:t>
      </w:r>
    </w:p>
    <w:p>
      <w:pPr>
        <w:pStyle w:val="ListBullet"/>
        <w:ind w:left="720"/>
      </w:pPr>
      <w:r>
        <w:t>• Public transparency: Publish revocation list to demonstrate accountability</w:t>
      </w:r>
    </w:p>
    <w:p>
      <w:pPr>
        <w:pStyle w:val="ListBullet"/>
        <w:ind w:left="720"/>
      </w:pPr>
      <w:r>
        <w:t>• Legal framework: Certification agreement limits liability to audit scope</w:t>
      </w:r>
    </w:p>
    <w:p>
      <w:pPr>
        <w:pStyle w:val="ListBullet"/>
        <w:ind w:left="720"/>
      </w:pPr>
      <w:r>
        <w:t>• Proactive monitoring: AIC Pulse SaaS provides real-time alerts if certified systems show bias drift</w:t>
      </w:r>
    </w:p>
    <w:p>
      <w:pPr>
        <w:pStyle w:val="ListBullet"/>
        <w:ind w:left="720"/>
      </w:pPr>
      <w:r>
        <w:t>• Communication plan: "Certification proves human accountability processes exist - outcomes still depend on implementation" (like ISO 9001 does not guarantee zero defects)</w:t>
      </w:r>
    </w:p>
    <w:p/>
    <w:p/>
    <w:p>
      <w:r>
        <w:rPr>
          <w:b/>
          <w:sz w:val="26"/>
        </w:rPr>
        <w:t>RISK SUMMARY: MOST TO LEAST CONCERNING</w:t>
      </w:r>
    </w:p>
    <w:p/>
    <w:p>
      <w:pPr>
        <w:ind w:left="432"/>
      </w:pPr>
      <w:r>
        <w:rPr>
          <w:b/>
        </w:rPr>
        <w:t xml:space="preserve">HIGH CONCERN: </w:t>
      </w:r>
      <w:r>
        <w:t>Market Demand Risk - Mitigated by Alpha Program validation before scaling</w:t>
      </w:r>
    </w:p>
    <w:p>
      <w:pPr>
        <w:ind w:left="432"/>
      </w:pPr>
      <w:r>
        <w:rPr>
          <w:b/>
        </w:rPr>
        <w:t xml:space="preserve">MEDIUM CONCERN: </w:t>
      </w:r>
      <w:r>
        <w:t>Competitive Response Risk - Mitigated by first-mover advantage and 14-month SANAS lead time</w:t>
      </w:r>
    </w:p>
    <w:p>
      <w:pPr>
        <w:ind w:left="432"/>
      </w:pPr>
      <w:r>
        <w:rPr>
          <w:b/>
        </w:rPr>
        <w:t xml:space="preserve">MEDIUM CONCERN: </w:t>
      </w:r>
      <w:r>
        <w:t>Execution Risk (SANAS) - Mitigated by hiring experienced auditors and consultant pre-audit</w:t>
      </w:r>
    </w:p>
    <w:p>
      <w:pPr>
        <w:ind w:left="432"/>
      </w:pPr>
      <w:r>
        <w:rPr>
          <w:b/>
        </w:rPr>
        <w:t xml:space="preserve">LOW CONCERN: </w:t>
      </w:r>
      <w:r>
        <w:t>Regulatory Timing Risk - POPIA Section 71 already provides foundation; AI Act is bonus</w:t>
      </w:r>
    </w:p>
    <w:p>
      <w:pPr>
        <w:ind w:left="432"/>
      </w:pPr>
      <w:r>
        <w:rPr>
          <w:b/>
        </w:rPr>
        <w:t xml:space="preserve">LOW CONCERN: </w:t>
      </w:r>
      <w:r>
        <w:t>Reputational Risk - Mitigated by clear scope, revocation policy, annual surveillance</w:t>
      </w:r>
    </w:p>
    <w:p/>
    <w:p/>
    <w:p>
      <w:r>
        <w:rPr>
          <w:b/>
          <w:sz w:val="26"/>
        </w:rPr>
        <w:t>BOTTOM LINE FOR INVESTORS</w:t>
      </w:r>
    </w:p>
    <w:p/>
    <w:p>
      <w:r>
        <w:rPr>
          <w:b/>
        </w:rPr>
        <w:t xml:space="preserve">Every business has risks. The question is: Are they manageable? </w:t>
      </w:r>
    </w:p>
    <w:p/>
    <w:p>
      <w:pPr>
        <w:pStyle w:val="ListBullet"/>
        <w:ind w:left="720"/>
      </w:pPr>
      <w:r>
        <w:t>• Market demand risk is validated through Alpha Program BEFORE scaling (ZAR 470K test vs. ZAR 10M bet)</w:t>
      </w:r>
    </w:p>
    <w:p>
      <w:pPr>
        <w:pStyle w:val="ListBullet"/>
        <w:ind w:left="720"/>
      </w:pPr>
      <w:r>
        <w:t>• Competitive moat exists via SANAS accreditation timeline and purpose-built methodology</w:t>
      </w:r>
    </w:p>
    <w:p>
      <w:pPr>
        <w:pStyle w:val="ListBullet"/>
        <w:ind w:left="720"/>
      </w:pPr>
      <w:r>
        <w:t>• Regulatory foundation already in place via POPIA Section 71 - AI Act is tailwind, not prerequisite</w:t>
      </w:r>
    </w:p>
    <w:p>
      <w:pPr>
        <w:pStyle w:val="ListBullet"/>
        <w:ind w:left="720"/>
      </w:pPr>
      <w:r>
        <w:t>• Execution risk mitigated by hiring proven certification professionals</w:t>
      </w:r>
    </w:p>
    <w:p>
      <w:pPr>
        <w:pStyle w:val="ListBullet"/>
        <w:ind w:left="720"/>
      </w:pPr>
      <w:r>
        <w:t>• Exit strategy exists even if primary business model struggles (acquisition target, consulting pivot, training)</w:t>
      </w:r>
    </w:p>
    <w:p/>
    <w:p>
      <w:r>
        <w:rPr>
          <w:i/>
        </w:rPr>
        <w:t xml:space="preserve">The biggest risk is NOT starting. </w:t>
      </w:r>
      <w:r>
        <w:rPr>
          <w:i/>
        </w:rPr>
        <w:t>AI discrimination lawsuits are happening now. Organizations need certification now. First-mover captures this moment.</w:t>
      </w:r>
    </w:p>
    <w:p/>
    <w:p/>
    <w:p>
      <w:pPr>
        <w:jc w:val="center"/>
      </w:pPr>
      <w:r>
        <w:rPr>
          <w:color w:val="C8C8C8"/>
        </w:rPr>
        <w:t>____________________________________________________________________________________________________</w:t>
      </w:r>
    </w:p>
    <w:p>
      <w:pPr>
        <w:jc w:val="center"/>
      </w:pPr>
      <w:r>
        <w:rPr>
          <w:color w:val="787878"/>
          <w:sz w:val="18"/>
        </w:rPr>
        <w:t>AIC Competitive &amp; Risk Analysis | January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