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44"/>
        </w:rPr>
        <w:t>AI INTEGRITY CERTIFICATION (AIC)</w:t>
      </w:r>
    </w:p>
    <w:p>
      <w:pPr>
        <w:jc w:val="center"/>
      </w:pPr>
      <w:r>
        <w:rPr>
          <w:color w:val="646464"/>
          <w:sz w:val="24"/>
        </w:rPr>
        <w:t>INVESTOR MEMORANDUM — Evidence-Based Business Plan</w:t>
      </w:r>
    </w:p>
    <w:p/>
    <w:p>
      <w:r>
        <w:rPr>
          <w:b/>
          <w:color w:val="282828"/>
          <w:sz w:val="32"/>
        </w:rPr>
        <w:t>EXECUTIVE SUMMARY</w:t>
      </w:r>
    </w:p>
    <w:p/>
    <w:p>
      <w:r>
        <w:rPr>
          <w:b/>
        </w:rPr>
        <w:t>The Problem (Validated):</w:t>
      </w:r>
    </w:p>
    <w:p>
      <w:pPr>
        <w:pStyle w:val="ListBullet"/>
        <w:spacing w:after="120"/>
        <w:ind w:left="432"/>
      </w:pPr>
      <w:r>
        <w:t>• In May 2025, the Mobley v. Workday class action lawsuit was certified by a US federal court, establishing legal precedent that AI vendors can be liable for algorithmic discrimination</w:t>
      </w:r>
    </w:p>
    <w:p>
      <w:pPr>
        <w:pStyle w:val="ListBullet"/>
        <w:spacing w:after="120"/>
        <w:ind w:left="432"/>
      </w:pPr>
      <w:r>
        <w:t>• First EEOC settlement in 2024: tutoring company paid USD 365,000 for AI hiring tool that automatically rejected applicants over age 55</w:t>
      </w:r>
    </w:p>
    <w:p>
      <w:pPr>
        <w:pStyle w:val="ListBullet"/>
        <w:spacing w:after="120"/>
        <w:ind w:left="432"/>
      </w:pPr>
      <w:r>
        <w:t>• University of Washington study (2024): AI resume screening favored white-associated names in 85.1% of cases</w:t>
      </w:r>
    </w:p>
    <w:p>
      <w:pPr>
        <w:pStyle w:val="ListBullet"/>
        <w:spacing w:after="120"/>
        <w:ind w:left="432"/>
      </w:pPr>
      <w:r>
        <w:t>• Lehigh University research: AI loan approval systems showed white applicants were 8.5% more likely to be approved than Black applicants with identical financial profiles</w:t>
      </w:r>
    </w:p>
    <w:p>
      <w:pPr>
        <w:pStyle w:val="ListBullet"/>
        <w:spacing w:after="120"/>
        <w:ind w:left="432"/>
      </w:pPr>
      <w:r>
        <w:t>• 492 of Fortune 500 companies now use AI-powered applicant tracking systems, yet only 18% have any AI governance certification</w:t>
      </w:r>
    </w:p>
    <w:p>
      <w:pPr>
        <w:pStyle w:val="ListBullet"/>
        <w:spacing w:after="120"/>
        <w:ind w:left="432"/>
      </w:pPr>
      <w:r>
        <w:t>• South African Information Regulator resolved 682 of 982 POPIA complaints in 2023/2024 fiscal year - a 76% year-over-year increase in complaints</w:t>
      </w:r>
    </w:p>
    <w:p/>
    <w:p>
      <w:r>
        <w:rPr>
          <w:b/>
        </w:rPr>
        <w:t>The Market Opportunity:</w:t>
      </w:r>
    </w:p>
    <w:p>
      <w:pPr>
        <w:pStyle w:val="ListBullet"/>
        <w:spacing w:after="120"/>
        <w:ind w:left="432"/>
      </w:pPr>
      <w:r>
        <w:t>• Global ISO certification market: USD 16.14 billion (2024), projected to reach USD 66.25 billion by 2034 (CAGR 15.2%)</w:t>
      </w:r>
    </w:p>
    <w:p>
      <w:pPr>
        <w:pStyle w:val="ListBullet"/>
        <w:spacing w:after="120"/>
        <w:ind w:left="432"/>
      </w:pPr>
      <w:r>
        <w:t>• South Africa released National AI Policy Framework in October 2024, positioning itself as 1 of only 15% of African countries with formal AI policy</w:t>
      </w:r>
    </w:p>
    <w:p>
      <w:pPr>
        <w:pStyle w:val="ListBullet"/>
        <w:spacing w:after="120"/>
        <w:ind w:left="432"/>
      </w:pPr>
      <w:r>
        <w:t>• POPIA Section 71 explicitly prohibits automated decision-making without human oversight - creating legal mandate for certification</w:t>
      </w:r>
    </w:p>
    <w:p>
      <w:pPr>
        <w:pStyle w:val="ListBullet"/>
        <w:spacing w:after="120"/>
        <w:ind w:left="432"/>
      </w:pPr>
      <w:r>
        <w:t>• SANAS (SA National Accreditation System) has accredited 1,960 conformity assessment bodies as of 2022, proving robust certification ecosystem exists</w:t>
      </w:r>
    </w:p>
    <w:p>
      <w:pPr>
        <w:pStyle w:val="ListBullet"/>
        <w:spacing w:after="120"/>
        <w:ind w:left="432"/>
      </w:pPr>
      <w:r>
        <w:t>• Manufacturing sector (38% of ISO market) + Financial Services (20%+ of governance market) = immediate total addressable market</w:t>
      </w:r>
    </w:p>
    <w:p/>
    <w:p>
      <w:r>
        <w:rPr>
          <w:b/>
        </w:rPr>
        <w:t>Our Solution:</w:t>
      </w:r>
      <w:r>
        <w:t xml:space="preserve"> AIC provides third-party certification of AI accountability frameworks under POPIA Section 71 compliance. We are NOT regulating AI technology - we are certifying that </w:t>
      </w:r>
      <w:r>
        <w:rPr>
          <w:b/>
        </w:rPr>
        <w:t>humans remain accountable</w:t>
      </w:r>
      <w:r>
        <w:t xml:space="preserve"> for AI deployment in high-stakes decisions.</w:t>
      </w:r>
    </w:p>
    <w:p/>
    <w:p>
      <w:r>
        <w:rPr>
          <w:b/>
        </w:rPr>
        <w:t xml:space="preserve">Investment Request: </w:t>
      </w:r>
      <w:r>
        <w:t>ZAR 10 million for 25% equity</w:t>
      </w:r>
    </w:p>
    <w:p/>
    <w:p>
      <w:r>
        <w:rPr>
          <w:b/>
        </w:rPr>
        <w:t>Use of Funds (Validated Against Comparable Certification Businesses):</w:t>
      </w:r>
    </w:p>
    <w:p>
      <w:pPr>
        <w:ind w:left="432"/>
      </w:pPr>
      <w:r>
        <w:rPr>
          <w:b/>
        </w:rPr>
        <w:t xml:space="preserve">Personnel (40%): </w:t>
      </w:r>
      <w:r>
        <w:t>ZAR 4.0M - 2 Lead Auditors (ZAR 1.2M each), 1 Technical Director, 1 Operations Manager, 1 Business Development</w:t>
      </w:r>
    </w:p>
    <w:p>
      <w:pPr>
        <w:ind w:left="432"/>
      </w:pPr>
      <w:r>
        <w:rPr>
          <w:b/>
        </w:rPr>
        <w:t xml:space="preserve">SANAS Accreditation (5%): </w:t>
      </w:r>
      <w:r>
        <w:t>ZAR 500K - Application, assessment, witness audits, and compliance infrastructure</w:t>
      </w:r>
    </w:p>
    <w:p>
      <w:pPr>
        <w:ind w:left="432"/>
      </w:pPr>
      <w:r>
        <w:rPr>
          <w:b/>
        </w:rPr>
        <w:t xml:space="preserve">Technology Platform (25%): </w:t>
      </w:r>
      <w:r>
        <w:t>ZAR 2.5M - AIC Pulse monitoring SaaS, certification management system, client portal</w:t>
      </w:r>
    </w:p>
    <w:p>
      <w:pPr>
        <w:ind w:left="432"/>
      </w:pPr>
      <w:r>
        <w:rPr>
          <w:b/>
        </w:rPr>
        <w:t xml:space="preserve">Market Development (20%): </w:t>
      </w:r>
      <w:r>
        <w:t>ZAR 2.0M - Alpha program partnerships, regulatory advocacy, industry awareness</w:t>
      </w:r>
    </w:p>
    <w:p>
      <w:pPr>
        <w:ind w:left="432"/>
      </w:pPr>
      <w:r>
        <w:rPr>
          <w:b/>
        </w:rPr>
        <w:t xml:space="preserve">Working Capital (10%): </w:t>
      </w:r>
      <w:r>
        <w:t>ZAR 1.0M - 6-month runway buffer for operational expenses</w:t>
      </w:r>
    </w:p>
    <w:p/>
    <w:p/>
    <w:p>
      <w:r>
        <w:rPr>
          <w:b/>
          <w:color w:val="282828"/>
          <w:sz w:val="32"/>
        </w:rPr>
        <w:t>SECTION 1: MARKET VALIDATION</w:t>
      </w:r>
    </w:p>
    <w:p/>
    <w:p>
      <w:r>
        <w:rPr>
          <w:b/>
        </w:rPr>
        <w:t>1.1 AI Discrimination is a Proven, Litigated Problem</w:t>
      </w:r>
      <w:r>
        <w:t xml:space="preserve"> (Not Hypothetical)</w:t>
      </w:r>
    </w:p>
    <w:p/>
    <w:p>
      <w:pPr>
        <w:spacing w:after="160"/>
        <w:ind w:left="432"/>
      </w:pPr>
      <w:r>
        <w:rPr>
          <w:b/>
        </w:rPr>
        <w:t xml:space="preserve">Mobley v. Workday (2023-2025): </w:t>
      </w:r>
      <w:r>
        <w:t>Certified as class action lawsuit by US District Court (Northern District of California) in May 2025. Plaintiff alleges Workday AI screening tool discriminated against applicants based on race, age, and disability. Federal judge ruled that AI vendors can be held liable as "agents" of employers under Title VII. EEOC filed amicus brief supporting plaintiffs. Case ongoing.</w:t>
      </w:r>
    </w:p>
    <w:p>
      <w:pPr>
        <w:spacing w:after="160"/>
        <w:ind w:left="432"/>
      </w:pPr>
      <w:r>
        <w:rPr>
          <w:b/>
        </w:rPr>
        <w:t xml:space="preserve">EEOC v. iTutorGroup (2024): </w:t>
      </w:r>
      <w:r>
        <w:t>First AI discrimination settlement in history. Company paid USD 365,000 after AI system automatically rejected female applicants over 55 and male applicants over 60. AI learned bias from historical hiring data and applied it at scale to thousands of applications.</w:t>
      </w:r>
    </w:p>
    <w:p>
      <w:pPr>
        <w:spacing w:after="160"/>
        <w:ind w:left="432"/>
      </w:pPr>
      <w:r>
        <w:rPr>
          <w:b/>
        </w:rPr>
        <w:t xml:space="preserve">SafeRent Housing Discrimination (2024): </w:t>
      </w:r>
      <w:r>
        <w:t>Tenant screening AI tool based on credit scores led to disproportionate housing denials for Black and Hispanic applicants. Court allowed case to proceed, rejecting argument that SafeRent had no liability because it did not make "final" decisions.</w:t>
      </w:r>
    </w:p>
    <w:p>
      <w:pPr>
        <w:spacing w:after="160"/>
        <w:ind w:left="432"/>
      </w:pPr>
      <w:r>
        <w:rPr>
          <w:b/>
        </w:rPr>
        <w:t xml:space="preserve">Sirius XM Radio (Filed August 2025): </w:t>
      </w:r>
      <w:r>
        <w:t>Job applicant sued claiming AI hiring tool discriminated based on race by perpetuating historical biases. Case seeks class action status and injunctive relief requiring modification or discontinuation of AI system.</w:t>
      </w:r>
    </w:p>
    <w:p/>
    <w:p>
      <w:r>
        <w:rPr>
          <w:b/>
        </w:rPr>
        <w:t>Academic Research Confirms Systemic Bias:</w:t>
      </w:r>
    </w:p>
    <w:p>
      <w:pPr>
        <w:pStyle w:val="ListBullet"/>
        <w:ind w:left="720"/>
      </w:pPr>
      <w:r>
        <w:t>• University of Washington (2024): AI models preferred white-associated names in 85% of resume screenings; in some cases, Black male candidates were disadvantaged in 100% of comparisons</w:t>
      </w:r>
    </w:p>
    <w:p>
      <w:pPr>
        <w:pStyle w:val="ListBullet"/>
        <w:ind w:left="720"/>
      </w:pPr>
      <w:r>
        <w:t>• Lehigh University mortgage study: AI chatbots recommended loan denials for more Black applicants than white applicants with identical financial profiles. White applicants were 8.5% more likely to be approved.</w:t>
      </w:r>
    </w:p>
    <w:p>
      <w:pPr>
        <w:pStyle w:val="ListBullet"/>
        <w:ind w:left="720"/>
      </w:pPr>
      <w:r>
        <w:t>• Urban Institute analysis of Home Mortgage Disclosure Act data (2024): Black and Brown borrowers were more than 2x as likely to be denied loans</w:t>
      </w:r>
    </w:p>
    <w:p>
      <w:pPr>
        <w:pStyle w:val="ListBullet"/>
        <w:ind w:left="720"/>
      </w:pPr>
      <w:r>
        <w:t>• UC Berkeley study on fintech lending (2022): African American and Latinx borrowers charged an extra 5 basis points in interest rates - costing USD 450 million per year in aggregate</w:t>
      </w:r>
    </w:p>
    <w:p/>
    <w:p/>
    <w:p>
      <w:r>
        <w:rPr>
          <w:b/>
        </w:rPr>
        <w:t>1.2 South African Regulatory Environment</w:t>
      </w:r>
    </w:p>
    <w:p/>
    <w:p>
      <w:r>
        <w:rPr>
          <w:b/>
        </w:rPr>
        <w:t>POPIA Section 71 - The Legal Foundation:</w:t>
      </w:r>
    </w:p>
    <w:p>
      <w:pPr>
        <w:pStyle w:val="ListBullet"/>
        <w:ind w:left="720"/>
      </w:pPr>
      <w:r>
        <w:t>• Section 71(1) explicitly prohibits decisions based "solely on automated processing" that produce legal effects or significantly affect data subjects</w:t>
      </w:r>
    </w:p>
    <w:p>
      <w:pPr>
        <w:pStyle w:val="ListBullet"/>
        <w:ind w:left="720"/>
      </w:pPr>
      <w:r>
        <w:t>• Organizations must provide mechanisms for human review of automated decisions</w:t>
      </w:r>
    </w:p>
    <w:p>
      <w:pPr>
        <w:pStyle w:val="ListBullet"/>
        <w:ind w:left="720"/>
      </w:pPr>
      <w:r>
        <w:t>• The Information Regulator has enforcement authority to issue compliance notices</w:t>
      </w:r>
    </w:p>
    <w:p>
      <w:pPr>
        <w:pStyle w:val="ListBullet"/>
        <w:ind w:left="720"/>
      </w:pPr>
      <w:r>
        <w:t>• 682 of 982 POPIA complaints were resolved in 2023/2024 fiscal year (up from 616 in prior year)</w:t>
      </w:r>
    </w:p>
    <w:p>
      <w:pPr>
        <w:pStyle w:val="ListBullet"/>
        <w:ind w:left="720"/>
      </w:pPr>
      <w:r>
        <w:t>• DeepSeek breach in early 2025 exposed how POPIA applies to AI systems - single employee inputting data into public AI model can constitute POPIA violation</w:t>
      </w:r>
    </w:p>
    <w:p/>
    <w:p>
      <w:r>
        <w:rPr>
          <w:b/>
        </w:rPr>
        <w:t>National AI Policy Framework (Released October 2024):</w:t>
      </w:r>
    </w:p>
    <w:p>
      <w:pPr>
        <w:pStyle w:val="ListBullet"/>
        <w:ind w:left="720"/>
      </w:pPr>
      <w:r>
        <w:t>• Department of Communications and Digital Technologies released first formal AI governance framework</w:t>
      </w:r>
    </w:p>
    <w:p>
      <w:pPr>
        <w:pStyle w:val="ListBullet"/>
        <w:ind w:left="720"/>
      </w:pPr>
      <w:r>
        <w:t>• Emphasizes bias mitigation, fairness, and accountability as foundational principles</w:t>
      </w:r>
    </w:p>
    <w:p>
      <w:pPr>
        <w:pStyle w:val="ListBullet"/>
        <w:ind w:left="720"/>
      </w:pPr>
      <w:r>
        <w:t>• South Africa is among only 15% of African countries with formal AI policy (per OECD)</w:t>
      </w:r>
    </w:p>
    <w:p>
      <w:pPr>
        <w:pStyle w:val="ListBullet"/>
        <w:ind w:left="720"/>
      </w:pPr>
      <w:r>
        <w:t>• Framework explicitly acknowledges AI systems trained on historical data may reflect past discriminatory practices</w:t>
      </w:r>
    </w:p>
    <w:p>
      <w:pPr>
        <w:pStyle w:val="ListBullet"/>
        <w:ind w:left="720"/>
      </w:pPr>
      <w:r>
        <w:t>• Public consultation process completed November 2024 - formal AI Act expected within 18-24 months</w:t>
      </w:r>
    </w:p>
    <w:p>
      <w:pPr>
        <w:pStyle w:val="ListBullet"/>
        <w:ind w:left="720"/>
      </w:pPr>
      <w:r>
        <w:t>• By April 2025, 22 African Union member states received technical assistance for AI strategy development</w:t>
      </w:r>
    </w:p>
    <w:p/>
    <w:p/>
    <w:p>
      <w:r>
        <w:rPr>
          <w:b/>
        </w:rPr>
        <w:t>1.3 Certification is a Proven, Profitable Business Model</w:t>
      </w:r>
    </w:p>
    <w:p/>
    <w:p>
      <w:r>
        <w:rPr>
          <w:b/>
        </w:rPr>
        <w:t>Global ISO Certification Market Data:</w:t>
      </w:r>
    </w:p>
    <w:p>
      <w:pPr>
        <w:pStyle w:val="ListBullet"/>
        <w:ind w:left="720"/>
      </w:pPr>
      <w:r>
        <w:t>• Market size: USD 16.14 billion (2024) → USD 66.25 billion (2034)</w:t>
      </w:r>
    </w:p>
    <w:p>
      <w:pPr>
        <w:pStyle w:val="ListBullet"/>
        <w:ind w:left="720"/>
      </w:pPr>
      <w:r>
        <w:t>• CAGR: 15.2% annually</w:t>
      </w:r>
    </w:p>
    <w:p>
      <w:pPr>
        <w:pStyle w:val="ListBullet"/>
        <w:ind w:left="720"/>
      </w:pPr>
      <w:r>
        <w:t>• Manufacturing sector: 38% of market share</w:t>
      </w:r>
    </w:p>
    <w:p>
      <w:pPr>
        <w:pStyle w:val="ListBullet"/>
        <w:ind w:left="720"/>
      </w:pPr>
      <w:r>
        <w:t>• Healthcare: Fastest-growing segment (driven by quality and safety requirements)</w:t>
      </w:r>
    </w:p>
    <w:p>
      <w:pPr>
        <w:pStyle w:val="ListBullet"/>
        <w:ind w:left="720"/>
      </w:pPr>
      <w:r>
        <w:t>• Over 1.7 million organizations in 160+ countries hold ISO certifications</w:t>
      </w:r>
    </w:p>
    <w:p>
      <w:pPr>
        <w:pStyle w:val="ListBullet"/>
        <w:ind w:left="720"/>
      </w:pPr>
      <w:r>
        <w:t>• Major players: Bureau Veritas, SGS, DNV GL, BSI, Intertek (multi-billion dollar global companies)</w:t>
      </w:r>
    </w:p>
    <w:p>
      <w:pPr>
        <w:pStyle w:val="ListBullet"/>
        <w:ind w:left="720"/>
      </w:pPr>
      <w:r>
        <w:t>• Average certification costs: USD 10K-50K for SMEs, USD 50K-200K for large enterprises</w:t>
      </w:r>
    </w:p>
    <w:p>
      <w:pPr>
        <w:pStyle w:val="ListBullet"/>
        <w:ind w:left="720"/>
      </w:pPr>
      <w:r>
        <w:t>• Renewal rates: 85%+ (certification becomes operational requirement, not optional)</w:t>
      </w:r>
    </w:p>
    <w:p/>
    <w:p>
      <w:r>
        <w:rPr>
          <w:b/>
        </w:rPr>
        <w:t>South African Certification Infrastructure:</w:t>
      </w:r>
    </w:p>
    <w:p>
      <w:pPr>
        <w:pStyle w:val="ListBullet"/>
        <w:ind w:left="720"/>
      </w:pPr>
      <w:r>
        <w:t>• SANAS (South African National Accreditation System) is sole national accreditation body</w:t>
      </w:r>
    </w:p>
    <w:p>
      <w:pPr>
        <w:pStyle w:val="ListBullet"/>
        <w:ind w:left="720"/>
      </w:pPr>
      <w:r>
        <w:t>• Founded 1996, operates under Department of Trade, Industry &amp; Competition</w:t>
      </w:r>
    </w:p>
    <w:p>
      <w:pPr>
        <w:pStyle w:val="ListBullet"/>
        <w:ind w:left="720"/>
      </w:pPr>
      <w:r>
        <w:t>• Accredits certification bodies to ISO/IEC 17021 standard</w:t>
      </w:r>
    </w:p>
    <w:p>
      <w:pPr>
        <w:pStyle w:val="ListBullet"/>
        <w:ind w:left="720"/>
      </w:pPr>
      <w:r>
        <w:t>• As of 2022: 1,960 accredited conformity assessment bodies in South Africa</w:t>
      </w:r>
    </w:p>
    <w:p>
      <w:pPr>
        <w:pStyle w:val="ListBullet"/>
        <w:ind w:left="720"/>
      </w:pPr>
      <w:r>
        <w:t>• SANAS is signatory to IAF (International Accreditation Forum) and ILAC (International Laboratory Accreditation Cooperation) mutual recognition arrangements</w:t>
      </w:r>
    </w:p>
    <w:p>
      <w:pPr>
        <w:pStyle w:val="ListBullet"/>
        <w:ind w:left="720"/>
      </w:pPr>
      <w:r>
        <w:t>• Accreditation is for 3-year term with annual surveillance audits</w:t>
      </w:r>
    </w:p>
    <w:p>
      <w:pPr>
        <w:pStyle w:val="ListBullet"/>
        <w:ind w:left="720"/>
      </w:pPr>
      <w:r>
        <w:t>• International recognition enables South African certifications to be accepted globally</w:t>
      </w:r>
    </w:p>
    <w:p/>
    <w:p/>
    <w:p>
      <w:r>
        <w:rPr>
          <w:b/>
          <w:color w:val="282828"/>
          <w:sz w:val="32"/>
        </w:rPr>
        <w:t>SECTION 2: COMPETITIVE LANDSCAPE</w:t>
      </w:r>
    </w:p>
    <w:p/>
    <w:p>
      <w:r>
        <w:rPr>
          <w:b/>
        </w:rPr>
        <w:t>2.1 Current Players in AI Governance/Certification Space:</w:t>
      </w:r>
    </w:p>
    <w:p/>
    <w:p>
      <w:pPr>
        <w:spacing w:after="160"/>
        <w:ind w:left="432"/>
      </w:pPr>
      <w:r>
        <w:rPr>
          <w:b/>
        </w:rPr>
        <w:t xml:space="preserve">ISO/IEC 42001 (AI Management System): </w:t>
      </w:r>
      <w:r>
        <w:t>Global standard released 2023. Focuses on organizational AI management systems, not specific decision accountability. Gap: Does not certify human oversight of individual AI decisions. Does not map to POPIA Section 71 requirements.</w:t>
      </w:r>
    </w:p>
    <w:p>
      <w:pPr>
        <w:spacing w:after="160"/>
        <w:ind w:left="432"/>
      </w:pPr>
      <w:r>
        <w:rPr>
          <w:b/>
        </w:rPr>
        <w:t xml:space="preserve">Big 4 Consultancies (Deloitte, PwC, KPMG, EY): </w:t>
      </w:r>
      <w:r>
        <w:t>Offer AI ethics consulting, risk assessments, and advisory services. Gap: Consulting, not certification. No accredited third-party stamp. Clients cannot display "certified" status to customers. No ongoing monitoring.</w:t>
      </w:r>
    </w:p>
    <w:p>
      <w:pPr>
        <w:spacing w:after="160"/>
        <w:ind w:left="432"/>
      </w:pPr>
      <w:r>
        <w:rPr>
          <w:b/>
        </w:rPr>
        <w:t xml:space="preserve">AI Auditing Startups (e.g., Credo AI, Fiddler AI): </w:t>
      </w:r>
      <w:r>
        <w:t>Technical bias detection and model monitoring platforms. Gap: Software tools, not certification frameworks. No human accountability verification. US/EU-focused, limited African presence.</w:t>
      </w:r>
    </w:p>
    <w:p>
      <w:pPr>
        <w:spacing w:after="160"/>
        <w:ind w:left="432"/>
      </w:pPr>
      <w:r>
        <w:rPr>
          <w:b/>
        </w:rPr>
        <w:t xml:space="preserve">Existing ISO Certification Bodies (Bureau Veritas, SGS, etc.): </w:t>
      </w:r>
      <w:r>
        <w:t>Could extend into AI certification but have not. Gap: No AI-specific methodology. Generic ISO 42001 does not address POPIA Section 71 granularity. Opportunity for first-mover with purpose-built framework.</w:t>
      </w:r>
    </w:p>
    <w:p/>
    <w:p>
      <w:r>
        <w:rPr>
          <w:b/>
        </w:rPr>
        <w:t>2.2 AIC Competitive Advantages:</w:t>
      </w:r>
    </w:p>
    <w:p>
      <w:pPr>
        <w:pStyle w:val="ListBullet"/>
        <w:ind w:left="720"/>
      </w:pPr>
      <w:r>
        <w:t>• POPIA-Native: Framework explicitly designed for Section 71 compliance (automated decision-making oversight)</w:t>
      </w:r>
    </w:p>
    <w:p>
      <w:pPr>
        <w:pStyle w:val="ListBullet"/>
        <w:ind w:left="720"/>
      </w:pPr>
      <w:r>
        <w:t>• Tier System: Pragmatic approach that allows AI use while enforcing human accountability where consequences are severe</w:t>
      </w:r>
    </w:p>
    <w:p>
      <w:pPr>
        <w:pStyle w:val="ListBullet"/>
        <w:ind w:left="720"/>
      </w:pPr>
      <w:r>
        <w:t>• First-Mover in South Africa: No SANAS-accredited AI-specific certification body exists today</w:t>
      </w:r>
    </w:p>
    <w:p>
      <w:pPr>
        <w:pStyle w:val="ListBullet"/>
        <w:ind w:left="720"/>
      </w:pPr>
      <w:r>
        <w:t>• Regional Positioning: South Africa is AI policy leader in Africa - certification framework can scale to SADC region via SADCAS (SADC Accreditation Service)</w:t>
      </w:r>
    </w:p>
    <w:p>
      <w:pPr>
        <w:pStyle w:val="ListBullet"/>
        <w:ind w:left="720"/>
      </w:pPr>
      <w:r>
        <w:t>• Human Accountability Focus: Differentiated positioning vs. "AI ethics" - we certify people, not machines</w:t>
      </w:r>
    </w:p>
    <w:p>
      <w:pPr>
        <w:pStyle w:val="ListBullet"/>
        <w:ind w:left="720"/>
      </w:pPr>
      <w:r>
        <w:t>• Regulatory Timing: National AI Act expected within 18-24 months - certification readiness positions AIC as compliance solution</w:t>
      </w:r>
    </w:p>
    <w:p/>
    <w:p/>
    <w:p>
      <w:r>
        <w:rPr>
          <w:b/>
          <w:color w:val="282828"/>
          <w:sz w:val="32"/>
        </w:rPr>
        <w:t>SECTION 3: UNIT ECONOMICS &amp; FINANCIAL MODEL</w:t>
      </w:r>
    </w:p>
    <w:p/>
    <w:p>
      <w:r>
        <w:rPr>
          <w:b/>
        </w:rPr>
        <w:t>3.1 Certification Pricing (Based on ISO Market Benchmarks):</w:t>
      </w:r>
    </w:p>
    <w:p/>
    <w:p>
      <w:pPr>
        <w:ind w:left="432"/>
      </w:pPr>
      <w:r>
        <w:rPr>
          <w:b/>
        </w:rPr>
        <w:t xml:space="preserve">Small Organizations (&lt;50 employees): </w:t>
      </w:r>
      <w:r>
        <w:t>Initial Certification: ZAR 120,000 | Annual Renewal: ZAR 60,000 | Audit Days: 2-3</w:t>
      </w:r>
    </w:p>
    <w:p>
      <w:pPr>
        <w:ind w:left="432"/>
      </w:pPr>
      <w:r>
        <w:rPr>
          <w:b/>
        </w:rPr>
        <w:t xml:space="preserve">Medium Organizations (50-500 employees): </w:t>
      </w:r>
      <w:r>
        <w:t>Initial Certification: ZAR 240,000 | Annual Renewal: ZAR 120,000 | Audit Days: 4-6</w:t>
      </w:r>
    </w:p>
    <w:p>
      <w:pPr>
        <w:ind w:left="432"/>
      </w:pPr>
      <w:r>
        <w:rPr>
          <w:b/>
        </w:rPr>
        <w:t xml:space="preserve">Large Organizations (&gt;500 employees): </w:t>
      </w:r>
      <w:r>
        <w:t>Initial Certification: ZAR 360,000+ | Annual Renewal: ZAR 180,000+ | Audit Days: 7-10</w:t>
      </w:r>
    </w:p>
    <w:p/>
    <w:p>
      <w:r>
        <w:rPr>
          <w:b/>
        </w:rPr>
        <w:t>3.2 Cost of Goods Sold (Per Certification):</w:t>
      </w:r>
    </w:p>
    <w:p>
      <w:pPr>
        <w:pStyle w:val="ListBullet"/>
        <w:ind w:left="720"/>
      </w:pPr>
      <w:r>
        <w:t>• Lead Auditor Time: 3-10 days @ ZAR 8,000/day = ZAR 24K-80K</w:t>
      </w:r>
    </w:p>
    <w:p>
      <w:pPr>
        <w:pStyle w:val="ListBullet"/>
        <w:ind w:left="720"/>
      </w:pPr>
      <w:r>
        <w:t>• Technical Auditor Time: 2-5 days @ ZAR 6,000/day = ZAR 12K-30K</w:t>
      </w:r>
    </w:p>
    <w:p>
      <w:pPr>
        <w:pStyle w:val="ListBullet"/>
        <w:ind w:left="720"/>
      </w:pPr>
      <w:r>
        <w:t>• Travel &amp; Accommodation: ZAR 5K-15K (dependent on location)</w:t>
      </w:r>
    </w:p>
    <w:p>
      <w:pPr>
        <w:pStyle w:val="ListBullet"/>
        <w:ind w:left="720"/>
      </w:pPr>
      <w:r>
        <w:t>• Certification Documentation &amp; Admin: ZAR 3K</w:t>
      </w:r>
    </w:p>
    <w:p>
      <w:pPr>
        <w:pStyle w:val="ListBullet"/>
        <w:ind w:left="720"/>
      </w:pPr>
      <w:r>
        <w:t>• Total COGS: ZAR 44K-128K per certification</w:t>
      </w:r>
    </w:p>
    <w:p/>
    <w:p>
      <w:r>
        <w:rPr>
          <w:b/>
        </w:rPr>
        <w:t>Gross Margin Analysis:</w:t>
      </w:r>
    </w:p>
    <w:p>
      <w:pPr>
        <w:pStyle w:val="ListBullet"/>
        <w:ind w:left="720"/>
      </w:pPr>
      <w:r>
        <w:t>• Small Org: ZAR 120K revenue - ZAR 44K COGS = ZAR 76K gross profit (63% margin)</w:t>
      </w:r>
    </w:p>
    <w:p>
      <w:pPr>
        <w:pStyle w:val="ListBullet"/>
        <w:ind w:left="720"/>
      </w:pPr>
      <w:r>
        <w:t>• Medium Org: ZAR 240K revenue - ZAR 80K COGS = ZAR 160K gross profit (67% margin)</w:t>
      </w:r>
    </w:p>
    <w:p>
      <w:pPr>
        <w:pStyle w:val="ListBullet"/>
        <w:ind w:left="720"/>
      </w:pPr>
      <w:r>
        <w:t>• Large Org: ZAR 360K revenue - ZAR 128K COGS = ZAR 232K gross profit (64% margin)</w:t>
      </w:r>
    </w:p>
    <w:p>
      <w:pPr>
        <w:pStyle w:val="ListBullet"/>
        <w:ind w:left="720"/>
      </w:pPr>
      <w:r>
        <w:t>• Blended Gross Margin Target: 65% (in line with certification industry standards)</w:t>
      </w:r>
    </w:p>
    <w:p/>
    <w:p/>
    <w:p>
      <w:r>
        <w:rPr>
          <w:b/>
        </w:rPr>
        <w:t>3.3 Customer Acquisition Economics:</w:t>
      </w:r>
    </w:p>
    <w:p/>
    <w:p>
      <w:pPr>
        <w:pStyle w:val="ListBullet"/>
        <w:ind w:left="720"/>
      </w:pPr>
      <w:r>
        <w:t>• Target CAC: ZAR 45,000-60,000 per customer (based on B2B SaaS compliance tool benchmarks)</w:t>
      </w:r>
    </w:p>
    <w:p>
      <w:pPr>
        <w:pStyle w:val="ListBullet"/>
        <w:ind w:left="720"/>
      </w:pPr>
      <w:r>
        <w:t>• Initial Certification LTV: ZAR 600K (assuming 5-year certification lifespan with annual renewals)</w:t>
      </w:r>
    </w:p>
    <w:p>
      <w:pPr>
        <w:pStyle w:val="ListBullet"/>
        <w:ind w:left="720"/>
      </w:pPr>
      <w:r>
        <w:t>• LTV:CAC Ratio: 10:1 to 13:1 (significantly exceeds 3:1 gold standard for sustainable businesses)</w:t>
      </w:r>
    </w:p>
    <w:p>
      <w:pPr>
        <w:pStyle w:val="ListBullet"/>
        <w:ind w:left="720"/>
      </w:pPr>
      <w:r>
        <w:t>• Payback Period: 4-6 months (first renewal covers acquisition cost)</w:t>
      </w:r>
    </w:p>
    <w:p>
      <w:pPr>
        <w:pStyle w:val="ListBullet"/>
        <w:ind w:left="720"/>
      </w:pPr>
      <w:r>
        <w:t>• Renewal Rate Target: 90%+ (certification becomes operational requirement for tenders, insurance discounts)</w:t>
      </w:r>
    </w:p>
    <w:p/>
    <w:p>
      <w:r>
        <w:rPr>
          <w:b/>
        </w:rPr>
        <w:t>Acquisition Channels:</w:t>
      </w:r>
    </w:p>
    <w:p>
      <w:pPr>
        <w:pStyle w:val="ListBullet"/>
        <w:ind w:left="720"/>
      </w:pPr>
      <w:r>
        <w:t>• Direct Sales to Mid-Market: Target CFOs, CROs, Compliance Officers in BFSI, Healthcare, Tech</w:t>
      </w:r>
    </w:p>
    <w:p>
      <w:pPr>
        <w:pStyle w:val="ListBullet"/>
        <w:ind w:left="720"/>
      </w:pPr>
      <w:r>
        <w:t>• Regulatory Advocacy: Partner with Information Regulator, SANAS to position AIC as Section 71 compliance solution</w:t>
      </w:r>
    </w:p>
    <w:p>
      <w:pPr>
        <w:pStyle w:val="ListBullet"/>
        <w:ind w:left="720"/>
      </w:pPr>
      <w:r>
        <w:t>• Tender Requirements: Work with government procurement to include AI certification in RFP requirements</w:t>
      </w:r>
    </w:p>
    <w:p>
      <w:pPr>
        <w:pStyle w:val="ListBullet"/>
        <w:ind w:left="720"/>
      </w:pPr>
      <w:r>
        <w:t>• Insurance Partnerships: Partner with iTOO, Santam, Old Mutual to offer premium discounts for certified organizations</w:t>
      </w:r>
    </w:p>
    <w:p>
      <w:pPr>
        <w:pStyle w:val="ListBullet"/>
        <w:ind w:left="720"/>
      </w:pPr>
      <w:r>
        <w:t>• Industry Events: Financial Services Board conferences, SAICA events, Healthcare Innovation Summit</w:t>
      </w:r>
    </w:p>
    <w:p/>
    <w:p/>
    <w:p>
      <w:r>
        <w:rPr>
          <w:b/>
          <w:color w:val="282828"/>
          <w:sz w:val="32"/>
        </w:rPr>
        <w:t>SECTION 4: FINANCIAL PROJECTIONS (Conservative Scenario)</w:t>
      </w:r>
    </w:p>
    <w:p/>
    <w:p>
      <w:r>
        <w:rPr>
          <w:b/>
        </w:rPr>
        <w:t>Key Assumptions:</w:t>
      </w:r>
    </w:p>
    <w:p>
      <w:pPr>
        <w:pStyle w:val="ListBullet"/>
        <w:ind w:left="720"/>
      </w:pPr>
      <w:r>
        <w:t>• Year 1: Alpha program only (10 certifications @ 50% discount for early adopters)</w:t>
      </w:r>
    </w:p>
    <w:p>
      <w:pPr>
        <w:pStyle w:val="ListBullet"/>
        <w:ind w:left="720"/>
      </w:pPr>
      <w:r>
        <w:t>• SANAS accreditation achieved Month 14</w:t>
      </w:r>
    </w:p>
    <w:p>
      <w:pPr>
        <w:pStyle w:val="ListBullet"/>
        <w:ind w:left="720"/>
      </w:pPr>
      <w:r>
        <w:t>• Year 2: Begin full commercial operations post-accreditation</w:t>
      </w:r>
    </w:p>
    <w:p>
      <w:pPr>
        <w:pStyle w:val="ListBullet"/>
        <w:ind w:left="720"/>
      </w:pPr>
      <w:r>
        <w:t>• Average certification value: ZAR 200,000 blended</w:t>
      </w:r>
    </w:p>
    <w:p>
      <w:pPr>
        <w:pStyle w:val="ListBullet"/>
        <w:ind w:left="720"/>
      </w:pPr>
      <w:r>
        <w:t>• Team scales from 4 to 12 people by Year 3</w:t>
      </w:r>
    </w:p>
    <w:p>
      <w:pPr>
        <w:pStyle w:val="ListBullet"/>
        <w:ind w:left="720"/>
      </w:pPr>
      <w:r>
        <w:t>• AIC Pulse SaaS revenue begins Year 2 at ZAR 5,000/month per client</w:t>
      </w:r>
    </w:p>
    <w:p/>
    <w:p/>
    <w:p>
      <w:r>
        <w:rPr>
          <w:b/>
        </w:rPr>
        <w:t>3-Year Profit &amp; Loss Projection (ZAR Thousands):</w:t>
      </w:r>
    </w:p>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pPr>
              <w:jc w:val="center"/>
            </w:pPr>
            <w:r>
              <w:rPr>
                <w:b/>
              </w:rPr>
              <w:t>Metric</w:t>
            </w:r>
          </w:p>
        </w:tc>
        <w:tc>
          <w:tcPr>
            <w:tcW w:type="dxa" w:w="2520"/>
          </w:tcPr>
          <w:p>
            <w:pPr>
              <w:jc w:val="center"/>
            </w:pPr>
            <w:r>
              <w:rPr>
                <w:b/>
              </w:rPr>
              <w:t>Year 1</w:t>
            </w:r>
          </w:p>
        </w:tc>
        <w:tc>
          <w:tcPr>
            <w:tcW w:type="dxa" w:w="2520"/>
          </w:tcPr>
          <w:p>
            <w:pPr>
              <w:jc w:val="center"/>
            </w:pPr>
            <w:r>
              <w:rPr>
                <w:b/>
              </w:rPr>
              <w:t>Year 2</w:t>
            </w:r>
          </w:p>
        </w:tc>
        <w:tc>
          <w:tcPr>
            <w:tcW w:type="dxa" w:w="2520"/>
          </w:tcPr>
          <w:p>
            <w:pPr>
              <w:jc w:val="center"/>
            </w:pPr>
            <w:r>
              <w:rPr>
                <w:b/>
              </w:rPr>
              <w:t>Year 3</w:t>
            </w:r>
          </w:p>
        </w:tc>
      </w:tr>
      <w:tr>
        <w:tc>
          <w:tcPr>
            <w:tcW w:type="dxa" w:w="2520"/>
          </w:tcPr>
          <w:p>
            <w:r>
              <w:rPr>
                <w:b/>
              </w:rPr>
              <w:t>REVENUE</w:t>
            </w:r>
          </w:p>
        </w:tc>
        <w:tc>
          <w:tcPr>
            <w:tcW w:type="dxa" w:w="2520"/>
          </w:tcPr>
          <w:p>
            <w:r>
              <w:rPr>
                <w:b/>
              </w:rPr>
            </w:r>
          </w:p>
        </w:tc>
        <w:tc>
          <w:tcPr>
            <w:tcW w:type="dxa" w:w="2520"/>
          </w:tcPr>
          <w:p>
            <w:r>
              <w:rPr>
                <w:b/>
              </w:rPr>
            </w:r>
          </w:p>
        </w:tc>
        <w:tc>
          <w:tcPr>
            <w:tcW w:type="dxa" w:w="2520"/>
          </w:tcPr>
          <w:p>
            <w:r>
              <w:rPr>
                <w:b/>
              </w:rPr>
            </w:r>
          </w:p>
        </w:tc>
      </w:tr>
      <w:tr>
        <w:tc>
          <w:tcPr>
            <w:tcW w:type="dxa" w:w="2520"/>
          </w:tcPr>
          <w:p>
            <w:r>
              <w:t>Certification Fees</w:t>
            </w:r>
          </w:p>
        </w:tc>
        <w:tc>
          <w:tcPr>
            <w:tcW w:type="dxa" w:w="2520"/>
          </w:tcPr>
          <w:p>
            <w:r>
              <w:t>1,000</w:t>
            </w:r>
          </w:p>
        </w:tc>
        <w:tc>
          <w:tcPr>
            <w:tcW w:type="dxa" w:w="2520"/>
          </w:tcPr>
          <w:p>
            <w:r>
              <w:t>18,000</w:t>
            </w:r>
          </w:p>
        </w:tc>
        <w:tc>
          <w:tcPr>
            <w:tcW w:type="dxa" w:w="2520"/>
          </w:tcPr>
          <w:p>
            <w:r>
              <w:t>42,000</w:t>
            </w:r>
          </w:p>
        </w:tc>
      </w:tr>
      <w:tr>
        <w:tc>
          <w:tcPr>
            <w:tcW w:type="dxa" w:w="2520"/>
          </w:tcPr>
          <w:p>
            <w:r>
              <w:t>AIC Pulse SaaS</w:t>
            </w:r>
          </w:p>
        </w:tc>
        <w:tc>
          <w:tcPr>
            <w:tcW w:type="dxa" w:w="2520"/>
          </w:tcPr>
          <w:p>
            <w:r>
              <w:t>0</w:t>
            </w:r>
          </w:p>
        </w:tc>
        <w:tc>
          <w:tcPr>
            <w:tcW w:type="dxa" w:w="2520"/>
          </w:tcPr>
          <w:p>
            <w:r>
              <w:t>600</w:t>
            </w:r>
          </w:p>
        </w:tc>
        <w:tc>
          <w:tcPr>
            <w:tcW w:type="dxa" w:w="2520"/>
          </w:tcPr>
          <w:p>
            <w:r>
              <w:t>2,100</w:t>
            </w:r>
          </w:p>
        </w:tc>
      </w:tr>
      <w:tr>
        <w:tc>
          <w:tcPr>
            <w:tcW w:type="dxa" w:w="2520"/>
          </w:tcPr>
          <w:p>
            <w:r>
              <w:t>Training &amp; Consulting</w:t>
            </w:r>
          </w:p>
        </w:tc>
        <w:tc>
          <w:tcPr>
            <w:tcW w:type="dxa" w:w="2520"/>
          </w:tcPr>
          <w:p>
            <w:r>
              <w:t>0</w:t>
            </w:r>
          </w:p>
        </w:tc>
        <w:tc>
          <w:tcPr>
            <w:tcW w:type="dxa" w:w="2520"/>
          </w:tcPr>
          <w:p>
            <w:r>
              <w:t>500</w:t>
            </w:r>
          </w:p>
        </w:tc>
        <w:tc>
          <w:tcPr>
            <w:tcW w:type="dxa" w:w="2520"/>
          </w:tcPr>
          <w:p>
            <w:r>
              <w:t>1,500</w:t>
            </w:r>
          </w:p>
        </w:tc>
      </w:tr>
      <w:tr>
        <w:tc>
          <w:tcPr>
            <w:tcW w:type="dxa" w:w="2520"/>
          </w:tcPr>
          <w:p>
            <w:r>
              <w:rPr>
                <w:b/>
              </w:rPr>
              <w:t>Total Revenue</w:t>
            </w:r>
          </w:p>
        </w:tc>
        <w:tc>
          <w:tcPr>
            <w:tcW w:type="dxa" w:w="2520"/>
          </w:tcPr>
          <w:p>
            <w:r>
              <w:rPr>
                <w:b/>
              </w:rPr>
              <w:t>1,000</w:t>
            </w:r>
          </w:p>
        </w:tc>
        <w:tc>
          <w:tcPr>
            <w:tcW w:type="dxa" w:w="2520"/>
          </w:tcPr>
          <w:p>
            <w:r>
              <w:rPr>
                <w:b/>
              </w:rPr>
              <w:t>19,100</w:t>
            </w:r>
          </w:p>
        </w:tc>
        <w:tc>
          <w:tcPr>
            <w:tcW w:type="dxa" w:w="2520"/>
          </w:tcPr>
          <w:p>
            <w:r>
              <w:rPr>
                <w:b/>
              </w:rPr>
              <w:t>45,600</w:t>
            </w:r>
          </w:p>
        </w:tc>
      </w:tr>
      <w:tr>
        <w:tc>
          <w:tcPr>
            <w:tcW w:type="dxa" w:w="2520"/>
          </w:tcPr>
          <w:p>
            <w:r/>
          </w:p>
        </w:tc>
        <w:tc>
          <w:tcPr>
            <w:tcW w:type="dxa" w:w="2520"/>
          </w:tcPr>
          <w:p>
            <w:r/>
          </w:p>
        </w:tc>
        <w:tc>
          <w:tcPr>
            <w:tcW w:type="dxa" w:w="2520"/>
          </w:tcPr>
          <w:p>
            <w:r/>
          </w:p>
        </w:tc>
        <w:tc>
          <w:tcPr>
            <w:tcW w:type="dxa" w:w="2520"/>
          </w:tcPr>
          <w:p>
            <w:r/>
          </w:p>
        </w:tc>
      </w:tr>
      <w:tr>
        <w:tc>
          <w:tcPr>
            <w:tcW w:type="dxa" w:w="2520"/>
          </w:tcPr>
          <w:p>
            <w:r>
              <w:rPr>
                <w:b/>
              </w:rPr>
              <w:t>EXPENSES</w:t>
            </w:r>
          </w:p>
        </w:tc>
        <w:tc>
          <w:tcPr>
            <w:tcW w:type="dxa" w:w="2520"/>
          </w:tcPr>
          <w:p>
            <w:r>
              <w:rPr>
                <w:b/>
              </w:rPr>
            </w:r>
          </w:p>
        </w:tc>
        <w:tc>
          <w:tcPr>
            <w:tcW w:type="dxa" w:w="2520"/>
          </w:tcPr>
          <w:p>
            <w:r>
              <w:rPr>
                <w:b/>
              </w:rPr>
            </w:r>
          </w:p>
        </w:tc>
        <w:tc>
          <w:tcPr>
            <w:tcW w:type="dxa" w:w="2520"/>
          </w:tcPr>
          <w:p>
            <w:r>
              <w:rPr>
                <w:b/>
              </w:rPr>
            </w:r>
          </w:p>
        </w:tc>
      </w:tr>
      <w:tr>
        <w:tc>
          <w:tcPr>
            <w:tcW w:type="dxa" w:w="2520"/>
          </w:tcPr>
          <w:p>
            <w:r>
              <w:t>Personnel (Auditors, Ops, BD)</w:t>
            </w:r>
          </w:p>
        </w:tc>
        <w:tc>
          <w:tcPr>
            <w:tcW w:type="dxa" w:w="2520"/>
          </w:tcPr>
          <w:p>
            <w:r>
              <w:t>4,800</w:t>
            </w:r>
          </w:p>
        </w:tc>
        <w:tc>
          <w:tcPr>
            <w:tcW w:type="dxa" w:w="2520"/>
          </w:tcPr>
          <w:p>
            <w:r>
              <w:t>9,600</w:t>
            </w:r>
          </w:p>
        </w:tc>
        <w:tc>
          <w:tcPr>
            <w:tcW w:type="dxa" w:w="2520"/>
          </w:tcPr>
          <w:p>
            <w:r>
              <w:t>14,400</w:t>
            </w:r>
          </w:p>
        </w:tc>
      </w:tr>
      <w:tr>
        <w:tc>
          <w:tcPr>
            <w:tcW w:type="dxa" w:w="2520"/>
          </w:tcPr>
          <w:p>
            <w:r>
              <w:t>Technology &amp; Platform</w:t>
            </w:r>
          </w:p>
        </w:tc>
        <w:tc>
          <w:tcPr>
            <w:tcW w:type="dxa" w:w="2520"/>
          </w:tcPr>
          <w:p>
            <w:r>
              <w:t>800</w:t>
            </w:r>
          </w:p>
        </w:tc>
        <w:tc>
          <w:tcPr>
            <w:tcW w:type="dxa" w:w="2520"/>
          </w:tcPr>
          <w:p>
            <w:r>
              <w:t>1,200</w:t>
            </w:r>
          </w:p>
        </w:tc>
        <w:tc>
          <w:tcPr>
            <w:tcW w:type="dxa" w:w="2520"/>
          </w:tcPr>
          <w:p>
            <w:r>
              <w:t>1,800</w:t>
            </w:r>
          </w:p>
        </w:tc>
      </w:tr>
      <w:tr>
        <w:tc>
          <w:tcPr>
            <w:tcW w:type="dxa" w:w="2520"/>
          </w:tcPr>
          <w:p>
            <w:r>
              <w:t>Marketing &amp; Sales</w:t>
            </w:r>
          </w:p>
        </w:tc>
        <w:tc>
          <w:tcPr>
            <w:tcW w:type="dxa" w:w="2520"/>
          </w:tcPr>
          <w:p>
            <w:r>
              <w:t>600</w:t>
            </w:r>
          </w:p>
        </w:tc>
        <w:tc>
          <w:tcPr>
            <w:tcW w:type="dxa" w:w="2520"/>
          </w:tcPr>
          <w:p>
            <w:r>
              <w:t>1,500</w:t>
            </w:r>
          </w:p>
        </w:tc>
        <w:tc>
          <w:tcPr>
            <w:tcW w:type="dxa" w:w="2520"/>
          </w:tcPr>
          <w:p>
            <w:r>
              <w:t>2,400</w:t>
            </w:r>
          </w:p>
        </w:tc>
      </w:tr>
      <w:tr>
        <w:tc>
          <w:tcPr>
            <w:tcW w:type="dxa" w:w="2520"/>
          </w:tcPr>
          <w:p>
            <w:r>
              <w:t>Office &amp; Admin</w:t>
            </w:r>
          </w:p>
        </w:tc>
        <w:tc>
          <w:tcPr>
            <w:tcW w:type="dxa" w:w="2520"/>
          </w:tcPr>
          <w:p>
            <w:r>
              <w:t>400</w:t>
            </w:r>
          </w:p>
        </w:tc>
        <w:tc>
          <w:tcPr>
            <w:tcW w:type="dxa" w:w="2520"/>
          </w:tcPr>
          <w:p>
            <w:r>
              <w:t>800</w:t>
            </w:r>
          </w:p>
        </w:tc>
        <w:tc>
          <w:tcPr>
            <w:tcW w:type="dxa" w:w="2520"/>
          </w:tcPr>
          <w:p>
            <w:r>
              <w:t>1,200</w:t>
            </w:r>
          </w:p>
        </w:tc>
      </w:tr>
      <w:tr>
        <w:tc>
          <w:tcPr>
            <w:tcW w:type="dxa" w:w="2520"/>
          </w:tcPr>
          <w:p>
            <w:r>
              <w:t>SANAS Accreditation &amp; Compliance</w:t>
            </w:r>
          </w:p>
        </w:tc>
        <w:tc>
          <w:tcPr>
            <w:tcW w:type="dxa" w:w="2520"/>
          </w:tcPr>
          <w:p>
            <w:r>
              <w:t>500</w:t>
            </w:r>
          </w:p>
        </w:tc>
        <w:tc>
          <w:tcPr>
            <w:tcW w:type="dxa" w:w="2520"/>
          </w:tcPr>
          <w:p>
            <w:r>
              <w:t>200</w:t>
            </w:r>
          </w:p>
        </w:tc>
        <w:tc>
          <w:tcPr>
            <w:tcW w:type="dxa" w:w="2520"/>
          </w:tcPr>
          <w:p>
            <w:r>
              <w:t>200</w:t>
            </w:r>
          </w:p>
        </w:tc>
      </w:tr>
      <w:tr>
        <w:tc>
          <w:tcPr>
            <w:tcW w:type="dxa" w:w="2520"/>
          </w:tcPr>
          <w:p>
            <w:r>
              <w:rPr>
                <w:b/>
              </w:rPr>
              <w:t>Total Expenses</w:t>
            </w:r>
          </w:p>
        </w:tc>
        <w:tc>
          <w:tcPr>
            <w:tcW w:type="dxa" w:w="2520"/>
          </w:tcPr>
          <w:p>
            <w:r>
              <w:rPr>
                <w:b/>
              </w:rPr>
              <w:t>7,100</w:t>
            </w:r>
          </w:p>
        </w:tc>
        <w:tc>
          <w:tcPr>
            <w:tcW w:type="dxa" w:w="2520"/>
          </w:tcPr>
          <w:p>
            <w:r>
              <w:rPr>
                <w:b/>
              </w:rPr>
              <w:t>13,300</w:t>
            </w:r>
          </w:p>
        </w:tc>
        <w:tc>
          <w:tcPr>
            <w:tcW w:type="dxa" w:w="2520"/>
          </w:tcPr>
          <w:p>
            <w:r>
              <w:rPr>
                <w:b/>
              </w:rPr>
              <w:t>20,000</w:t>
            </w:r>
          </w:p>
        </w:tc>
      </w:tr>
      <w:tr>
        <w:tc>
          <w:tcPr>
            <w:tcW w:type="dxa" w:w="2520"/>
          </w:tcPr>
          <w:p>
            <w:r/>
          </w:p>
        </w:tc>
        <w:tc>
          <w:tcPr>
            <w:tcW w:type="dxa" w:w="2520"/>
          </w:tcPr>
          <w:p>
            <w:r/>
          </w:p>
        </w:tc>
        <w:tc>
          <w:tcPr>
            <w:tcW w:type="dxa" w:w="2520"/>
          </w:tcPr>
          <w:p>
            <w:r/>
          </w:p>
        </w:tc>
        <w:tc>
          <w:tcPr>
            <w:tcW w:type="dxa" w:w="2520"/>
          </w:tcPr>
          <w:p>
            <w:r/>
          </w:p>
        </w:tc>
      </w:tr>
      <w:tr>
        <w:tc>
          <w:tcPr>
            <w:tcW w:type="dxa" w:w="2520"/>
          </w:tcPr>
          <w:p>
            <w:r>
              <w:rPr>
                <w:b/>
              </w:rPr>
              <w:t>EBITDA</w:t>
            </w:r>
          </w:p>
        </w:tc>
        <w:tc>
          <w:tcPr>
            <w:tcW w:type="dxa" w:w="2520"/>
          </w:tcPr>
          <w:p>
            <w:r>
              <w:rPr>
                <w:b/>
              </w:rPr>
              <w:t>(6,100)</w:t>
            </w:r>
          </w:p>
        </w:tc>
        <w:tc>
          <w:tcPr>
            <w:tcW w:type="dxa" w:w="2520"/>
          </w:tcPr>
          <w:p>
            <w:r>
              <w:rPr>
                <w:b/>
              </w:rPr>
              <w:t>5,800</w:t>
            </w:r>
          </w:p>
        </w:tc>
        <w:tc>
          <w:tcPr>
            <w:tcW w:type="dxa" w:w="2520"/>
          </w:tcPr>
          <w:p>
            <w:r>
              <w:rPr>
                <w:b/>
              </w:rPr>
              <w:t>25,600</w:t>
            </w:r>
          </w:p>
        </w:tc>
      </w:tr>
      <w:tr>
        <w:tc>
          <w:tcPr>
            <w:tcW w:type="dxa" w:w="2520"/>
          </w:tcPr>
          <w:p>
            <w:r>
              <w:t>EBITDA Margin</w:t>
            </w:r>
          </w:p>
        </w:tc>
        <w:tc>
          <w:tcPr>
            <w:tcW w:type="dxa" w:w="2520"/>
          </w:tcPr>
          <w:p>
            <w:r>
              <w:t>-610%</w:t>
            </w:r>
          </w:p>
        </w:tc>
        <w:tc>
          <w:tcPr>
            <w:tcW w:type="dxa" w:w="2520"/>
          </w:tcPr>
          <w:p>
            <w:r>
              <w:t>30%</w:t>
            </w:r>
          </w:p>
        </w:tc>
        <w:tc>
          <w:tcPr>
            <w:tcW w:type="dxa" w:w="2520"/>
          </w:tcPr>
          <w:p>
            <w:r>
              <w:t>56%</w:t>
            </w:r>
          </w:p>
        </w:tc>
      </w:tr>
    </w:tbl>
    <w:p/>
    <w:p/>
    <w:p>
      <w:r>
        <w:rPr>
          <w:b/>
        </w:rPr>
        <w:t>Key Performance Indicators:</w:t>
      </w:r>
    </w:p>
    <w:p>
      <w:pPr>
        <w:ind w:left="720"/>
      </w:pPr>
      <w:r>
        <w:rPr>
          <w:b/>
        </w:rPr>
        <w:t xml:space="preserve">Year 1 Certifications: </w:t>
      </w:r>
      <w:r>
        <w:t>10 (Alpha program at 50% discount)</w:t>
      </w:r>
    </w:p>
    <w:p>
      <w:pPr>
        <w:ind w:left="720"/>
      </w:pPr>
      <w:r>
        <w:rPr>
          <w:b/>
        </w:rPr>
        <w:t xml:space="preserve">Year 2 Certifications: </w:t>
      </w:r>
      <w:r>
        <w:t>90 (full commercial pricing, post-SANAS accreditation)</w:t>
      </w:r>
    </w:p>
    <w:p>
      <w:pPr>
        <w:ind w:left="720"/>
      </w:pPr>
      <w:r>
        <w:rPr>
          <w:b/>
        </w:rPr>
        <w:t xml:space="preserve">Year 3 Certifications: </w:t>
      </w:r>
      <w:r>
        <w:t>210 (cumulative base of 310 active certifications)</w:t>
      </w:r>
    </w:p>
    <w:p>
      <w:pPr>
        <w:ind w:left="720"/>
      </w:pPr>
      <w:r>
        <w:rPr>
          <w:b/>
        </w:rPr>
        <w:t xml:space="preserve">Break-Even: </w:t>
      </w:r>
      <w:r>
        <w:t>Month 18 (Q2 Year 2)</w:t>
      </w:r>
    </w:p>
    <w:p>
      <w:pPr>
        <w:ind w:left="720"/>
      </w:pPr>
      <w:r>
        <w:rPr>
          <w:b/>
        </w:rPr>
        <w:t xml:space="preserve">Implied Valuation at Exit (Year 5): </w:t>
      </w:r>
      <w:r>
        <w:t>ZAR 400M-600M (15-25x revenue multiple based on AI governance startup comps)</w:t>
      </w:r>
    </w:p>
    <w:p/>
    <w:p/>
    <w:p>
      <w:r>
        <w:rPr>
          <w:b/>
          <w:color w:val="282828"/>
          <w:sz w:val="32"/>
        </w:rPr>
        <w:t>SECTION 5: RISK FACTORS &amp; MITIGATION</w:t>
      </w:r>
    </w:p>
    <w:p/>
    <w:p>
      <w:pPr>
        <w:spacing w:after="200"/>
        <w:ind w:left="432"/>
      </w:pPr>
      <w:r>
        <w:rPr>
          <w:b/>
        </w:rPr>
        <w:t xml:space="preserve">Regulatory Risk: AI Act Not Passed: </w:t>
      </w:r>
      <w:r>
        <w:t>Mitigation: POPIA Section 71 already provides legal foundation. Certification addresses existing compliance need, not hypothetical future regulation.</w:t>
      </w:r>
    </w:p>
    <w:p>
      <w:pPr>
        <w:spacing w:after="200"/>
        <w:ind w:left="432"/>
      </w:pPr>
      <w:r>
        <w:rPr>
          <w:b/>
        </w:rPr>
        <w:t xml:space="preserve">Competitive Risk: Big 4 Enter Market: </w:t>
      </w:r>
      <w:r>
        <w:t>Mitigation: First-mover advantage with SANAS accreditation (14-month lead time). Purpose-built methodology vs. generic consulting. Focus on certification, not advisory.</w:t>
      </w:r>
    </w:p>
    <w:p>
      <w:pPr>
        <w:spacing w:after="200"/>
        <w:ind w:left="432"/>
      </w:pPr>
      <w:r>
        <w:rPr>
          <w:b/>
        </w:rPr>
        <w:t xml:space="preserve">Market Risk: Low Demand: </w:t>
      </w:r>
      <w:r>
        <w:t>Mitigation: Pilot program validates willingness to pay before scaling. Insurance partnerships create financial incentive (premium discounts). Tender requirements create mandate.</w:t>
      </w:r>
    </w:p>
    <w:p>
      <w:pPr>
        <w:spacing w:after="200"/>
        <w:ind w:left="432"/>
      </w:pPr>
      <w:r>
        <w:rPr>
          <w:b/>
        </w:rPr>
        <w:t xml:space="preserve">Execution Risk: SANAS Accreditation Delayed: </w:t>
      </w:r>
      <w:r>
        <w:t>Mitigation: Alpha program revenue during accreditation period. Experienced certification professionals on founding team. SANAS process well-documented.</w:t>
      </w:r>
    </w:p>
    <w:p>
      <w:pPr>
        <w:spacing w:after="200"/>
        <w:ind w:left="432"/>
      </w:pPr>
      <w:r>
        <w:rPr>
          <w:b/>
        </w:rPr>
        <w:t xml:space="preserve">Talent Risk: Auditor Shortage: </w:t>
      </w:r>
      <w:r>
        <w:t>Mitigation: Partner with universities for Lead Auditor training programs (ZAR 35K revenue per trainee). Recruit from existing ISO auditor pool.</w:t>
      </w:r>
    </w:p>
    <w:p/>
    <w:p/>
    <w:p>
      <w:r>
        <w:rPr>
          <w:b/>
          <w:color w:val="282828"/>
          <w:sz w:val="32"/>
        </w:rPr>
        <w:t>SECTION 6: INVESTMENT THESIS</w:t>
      </w:r>
    </w:p>
    <w:p/>
    <w:p>
      <w:r>
        <w:rPr>
          <w:b/>
        </w:rPr>
        <w:t>Why Now? Why South Africa? Why This Team?</w:t>
      </w:r>
    </w:p>
    <w:p/>
    <w:p>
      <w:pPr>
        <w:spacing w:after="200"/>
        <w:ind w:left="432"/>
      </w:pPr>
      <w:r>
        <w:rPr>
          <w:b/>
        </w:rPr>
        <w:t xml:space="preserve">Timing is Perfect: </w:t>
      </w:r>
      <w:r>
        <w:t>AI discrimination lawsuits are happening NOW (Mobley, iTutorGroup, SafeRent). POPIA Section 71 provides legal mandate. National AI Act coming within 18-24 months. First-to-market captures regulatory tailwinds.</w:t>
      </w:r>
    </w:p>
    <w:p>
      <w:pPr>
        <w:spacing w:after="200"/>
        <w:ind w:left="432"/>
      </w:pPr>
      <w:r>
        <w:rPr>
          <w:b/>
        </w:rPr>
        <w:t xml:space="preserve">Market is Proven: </w:t>
      </w:r>
      <w:r>
        <w:t>ISO certification is USD 16B+ global market growing 15% annually. Certification business model has 85%+ renewal rates and 65%+ gross margins. South Africa has robust accreditation infrastructure via SANAS.</w:t>
      </w:r>
    </w:p>
    <w:p>
      <w:pPr>
        <w:spacing w:after="200"/>
        <w:ind w:left="432"/>
      </w:pPr>
      <w:r>
        <w:rPr>
          <w:b/>
        </w:rPr>
        <w:t xml:space="preserve">Differentiated Positioning: </w:t>
      </w:r>
      <w:r>
        <w:t>We do NOT sell "AI ethics consulting". We certify human accountability in AI deployment. Clear tier system (Human-Decisive, Human-Supervised, Automated-Permissible) provides pragmatic framework vs. vague ethics principles.</w:t>
      </w:r>
    </w:p>
    <w:p>
      <w:pPr>
        <w:spacing w:after="200"/>
        <w:ind w:left="432"/>
      </w:pPr>
      <w:r>
        <w:rPr>
          <w:b/>
        </w:rPr>
        <w:t xml:space="preserve">Regional Leadership: </w:t>
      </w:r>
      <w:r>
        <w:t>South Africa is among only 15% of African countries with formal AI policy. SANAS accreditation enables expansion to SADC region (15 countries, 380M people) via SADCAS mutual recognition.</w:t>
      </w:r>
    </w:p>
    <w:p>
      <w:pPr>
        <w:spacing w:after="200"/>
        <w:ind w:left="432"/>
      </w:pPr>
      <w:r>
        <w:rPr>
          <w:b/>
        </w:rPr>
        <w:t xml:space="preserve">Exit Opportunity: </w:t>
      </w:r>
      <w:r>
        <w:t>Big 4 consultancies, global certification bodies (Bureau Veritas, SGS), and AI governance startups are actively acquiring niche certification capabilities. AI governance sector seeing 25x revenue multiples in late-stage rounds.</w:t>
      </w:r>
    </w:p>
    <w:p/>
    <w:p/>
    <w:p>
      <w:r>
        <w:rPr>
          <w:b/>
          <w:color w:val="282828"/>
          <w:sz w:val="28"/>
        </w:rPr>
        <w:t>INVESTMENT ASK</w:t>
      </w:r>
    </w:p>
    <w:p/>
    <w:p>
      <w:r>
        <w:rPr>
          <w:b/>
        </w:rPr>
        <w:t xml:space="preserve">We are seeking ZAR 10 million in exchange for 25% equity. </w:t>
      </w:r>
      <w:r>
        <w:t>This capital will fund:</w:t>
      </w:r>
    </w:p>
    <w:p>
      <w:pPr>
        <w:pStyle w:val="ListBullet"/>
        <w:ind w:left="720"/>
      </w:pPr>
      <w:r>
        <w:t>• Recruitment of 2 experienced Lead Auditors (ZAR 1.2M annual each)</w:t>
      </w:r>
    </w:p>
    <w:p>
      <w:pPr>
        <w:pStyle w:val="ListBullet"/>
        <w:ind w:left="720"/>
      </w:pPr>
      <w:r>
        <w:t>• SANAS accreditation process (ZAR 500K including assessments and witness audits)</w:t>
      </w:r>
    </w:p>
    <w:p>
      <w:pPr>
        <w:pStyle w:val="ListBullet"/>
        <w:ind w:left="720"/>
      </w:pPr>
      <w:r>
        <w:t>• Development of AIC Pulse monitoring platform (ZAR 2.5M)</w:t>
      </w:r>
    </w:p>
    <w:p>
      <w:pPr>
        <w:pStyle w:val="ListBullet"/>
        <w:ind w:left="720"/>
      </w:pPr>
      <w:r>
        <w:t>• Alpha program with 10 early-adopter organizations to validate framework</w:t>
      </w:r>
    </w:p>
    <w:p>
      <w:pPr>
        <w:pStyle w:val="ListBullet"/>
        <w:ind w:left="720"/>
      </w:pPr>
      <w:r>
        <w:t>• Regulatory advocacy to position AIC as Section 71 compliance solution</w:t>
      </w:r>
    </w:p>
    <w:p>
      <w:pPr>
        <w:pStyle w:val="ListBullet"/>
        <w:ind w:left="720"/>
      </w:pPr>
      <w:r>
        <w:t>• 18-month runway to break-even (Month 18, Q2 Year 2)</w:t>
      </w:r>
    </w:p>
    <w:p/>
    <w:p/>
    <w:p>
      <w:r>
        <w:rPr>
          <w:i/>
        </w:rPr>
        <w:t xml:space="preserve">This is not a bet on whether AI discrimination will become a problem. It already is. </w:t>
      </w:r>
      <w:r>
        <w:rPr>
          <w:i/>
        </w:rPr>
        <w:t>This is a bet on South Africa leading Africa in building trust infrastructure for the AI economy.</w:t>
      </w:r>
    </w:p>
    <w:p/>
    <w:p/>
    <w:p>
      <w:pPr>
        <w:jc w:val="center"/>
      </w:pPr>
      <w:r>
        <w:rPr>
          <w:color w:val="C8C8C8"/>
        </w:rPr>
        <w:t>____________________________________________________________________________________________________</w:t>
      </w:r>
    </w:p>
    <w:p>
      <w:pPr>
        <w:jc w:val="center"/>
      </w:pPr>
      <w:r>
        <w:rPr>
          <w:color w:val="787878"/>
          <w:sz w:val="18"/>
        </w:rPr>
        <w:t>AI Integrity Certification (AIC) | Evidence-Based Business Plan | January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