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0"/>
        <w:jc w:val="center"/>
      </w:pPr>
      <w:r>
        <w:rPr>
          <w:rFonts w:ascii="Arial" w:cs="Arial" w:eastAsia="Arial" w:hAnsi="Arial"/>
          <w:color w:val="D4AF37"/>
          <w:sz w:val="24"/>
          <w:szCs w:val="24"/>
        </w:rPr>
        <w:t xml:space="preserve">─── ─── ───</w:t>
      </w:r>
    </w:p>
    <w:p>
      <w:pPr>
        <w:spacing w:before="200" w:after="0"/>
        <w:jc w:val="center"/>
      </w:pPr>
      <w:r>
        <w:rPr>
          <w:rFonts w:ascii="Arial" w:cs="Arial" w:eastAsia="Arial" w:hAnsi="Arial"/>
          <w:b/>
          <w:bCs/>
          <w:color w:val="1A1A1A"/>
          <w:sz w:val="52"/>
          <w:szCs w:val="52"/>
        </w:rPr>
        <w:t xml:space="preserve">AI INTEGRITY CERTIFICATION</w:t>
      </w:r>
    </w:p>
    <w:p>
      <w:pPr>
        <w:spacing w:before="40" w:after="0"/>
        <w:jc w:val="center"/>
      </w:pPr>
      <w:r>
        <w:rPr>
          <w:rFonts w:ascii="Arial" w:cs="Arial" w:eastAsia="Arial" w:hAnsi="Arial"/>
          <w:b/>
          <w:bCs/>
          <w:color w:val="1A1A1A"/>
          <w:sz w:val="72"/>
          <w:szCs w:val="72"/>
        </w:rPr>
        <w:t xml:space="preserve">AIC</w:t>
      </w:r>
    </w:p>
    <w:p>
      <w:pPr>
        <w:spacing w:before="200" w:after="0"/>
        <w:jc w:val="center"/>
      </w:pPr>
      <w:r>
        <w:rPr>
          <w:rFonts w:ascii="Arial" w:cs="Arial" w:eastAsia="Arial" w:hAnsi="Arial"/>
          <w:color w:val="D4AF37"/>
          <w:sz w:val="24"/>
          <w:szCs w:val="24"/>
        </w:rPr>
        <w:t xml:space="preserve">─── ─── ───</w:t>
      </w:r>
    </w:p>
    <w:p>
      <w:pPr>
        <w:spacing w:before="400" w:after="0"/>
        <w:jc w:val="center"/>
      </w:pPr>
      <w:r>
        <w:rPr>
          <w:rFonts w:ascii="Arial" w:cs="Arial" w:eastAsia="Arial" w:hAnsi="Arial"/>
          <w:b/>
          <w:bCs/>
          <w:color w:val="333333"/>
          <w:sz w:val="36"/>
          <w:szCs w:val="36"/>
        </w:rPr>
        <w:t xml:space="preserve">PRODUCT REQUIREMENTS DOCUMENT</w:t>
      </w:r>
    </w:p>
    <w:p>
      <w:pPr>
        <w:spacing w:before="80" w:after="0"/>
        <w:jc w:val="center"/>
      </w:pPr>
      <w:r>
        <w:rPr>
          <w:rFonts w:ascii="Arial" w:cs="Arial" w:eastAsia="Arial" w:hAnsi="Arial"/>
          <w:color w:val="666666"/>
          <w:sz w:val="22"/>
          <w:szCs w:val="22"/>
        </w:rPr>
        <w:t xml:space="preserve">Comprehensive Product Definition &amp; Future State Vision</w:t>
      </w:r>
    </w:p>
    <w:p>
      <w:pPr>
        <w:spacing w:before="8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none" w:color="FFFFFF" w:sz="0"/>
              <w:left w:val="none" w:color="FFFFFF" w:sz="0"/>
              <w:bottom w:val="none" w:color="FFFFFF" w:sz="0"/>
              <w:right w:val="none" w:color="FFFFFF" w:sz="0"/>
            </w:tcBorders>
            <w:shd w:fill="FAFAF7" w:val="clear"/>
            <w:tcMar>
              <w:top w:type="dxa" w:w="60"/>
              <w:left w:type="dxa" w:w="200"/>
              <w:bottom w:type="dxa" w:w="60"/>
              <w:right w:type="dxa" w:w="0"/>
            </w:tcMar>
          </w:tcPr>
          <w:p>
            <w:r>
              <w:rPr>
                <w:rFonts w:ascii="Arial" w:cs="Arial" w:eastAsia="Arial" w:hAnsi="Arial"/>
                <w:b/>
                <w:bCs/>
                <w:color w:val="666666"/>
                <w:sz w:val="20"/>
                <w:szCs w:val="20"/>
              </w:rPr>
              <w:t xml:space="preserve">Version</w:t>
            </w:r>
          </w:p>
        </w:tc>
        <w:tc>
          <w:tcPr>
            <w:tcW w:type="dxa" w:w="6026"/>
            <w:tcBorders>
              <w:top w:val="none" w:color="FFFFFF" w:sz="0"/>
              <w:left w:val="none" w:color="FFFFFF" w:sz="0"/>
              <w:bottom w:val="none" w:color="FFFFFF" w:sz="0"/>
              <w:right w:val="none" w:color="FFFFFF" w:sz="0"/>
            </w:tcBorders>
            <w:shd w:fill="FAFAF7" w:val="clear"/>
            <w:tcMar>
              <w:top w:type="dxa" w:w="60"/>
              <w:left w:type="dxa" w:w="0"/>
              <w:bottom w:type="dxa" w:w="60"/>
              <w:right w:type="dxa" w:w="200"/>
            </w:tcMar>
          </w:tcPr>
          <w:p>
            <w:r>
              <w:rPr>
                <w:rFonts w:ascii="Arial" w:cs="Arial" w:eastAsia="Arial" w:hAnsi="Arial"/>
                <w:color w:val="333333"/>
                <w:sz w:val="20"/>
                <w:szCs w:val="20"/>
              </w:rPr>
              <w:t xml:space="preserve">1.0 — Foundation &amp; Future State</w:t>
            </w:r>
          </w:p>
        </w:tc>
      </w:tr>
      <w:tr>
        <w:tc>
          <w:tcPr>
            <w:tcW w:type="dxa" w:w="300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Arial" w:cs="Arial" w:eastAsia="Arial" w:hAnsi="Arial"/>
                <w:b/>
                <w:bCs/>
                <w:color w:val="666666"/>
                <w:sz w:val="20"/>
                <w:szCs w:val="20"/>
              </w:rPr>
              <w:t xml:space="preserve">Date</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color w:val="333333"/>
                <w:sz w:val="20"/>
                <w:szCs w:val="20"/>
              </w:rPr>
              <w:t xml:space="preserve">January 31, 2026</w:t>
            </w:r>
          </w:p>
        </w:tc>
      </w:tr>
      <w:tr>
        <w:tc>
          <w:tcPr>
            <w:tcW w:type="dxa" w:w="300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Arial" w:cs="Arial" w:eastAsia="Arial" w:hAnsi="Arial"/>
                <w:b/>
                <w:bCs/>
                <w:color w:val="666666"/>
                <w:sz w:val="20"/>
                <w:szCs w:val="20"/>
              </w:rPr>
              <w:t xml:space="preserve">Classification</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bCs/>
                <w:color w:val="C41E3A"/>
                <w:sz w:val="20"/>
                <w:szCs w:val="20"/>
              </w:rPr>
              <w:t xml:space="preserve">CONFIDENTIAL</w:t>
            </w:r>
          </w:p>
        </w:tc>
      </w:tr>
      <w:tr>
        <w:tc>
          <w:tcPr>
            <w:tcW w:type="dxa" w:w="3000"/>
            <w:tcBorders>
              <w:top w:val="none" w:color="FFFFFF" w:sz="0"/>
              <w:left w:val="none" w:color="FFFFFF" w:sz="0"/>
              <w:bottom w:val="none" w:color="FFFFFF" w:sz="0"/>
              <w:right w:val="none" w:color="FFFFFF" w:sz="0"/>
            </w:tcBorders>
            <w:tcMar>
              <w:top w:type="dxa" w:w="60"/>
              <w:left w:type="dxa" w:w="200"/>
              <w:bottom w:type="dxa" w:w="60"/>
              <w:right w:type="dxa" w:w="0"/>
            </w:tcMar>
          </w:tcPr>
          <w:p>
            <w:r>
              <w:rPr>
                <w:rFonts w:ascii="Arial" w:cs="Arial" w:eastAsia="Arial" w:hAnsi="Arial"/>
                <w:b/>
                <w:bCs/>
                <w:color w:val="666666"/>
                <w:sz w:val="20"/>
                <w:szCs w:val="20"/>
              </w:rPr>
              <w:t xml:space="preserve">Status</w:t>
            </w:r>
          </w:p>
        </w:tc>
        <w:tc>
          <w:tcPr>
            <w:tcW w:type="dxa" w:w="6026"/>
            <w:tcBorders>
              <w:top w:val="none" w:color="FFFFFF" w:sz="0"/>
              <w:left w:val="none" w:color="FFFFFF" w:sz="0"/>
              <w:bottom w:val="none" w:color="FFFFFF" w:sz="0"/>
              <w:right w:val="none" w:color="FFFFFF" w:sz="0"/>
            </w:tcBorders>
            <w:tcMar>
              <w:top w:type="dxa" w:w="60"/>
              <w:left w:type="dxa" w:w="0"/>
              <w:bottom w:type="dxa" w:w="60"/>
              <w:right w:type="dxa" w:w="200"/>
            </w:tcMar>
          </w:tcPr>
          <w:p>
            <w:r>
              <w:rPr>
                <w:rFonts w:ascii="Arial" w:cs="Arial" w:eastAsia="Arial" w:hAnsi="Arial"/>
                <w:b/>
                <w:bCs/>
                <w:color w:val="2C5F2D"/>
                <w:sz w:val="20"/>
                <w:szCs w:val="20"/>
              </w:rPr>
              <w:t xml:space="preserve">Active — Phase 1 In Development</w:t>
            </w:r>
          </w:p>
        </w:tc>
      </w:tr>
    </w:tbl>
    <w:p>
      <w:pPr>
        <w:spacing w:before="1200"/>
      </w:pPr>
    </w:p>
    <w:p>
      <w:pPr>
        <w:spacing w:after="0"/>
        <w:jc w:val="center"/>
      </w:pPr>
      <w:r>
        <w:rPr>
          <w:rFonts w:ascii="Arial" w:cs="Arial" w:eastAsia="Arial" w:hAnsi="Arial"/>
          <w:color w:val="666666"/>
          <w:sz w:val="22"/>
          <w:szCs w:val="22"/>
        </w:rPr>
        <w:t xml:space="preserve">We do not regulate AI. We certify that humans remain accountable.</w:t>
      </w:r>
    </w:p>
    <w:p>
      <w:r>
        <w:br w:type="page"/>
      </w:r>
    </w:p>
    <w:p>
      <w:pPr>
        <w:pStyle w:val="Heading1"/>
        <w:spacing w:before="360" w:after="200"/>
      </w:pPr>
      <w:r>
        <w:rPr>
          <w:rFonts w:ascii="Arial" w:cs="Arial" w:eastAsia="Arial" w:hAnsi="Arial"/>
          <w:b/>
          <w:bCs/>
          <w:color w:val="1A1A1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200"/>
      </w:pPr>
      <w:r>
        <w:rPr>
          <w:rFonts w:ascii="Arial" w:cs="Arial" w:eastAsia="Arial" w:hAnsi="Arial"/>
          <w:color w:val="999999"/>
          <w:sz w:val="18"/>
          <w:szCs w:val="18"/>
        </w:rPr>
        <w:t xml:space="preserve">[Update TOC: Right-click → Update Field → Update entire table in Word/LibreOffice]</w:t>
      </w:r>
    </w:p>
    <w:p>
      <w:r>
        <w:br w:type="page"/>
      </w:r>
    </w:p>
    <w:p>
      <w:pPr>
        <w:pStyle w:val="Heading1"/>
        <w:spacing w:before="360" w:after="200"/>
      </w:pPr>
      <w:r>
        <w:rPr>
          <w:rFonts w:ascii="Arial" w:cs="Arial" w:eastAsia="Arial" w:hAnsi="Arial"/>
          <w:b/>
          <w:bCs/>
          <w:color w:val="1A1A1A"/>
          <w:sz w:val="32"/>
          <w:szCs w:val="32"/>
        </w:rPr>
        <w:t xml:space="preserve">1. Executive Summary</w:t>
      </w:r>
    </w:p>
    <w:p>
      <w:pPr>
        <w:spacing w:after="120" w:line="276"/>
        <w:jc w:val="left"/>
      </w:pPr>
      <w:r>
        <w:rPr>
          <w:rFonts w:ascii="Arial" w:cs="Arial" w:eastAsia="Arial" w:hAnsi="Arial"/>
          <w:color w:val="333333"/>
          <w:sz w:val="22"/>
          <w:szCs w:val="22"/>
        </w:rPr>
        <w:t xml:space="preserve">AI Integrity Certification (AIC) is a purpose-built third-party certification body that validates whether organisations deploying artificial intelligence maintain genuine human accountability over algorithmic decisions. AIC does not regulate AI technology itself — it certifies the people, processes, and governance structures that surround it.</w:t>
      </w:r>
    </w:p>
    <w:p>
      <w:pPr>
        <w:spacing w:after="120" w:line="276"/>
        <w:jc w:val="left"/>
      </w:pPr>
      <w:r>
        <w:rPr>
          <w:rFonts w:ascii="Arial" w:cs="Arial" w:eastAsia="Arial" w:hAnsi="Arial"/>
          <w:color w:val="333333"/>
          <w:sz w:val="22"/>
          <w:szCs w:val="22"/>
        </w:rPr>
        <w:t xml:space="preserve">South Africa's POPIA Section 71 explicitly prohibits automated decision-making without human oversight. Yet 82% of Fortune 500 companies using AI-powered systems lack any governance certification. Globally, AI discrimination lawsuits have escalated from theoretical to litigated — Mobley v. Workday was certified as a class action in May 2025, and the first EEOC settlement resulted in a USD 365,000 penalty. The market is not hypothetical. The risk is real. The law is clear.</w:t>
      </w:r>
    </w:p>
    <w:p>
      <w:pPr>
        <w:spacing w:after="120" w:line="276"/>
        <w:jc w:val="left"/>
      </w:pPr>
      <w:r>
        <w:rPr>
          <w:rFonts w:ascii="Arial" w:cs="Arial" w:eastAsia="Arial" w:hAnsi="Arial"/>
          <w:color w:val="333333"/>
          <w:sz w:val="22"/>
          <w:szCs w:val="22"/>
        </w:rPr>
        <w:t xml:space="preserve">AIC's solution is a three-tier accountability framework that maps certification requirements directly to the stakes of the decisions being made. Tier 1 covers critical, irreversible decisions where humans must approve every outcome. Tier 2 covers consequential but reversible decisions where AI can execute under human supervision. Tier 3 covers low-stakes, routine decisions where AI operates autonomously under periodic monitoring. This pragmatic tiering separates AIC from generic AI governance standards like ISO 42001.</w:t>
      </w:r>
    </w:p>
    <w:p>
      <w:pPr>
        <w:spacing w:after="120" w:line="276"/>
        <w:jc w:val="left"/>
      </w:pPr>
      <w:r>
        <w:rPr>
          <w:rFonts w:ascii="Arial" w:cs="Arial" w:eastAsia="Arial" w:hAnsi="Arial"/>
          <w:color w:val="333333"/>
          <w:sz w:val="22"/>
          <w:szCs w:val="22"/>
        </w:rPr>
        <w:t xml:space="preserve">This PRD defines the complete product — both the marketing website that launches first and the full platform ecosystem that follows. Phase 1 (the website) is an information and lead-generation engine designed to convert enterprise prospects into Alpha Program participants. But this document does not stop there. It maps the full trajectory: the SaaS monitoring platform, the client certification portal, the insurance integration layer, the SADC regional expansion, and the long-term vision of AIC becoming the trust infrastructure for AI deployment across Africa.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3"/>
              <w:left w:val="none" w:color="FFFFFF" w:sz="0"/>
              <w:bottom w:val="none" w:color="FFFFFF" w:sz="0"/>
              <w:right w:val="none" w:color="FFFFFF" w:sz="0"/>
            </w:tcBorders>
            <w:shd w:fill="FAFAF7" w:val="clear"/>
            <w:tcMar>
              <w:top w:type="dxa" w:w="120"/>
              <w:left w:type="dxa" w:w="240"/>
              <w:bottom w:type="dxa" w:w="120"/>
              <w:right w:type="dxa" w:w="240"/>
            </w:tcMar>
          </w:tcPr>
          <w:p>
            <w:pPr>
              <w:spacing w:after="0" w:line="260"/>
            </w:pPr>
            <w:r>
              <w:rPr>
                <w:rFonts w:ascii="Arial" w:cs="Arial" w:eastAsia="Arial" w:hAnsi="Arial"/>
                <w:color w:val="333333"/>
                <w:sz w:val="21"/>
                <w:szCs w:val="21"/>
              </w:rPr>
              <w:t xml:space="preserve">This document is intentionally forward-looking. Phase 1 builds the foundation. Nothing in this PRD should be read as limiting what AIC becomes.</w:t>
            </w:r>
          </w:p>
        </w:tc>
      </w:tr>
    </w:tbl>
    <w:p>
      <w:r>
        <w:br w:type="page"/>
      </w:r>
    </w:p>
    <w:p>
      <w:pPr>
        <w:pStyle w:val="Heading1"/>
        <w:spacing w:before="360" w:after="200"/>
      </w:pPr>
      <w:r>
        <w:rPr>
          <w:rFonts w:ascii="Arial" w:cs="Arial" w:eastAsia="Arial" w:hAnsi="Arial"/>
          <w:b/>
          <w:bCs/>
          <w:color w:val="1A1A1A"/>
          <w:sz w:val="32"/>
          <w:szCs w:val="32"/>
        </w:rPr>
        <w:t xml:space="preserve">2. Vision &amp; Mission</w:t>
      </w:r>
    </w:p>
    <w:p>
      <w:pPr>
        <w:pStyle w:val="Heading2"/>
        <w:spacing w:before="280" w:after="160"/>
      </w:pPr>
      <w:r>
        <w:rPr>
          <w:rFonts w:ascii="Arial" w:cs="Arial" w:eastAsia="Arial" w:hAnsi="Arial"/>
          <w:b/>
          <w:bCs/>
          <w:color w:val="1A1A1A"/>
          <w:sz w:val="26"/>
          <w:szCs w:val="26"/>
        </w:rPr>
        <w:t xml:space="preserve">2.1 Vision</w:t>
      </w:r>
    </w:p>
    <w:p>
      <w:pPr>
        <w:spacing w:after="120" w:line="276"/>
        <w:jc w:val="left"/>
      </w:pPr>
      <w:r>
        <w:rPr>
          <w:rFonts w:ascii="Arial" w:cs="Arial" w:eastAsia="Arial" w:hAnsi="Arial"/>
          <w:color w:val="333333"/>
          <w:sz w:val="22"/>
          <w:szCs w:val="22"/>
        </w:rPr>
        <w:t xml:space="preserve">To become the definitive trust infrastructure for AI deployment across Africa — the standard that organisations, regulators, insurers, and the public rely on to know that human beings remain accountable for every consequential decision an algorithm makes.</w:t>
      </w:r>
    </w:p>
    <w:p>
      <w:pPr>
        <w:pStyle w:val="Heading2"/>
        <w:spacing w:before="280" w:after="160"/>
      </w:pPr>
      <w:r>
        <w:rPr>
          <w:rFonts w:ascii="Arial" w:cs="Arial" w:eastAsia="Arial" w:hAnsi="Arial"/>
          <w:b/>
          <w:bCs/>
          <w:color w:val="1A1A1A"/>
          <w:sz w:val="26"/>
          <w:szCs w:val="26"/>
        </w:rPr>
        <w:t xml:space="preserve">2.2 Mission</w:t>
      </w:r>
    </w:p>
    <w:p>
      <w:pPr>
        <w:spacing w:after="120" w:line="276"/>
        <w:jc w:val="left"/>
      </w:pPr>
      <w:r>
        <w:rPr>
          <w:rFonts w:ascii="Arial" w:cs="Arial" w:eastAsia="Arial" w:hAnsi="Arial"/>
          <w:color w:val="333333"/>
          <w:sz w:val="22"/>
          <w:szCs w:val="22"/>
        </w:rPr>
        <w:t xml:space="preserve">To provide rigorous, third-party certification that organisations deploying AI in high-stakes decisions maintain genuine human oversight, can explain their algorithmic outcomes, and bear real accountability for the consequences.</w:t>
      </w:r>
    </w:p>
    <w:p>
      <w:pPr>
        <w:pStyle w:val="Heading2"/>
        <w:spacing w:before="280" w:after="160"/>
      </w:pPr>
      <w:r>
        <w:rPr>
          <w:rFonts w:ascii="Arial" w:cs="Arial" w:eastAsia="Arial" w:hAnsi="Arial"/>
          <w:b/>
          <w:bCs/>
          <w:color w:val="1A1A1A"/>
          <w:sz w:val="26"/>
          <w:szCs w:val="26"/>
        </w:rPr>
        <w:t xml:space="preserve">2.3 Core Belief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3"/>
              <w:left w:val="none" w:color="FFFFFF" w:sz="0"/>
              <w:bottom w:val="none" w:color="FFFFFF" w:sz="0"/>
              <w:right w:val="none" w:color="FFFFFF" w:sz="0"/>
            </w:tcBorders>
            <w:shd w:fill="FAFAF7" w:val="clear"/>
            <w:tcMar>
              <w:top w:type="dxa" w:w="120"/>
              <w:left w:type="dxa" w:w="240"/>
              <w:bottom w:type="dxa" w:w="120"/>
              <w:right w:type="dxa" w:w="240"/>
            </w:tcMar>
          </w:tcPr>
          <w:p>
            <w:pPr>
              <w:spacing w:after="0" w:line="260"/>
            </w:pPr>
            <w:r>
              <w:rPr>
                <w:rFonts w:ascii="Arial" w:cs="Arial" w:eastAsia="Arial" w:hAnsi="Arial"/>
                <w:color w:val="333333"/>
                <w:sz w:val="21"/>
                <w:szCs w:val="21"/>
              </w:rPr>
              <w:t xml:space="preserve">We are not afraid of AI. We hold accountable those who wield it irresponsibly. Certification does not restrict technology — it enforces human responsibility for algorithmic consequences.</w:t>
            </w:r>
          </w:p>
        </w:tc>
      </w:tr>
    </w:tbl>
    <w:p>
      <w:pPr>
        <w:pStyle w:val="Heading2"/>
        <w:spacing w:before="280" w:after="160"/>
      </w:pPr>
      <w:r>
        <w:rPr>
          <w:rFonts w:ascii="Arial" w:cs="Arial" w:eastAsia="Arial" w:hAnsi="Arial"/>
          <w:b/>
          <w:bCs/>
          <w:color w:val="1A1A1A"/>
          <w:sz w:val="26"/>
          <w:szCs w:val="26"/>
        </w:rPr>
        <w:t xml:space="preserve">2.4 What AIC Is — and Is Not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AIC IS</w:t>
            </w:r>
          </w:p>
        </w:tc>
        <w:tc>
          <w:tcPr>
            <w:tcW w:type="dxa" w:w="45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AIC IS NOT</w:t>
            </w:r>
          </w:p>
        </w:tc>
      </w:tr>
      <w:tr>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Third-party certification of human accountability</w:t>
            </w:r>
          </w:p>
        </w:tc>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regulator of AI technology</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POPIA Section 71 compliance framework</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 AI ethics consulting firm</w:t>
            </w:r>
          </w:p>
        </w:tc>
      </w:tr>
      <w:tr>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tiered system matched to decision stakes</w:t>
            </w:r>
          </w:p>
        </w:tc>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one-size-fits-all governance checklist</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recurring certification with annual renewal</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one-time advisory engagement</w:t>
            </w:r>
          </w:p>
        </w:tc>
      </w:tr>
      <w:tr>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Complementary to ISO 42001</w:t>
            </w:r>
          </w:p>
        </w:tc>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replacement for ISO 42001</w:t>
            </w:r>
          </w:p>
        </w:tc>
      </w:tr>
      <w:tr>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South African-first, Africa-scaling standard</w:t>
            </w:r>
          </w:p>
        </w:tc>
        <w:tc>
          <w:tcPr>
            <w:tcW w:type="dxa" w:w="45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global standard adapted for local use</w:t>
            </w:r>
          </w:p>
        </w:tc>
      </w:tr>
      <w:tr>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displayable, third-party-validated seal</w:t>
            </w:r>
          </w:p>
        </w:tc>
        <w:tc>
          <w:tcPr>
            <w:tcW w:type="dxa" w:w="45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Self-attestation or internal audit</w:t>
            </w:r>
          </w:p>
        </w:tc>
      </w:tr>
    </w:tbl>
    <w:p>
      <w:r>
        <w:br w:type="page"/>
      </w:r>
    </w:p>
    <w:p>
      <w:pPr>
        <w:pStyle w:val="Heading1"/>
        <w:spacing w:before="360" w:after="200"/>
      </w:pPr>
      <w:r>
        <w:rPr>
          <w:rFonts w:ascii="Arial" w:cs="Arial" w:eastAsia="Arial" w:hAnsi="Arial"/>
          <w:b/>
          <w:bCs/>
          <w:color w:val="1A1A1A"/>
          <w:sz w:val="32"/>
          <w:szCs w:val="32"/>
        </w:rPr>
        <w:t xml:space="preserve">3. Market Context &amp; Opportunity</w:t>
      </w:r>
    </w:p>
    <w:p>
      <w:pPr>
        <w:pStyle w:val="Heading2"/>
        <w:spacing w:before="280" w:after="160"/>
      </w:pPr>
      <w:r>
        <w:rPr>
          <w:rFonts w:ascii="Arial" w:cs="Arial" w:eastAsia="Arial" w:hAnsi="Arial"/>
          <w:b/>
          <w:bCs/>
          <w:color w:val="1A1A1A"/>
          <w:sz w:val="26"/>
          <w:szCs w:val="26"/>
        </w:rPr>
        <w:t xml:space="preserve">3.1 The Problem Is Proven, Litigated, and Escalating</w:t>
      </w:r>
    </w:p>
    <w:p>
      <w:pPr>
        <w:spacing w:after="120" w:line="276"/>
        <w:jc w:val="left"/>
      </w:pPr>
      <w:r>
        <w:rPr>
          <w:rFonts w:ascii="Arial" w:cs="Arial" w:eastAsia="Arial" w:hAnsi="Arial"/>
          <w:color w:val="333333"/>
          <w:sz w:val="22"/>
          <w:szCs w:val="22"/>
        </w:rPr>
        <w:t xml:space="preserve">AI accountability is no longer a future concern. It is a present legal, financial, and reputational risk that organisations are actively facing today. The following cases and research establish the market reality that AIC exists to address:</w:t>
      </w:r>
    </w:p>
    <w:p>
      <w:pPr>
        <w:pStyle w:val="Heading3"/>
        <w:spacing w:before="200" w:after="120"/>
      </w:pPr>
      <w:r>
        <w:rPr>
          <w:rFonts w:ascii="Arial" w:cs="Arial" w:eastAsia="Arial" w:hAnsi="Arial"/>
          <w:b/>
          <w:bCs/>
          <w:color w:val="333333"/>
          <w:sz w:val="22"/>
          <w:szCs w:val="22"/>
        </w:rPr>
        <w:t xml:space="preserve">Legal Precedent</w:t>
      </w:r>
    </w:p>
    <w:p>
      <w:pPr>
        <w:pStyle w:val="ListParagraph"/>
        <w:numPr>
          <w:ilvl w:val="0"/>
          <w:numId w:val="2"/>
        </w:numPr>
        <w:spacing w:after="80" w:line="260"/>
      </w:pPr>
      <w:r>
        <w:rPr>
          <w:rFonts w:ascii="Arial" w:cs="Arial" w:eastAsia="Arial" w:hAnsi="Arial"/>
          <w:color w:val="333333"/>
          <w:sz w:val="21"/>
          <w:szCs w:val="21"/>
        </w:rPr>
        <w:t xml:space="preserve">Mobley v. Workday (2023–2025): Certified as class action by US District Court (Northern California) in May 2025. Federal judge ruled AI vendors can be held liable as "agents" of employers under Title VII. EEOC filed amicus brief supporting plaintiffs. Establishes that AI discrimination is employer liability, not just a technology bug.</w:t>
      </w:r>
    </w:p>
    <w:p>
      <w:pPr>
        <w:pStyle w:val="ListParagraph"/>
        <w:numPr>
          <w:ilvl w:val="0"/>
          <w:numId w:val="2"/>
        </w:numPr>
        <w:spacing w:after="80" w:line="260"/>
      </w:pPr>
      <w:r>
        <w:rPr>
          <w:rFonts w:ascii="Arial" w:cs="Arial" w:eastAsia="Arial" w:hAnsi="Arial"/>
          <w:color w:val="333333"/>
          <w:sz w:val="21"/>
          <w:szCs w:val="21"/>
        </w:rPr>
        <w:t xml:space="preserve">EEOC v. iTutorGroup (2024): First-ever AI discrimination settlement. USD 365,000 penalty. AI hiring tool automatically rejected female applicants over 55 and male applicants over 60 — bias learned from historical data, applied at scale.</w:t>
      </w:r>
    </w:p>
    <w:p>
      <w:pPr>
        <w:pStyle w:val="ListParagraph"/>
        <w:numPr>
          <w:ilvl w:val="0"/>
          <w:numId w:val="2"/>
        </w:numPr>
        <w:spacing w:after="80" w:line="260"/>
      </w:pPr>
      <w:r>
        <w:rPr>
          <w:rFonts w:ascii="Arial" w:cs="Arial" w:eastAsia="Arial" w:hAnsi="Arial"/>
          <w:color w:val="333333"/>
          <w:sz w:val="21"/>
          <w:szCs w:val="21"/>
        </w:rPr>
        <w:t xml:space="preserve">SafeRent Housing Discrimination (2024): Tenant screening AI led to disproportionate housing denials for Black and Hispanic applicants. Court rejected the defence that SafeRent bore no liability because it did not make "final" decisions. Advisory roles do not shield from liability.</w:t>
      </w:r>
    </w:p>
    <w:p>
      <w:pPr>
        <w:pStyle w:val="ListParagraph"/>
        <w:numPr>
          <w:ilvl w:val="0"/>
          <w:numId w:val="2"/>
        </w:numPr>
        <w:spacing w:after="80" w:line="260"/>
      </w:pPr>
      <w:r>
        <w:rPr>
          <w:rFonts w:ascii="Arial" w:cs="Arial" w:eastAsia="Arial" w:hAnsi="Arial"/>
          <w:color w:val="333333"/>
          <w:sz w:val="21"/>
          <w:szCs w:val="21"/>
        </w:rPr>
        <w:t xml:space="preserve">Sirius XM Radio (Filed August 2025): AI hiring tool discrimination lawsuit seeking class action status and injunctive relief. Pattern is accelerating.</w:t>
      </w:r>
    </w:p>
    <w:p>
      <w:pPr>
        <w:pStyle w:val="Heading3"/>
        <w:spacing w:before="200" w:after="120"/>
      </w:pPr>
      <w:r>
        <w:rPr>
          <w:rFonts w:ascii="Arial" w:cs="Arial" w:eastAsia="Arial" w:hAnsi="Arial"/>
          <w:b/>
          <w:bCs/>
          <w:color w:val="333333"/>
          <w:sz w:val="22"/>
          <w:szCs w:val="22"/>
        </w:rPr>
        <w:t xml:space="preserve">Academic Research</w:t>
      </w:r>
    </w:p>
    <w:p>
      <w:pPr>
        <w:pStyle w:val="ListParagraph"/>
        <w:numPr>
          <w:ilvl w:val="0"/>
          <w:numId w:val="2"/>
        </w:numPr>
        <w:spacing w:after="80" w:line="260"/>
      </w:pPr>
      <w:r>
        <w:rPr>
          <w:rFonts w:ascii="Arial" w:cs="Arial" w:eastAsia="Arial" w:hAnsi="Arial"/>
          <w:color w:val="333333"/>
          <w:sz w:val="21"/>
          <w:szCs w:val="21"/>
        </w:rPr>
        <w:t xml:space="preserve">University of Washington (2024): AI resume screening favoured white-associated names in 85.1% of cases. In some comparisons, Black male candidates were disadvantaged 100% of the time.</w:t>
      </w:r>
    </w:p>
    <w:p>
      <w:pPr>
        <w:pStyle w:val="ListParagraph"/>
        <w:numPr>
          <w:ilvl w:val="0"/>
          <w:numId w:val="2"/>
        </w:numPr>
        <w:spacing w:after="80" w:line="260"/>
      </w:pPr>
      <w:r>
        <w:rPr>
          <w:rFonts w:ascii="Arial" w:cs="Arial" w:eastAsia="Arial" w:hAnsi="Arial"/>
          <w:color w:val="333333"/>
          <w:sz w:val="21"/>
          <w:szCs w:val="21"/>
        </w:rPr>
        <w:t xml:space="preserve">Lehigh University: AI loan approval systems showed white applicants 8.5% more likely to be approved than Black applicants with identical financial profiles.</w:t>
      </w:r>
    </w:p>
    <w:p>
      <w:pPr>
        <w:pStyle w:val="ListParagraph"/>
        <w:numPr>
          <w:ilvl w:val="0"/>
          <w:numId w:val="2"/>
        </w:numPr>
        <w:spacing w:after="80" w:line="260"/>
      </w:pPr>
      <w:r>
        <w:rPr>
          <w:rFonts w:ascii="Arial" w:cs="Arial" w:eastAsia="Arial" w:hAnsi="Arial"/>
          <w:color w:val="333333"/>
          <w:sz w:val="21"/>
          <w:szCs w:val="21"/>
        </w:rPr>
        <w:t xml:space="preserve">Urban Institute (2024): Black and Brown borrowers more than 2x as likely to be denied loans via AI-assisted systems.</w:t>
      </w:r>
    </w:p>
    <w:p>
      <w:pPr>
        <w:pStyle w:val="ListParagraph"/>
        <w:numPr>
          <w:ilvl w:val="0"/>
          <w:numId w:val="2"/>
        </w:numPr>
        <w:spacing w:after="80" w:line="260"/>
      </w:pPr>
      <w:r>
        <w:rPr>
          <w:rFonts w:ascii="Arial" w:cs="Arial" w:eastAsia="Arial" w:hAnsi="Arial"/>
          <w:color w:val="333333"/>
          <w:sz w:val="21"/>
          <w:szCs w:val="21"/>
        </w:rPr>
        <w:t xml:space="preserve">UC Berkeley (2022): African American and Latinx borrowers charged an extra 5 basis points — costing USD 450 million per year in aggregate across the sector.</w:t>
      </w:r>
    </w:p>
    <w:p>
      <w:pPr>
        <w:pStyle w:val="Heading2"/>
        <w:spacing w:before="280" w:after="160"/>
      </w:pPr>
      <w:r>
        <w:rPr>
          <w:rFonts w:ascii="Arial" w:cs="Arial" w:eastAsia="Arial" w:hAnsi="Arial"/>
          <w:b/>
          <w:bCs/>
          <w:color w:val="1A1A1A"/>
          <w:sz w:val="26"/>
          <w:szCs w:val="26"/>
        </w:rPr>
        <w:t xml:space="preserve">3.2 The South African Regulatory Environment</w:t>
      </w:r>
    </w:p>
    <w:p>
      <w:pPr>
        <w:spacing w:after="120" w:line="276"/>
        <w:jc w:val="left"/>
      </w:pPr>
      <w:r>
        <w:rPr>
          <w:rFonts w:ascii="Arial" w:cs="Arial" w:eastAsia="Arial" w:hAnsi="Arial"/>
          <w:color w:val="333333"/>
          <w:sz w:val="22"/>
          <w:szCs w:val="22"/>
        </w:rPr>
        <w:t xml:space="preserve">South Africa is uniquely positioned — and uniquely exposed — in Africa's AI landscape. It is among only 15% of African countries with a formal AI policy framework, and its data protection law already contains provisions that directly mandate human oversight of automated decisions.</w:t>
      </w:r>
    </w:p>
    <w:p>
      <w:pPr>
        <w:pStyle w:val="Heading3"/>
        <w:spacing w:before="200" w:after="120"/>
      </w:pPr>
      <w:r>
        <w:rPr>
          <w:rFonts w:ascii="Arial" w:cs="Arial" w:eastAsia="Arial" w:hAnsi="Arial"/>
          <w:b/>
          <w:bCs/>
          <w:color w:val="333333"/>
          <w:sz w:val="22"/>
          <w:szCs w:val="22"/>
        </w:rPr>
        <w:t xml:space="preserve">POPIA Section 71 — The Legal Foundation</w:t>
      </w:r>
    </w:p>
    <w:p>
      <w:pPr>
        <w:pStyle w:val="ListParagraph"/>
        <w:numPr>
          <w:ilvl w:val="0"/>
          <w:numId w:val="2"/>
        </w:numPr>
        <w:spacing w:after="80" w:line="260"/>
      </w:pPr>
      <w:r>
        <w:rPr>
          <w:rFonts w:ascii="Arial" w:cs="Arial" w:eastAsia="Arial" w:hAnsi="Arial"/>
          <w:color w:val="333333"/>
          <w:sz w:val="21"/>
          <w:szCs w:val="21"/>
        </w:rPr>
        <w:t xml:space="preserve">Section 71(1) explicitly prohibits decisions based "solely on automated processing" that produce legal effects or significantly affect data subjects.</w:t>
      </w:r>
    </w:p>
    <w:p>
      <w:pPr>
        <w:pStyle w:val="ListParagraph"/>
        <w:numPr>
          <w:ilvl w:val="0"/>
          <w:numId w:val="2"/>
        </w:numPr>
        <w:spacing w:after="80" w:line="260"/>
      </w:pPr>
      <w:r>
        <w:rPr>
          <w:rFonts w:ascii="Arial" w:cs="Arial" w:eastAsia="Arial" w:hAnsi="Arial"/>
          <w:color w:val="333333"/>
          <w:sz w:val="21"/>
          <w:szCs w:val="21"/>
        </w:rPr>
        <w:t xml:space="preserve">Organisations must provide mechanisms for human review of automated decisions.</w:t>
      </w:r>
    </w:p>
    <w:p>
      <w:pPr>
        <w:pStyle w:val="ListParagraph"/>
        <w:numPr>
          <w:ilvl w:val="0"/>
          <w:numId w:val="2"/>
        </w:numPr>
        <w:spacing w:after="80" w:line="260"/>
      </w:pPr>
      <w:r>
        <w:rPr>
          <w:rFonts w:ascii="Arial" w:cs="Arial" w:eastAsia="Arial" w:hAnsi="Arial"/>
          <w:color w:val="333333"/>
          <w:sz w:val="21"/>
          <w:szCs w:val="21"/>
        </w:rPr>
        <w:t xml:space="preserve">The Information Regulator has enforcement authority to issue compliance notices.</w:t>
      </w:r>
    </w:p>
    <w:p>
      <w:pPr>
        <w:pStyle w:val="ListParagraph"/>
        <w:numPr>
          <w:ilvl w:val="0"/>
          <w:numId w:val="2"/>
        </w:numPr>
        <w:spacing w:after="80" w:line="260"/>
      </w:pPr>
      <w:r>
        <w:rPr>
          <w:rFonts w:ascii="Arial" w:cs="Arial" w:eastAsia="Arial" w:hAnsi="Arial"/>
          <w:color w:val="333333"/>
          <w:sz w:val="21"/>
          <w:szCs w:val="21"/>
        </w:rPr>
        <w:t xml:space="preserve">682 of 982 POPIA complaints resolved in 2023/2024 fiscal year — a 76% year-over-year increase.</w:t>
      </w:r>
    </w:p>
    <w:p>
      <w:pPr>
        <w:pStyle w:val="ListParagraph"/>
        <w:numPr>
          <w:ilvl w:val="0"/>
          <w:numId w:val="2"/>
        </w:numPr>
        <w:spacing w:after="80" w:line="260"/>
      </w:pPr>
      <w:r>
        <w:rPr>
          <w:rFonts w:ascii="Arial" w:cs="Arial" w:eastAsia="Arial" w:hAnsi="Arial"/>
          <w:color w:val="333333"/>
          <w:sz w:val="21"/>
          <w:szCs w:val="21"/>
        </w:rPr>
        <w:t xml:space="preserve">The DeepSeek breach in early 2025 demonstrated that even a single employee inputting data into a public AI model can constitute a POPIA violation. The boundary between "using AI" and "deploying AI" is now razor-thin.</w:t>
      </w:r>
    </w:p>
    <w:p>
      <w:pPr>
        <w:pStyle w:val="Heading3"/>
        <w:spacing w:before="200" w:after="120"/>
      </w:pPr>
      <w:r>
        <w:rPr>
          <w:rFonts w:ascii="Arial" w:cs="Arial" w:eastAsia="Arial" w:hAnsi="Arial"/>
          <w:b/>
          <w:bCs/>
          <w:color w:val="333333"/>
          <w:sz w:val="22"/>
          <w:szCs w:val="22"/>
        </w:rPr>
        <w:t xml:space="preserve">National AI Policy Framework (October 2024)</w:t>
      </w:r>
    </w:p>
    <w:p>
      <w:pPr>
        <w:pStyle w:val="ListParagraph"/>
        <w:numPr>
          <w:ilvl w:val="0"/>
          <w:numId w:val="2"/>
        </w:numPr>
        <w:spacing w:after="80" w:line="260"/>
      </w:pPr>
      <w:r>
        <w:rPr>
          <w:rFonts w:ascii="Arial" w:cs="Arial" w:eastAsia="Arial" w:hAnsi="Arial"/>
          <w:color w:val="333333"/>
          <w:sz w:val="21"/>
          <w:szCs w:val="21"/>
        </w:rPr>
        <w:t xml:space="preserve">First formal AI governance framework in South Africa, emphasising bias mitigation, fairness, and accountability.</w:t>
      </w:r>
    </w:p>
    <w:p>
      <w:pPr>
        <w:pStyle w:val="ListParagraph"/>
        <w:numPr>
          <w:ilvl w:val="0"/>
          <w:numId w:val="2"/>
        </w:numPr>
        <w:spacing w:after="80" w:line="260"/>
      </w:pPr>
      <w:r>
        <w:rPr>
          <w:rFonts w:ascii="Arial" w:cs="Arial" w:eastAsia="Arial" w:hAnsi="Arial"/>
          <w:color w:val="333333"/>
          <w:sz w:val="21"/>
          <w:szCs w:val="21"/>
        </w:rPr>
        <w:t xml:space="preserve">Formal AI Act expected within 18–24 months. When it arrives, organisations without certification infrastructure will scramble.</w:t>
      </w:r>
    </w:p>
    <w:p>
      <w:pPr>
        <w:pStyle w:val="ListParagraph"/>
        <w:numPr>
          <w:ilvl w:val="0"/>
          <w:numId w:val="2"/>
        </w:numPr>
        <w:spacing w:after="80" w:line="260"/>
      </w:pPr>
      <w:r>
        <w:rPr>
          <w:rFonts w:ascii="Arial" w:cs="Arial" w:eastAsia="Arial" w:hAnsi="Arial"/>
          <w:color w:val="333333"/>
          <w:sz w:val="21"/>
          <w:szCs w:val="21"/>
        </w:rPr>
        <w:t xml:space="preserve">By April 2025, 22 African Union member states received technical assistance for AI strategy. South Africa leads.</w:t>
      </w:r>
    </w:p>
    <w:p>
      <w:pPr>
        <w:pStyle w:val="Heading2"/>
        <w:spacing w:before="280" w:after="160"/>
      </w:pPr>
      <w:r>
        <w:rPr>
          <w:rFonts w:ascii="Arial" w:cs="Arial" w:eastAsia="Arial" w:hAnsi="Arial"/>
          <w:b/>
          <w:bCs/>
          <w:color w:val="1A1A1A"/>
          <w:sz w:val="26"/>
          <w:szCs w:val="26"/>
        </w:rPr>
        <w:t xml:space="preserve">3.3 The Certification Market Is Proven and Profitable</w:t>
      </w:r>
    </w:p>
    <w:p>
      <w:pPr>
        <w:spacing w:after="120" w:line="276"/>
        <w:jc w:val="left"/>
      </w:pPr>
      <w:r>
        <w:rPr>
          <w:rFonts w:ascii="Arial" w:cs="Arial" w:eastAsia="Arial" w:hAnsi="Arial"/>
          <w:color w:val="333333"/>
          <w:sz w:val="22"/>
          <w:szCs w:val="22"/>
        </w:rPr>
        <w:t xml:space="preserve">AIC is not inventing a new business model. Certification is one of the most durable, high-margin business models in the world. AIC is applying a proven model to an underserved vertical.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Value</w:t>
            </w:r>
          </w:p>
        </w:tc>
        <w:tc>
          <w:tcPr>
            <w:tcW w:type="dxa" w:w="26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Source</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Global ISO certification market (2024)</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USD 16.14 billion</w:t>
            </w:r>
          </w:p>
        </w:tc>
        <w:tc>
          <w:tcPr>
            <w:tcW w:type="dxa" w:w="2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Market research</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Projected market size (2034)</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USD 66.25 billion</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15.2% CAGR</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Organisations holding ISO certifications</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1.7 million+</w:t>
            </w:r>
          </w:p>
        </w:tc>
        <w:tc>
          <w:tcPr>
            <w:tcW w:type="dxa" w:w="2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Across 160+ countries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renewal rate</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85%+</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benchmark</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Typical gross margin</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65%+</w:t>
            </w:r>
          </w:p>
        </w:tc>
        <w:tc>
          <w:tcPr>
            <w:tcW w:type="dxa" w:w="2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industry standard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SANAS-accredited bodies in South Africa</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1,960</w:t>
            </w:r>
          </w:p>
        </w:tc>
        <w:tc>
          <w:tcPr>
            <w:tcW w:type="dxa" w:w="2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 of 2022</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Fortune 500 using AI applicant tracking</w:t>
            </w:r>
          </w:p>
        </w:tc>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492 companies</w:t>
            </w:r>
          </w:p>
        </w:tc>
        <w:tc>
          <w:tcPr>
            <w:tcW w:type="dxa" w:w="26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Yet only 18% certified</w:t>
            </w:r>
          </w:p>
        </w:tc>
      </w:tr>
    </w:tbl>
    <w:p>
      <w:r>
        <w:br w:type="page"/>
      </w:r>
    </w:p>
    <w:p>
      <w:pPr>
        <w:pStyle w:val="Heading1"/>
        <w:spacing w:before="360" w:after="200"/>
      </w:pPr>
      <w:r>
        <w:rPr>
          <w:rFonts w:ascii="Arial" w:cs="Arial" w:eastAsia="Arial" w:hAnsi="Arial"/>
          <w:b/>
          <w:bCs/>
          <w:color w:val="1A1A1A"/>
          <w:sz w:val="32"/>
          <w:szCs w:val="32"/>
        </w:rPr>
        <w:t xml:space="preserve">4. User Personas</w:t>
      </w:r>
    </w:p>
    <w:p>
      <w:pPr>
        <w:spacing w:after="120" w:line="276"/>
        <w:jc w:val="left"/>
      </w:pPr>
      <w:r>
        <w:rPr>
          <w:rFonts w:ascii="Arial" w:cs="Arial" w:eastAsia="Arial" w:hAnsi="Arial"/>
          <w:color w:val="333333"/>
          <w:sz w:val="22"/>
          <w:szCs w:val="22"/>
        </w:rPr>
        <w:t xml:space="preserve">AIC serves multiple distinct audiences across the website and platform. Each persona has different motivations, decision-making authority, and points of entry. Understanding these personas shapes every content, design, and conversion decision.</w:t>
      </w:r>
    </w:p>
    <w:p>
      <w:pPr>
        <w:pStyle w:val="Heading2"/>
        <w:spacing w:before="280" w:after="160"/>
      </w:pPr>
      <w:r>
        <w:rPr>
          <w:rFonts w:ascii="Arial" w:cs="Arial" w:eastAsia="Arial" w:hAnsi="Arial"/>
          <w:b/>
          <w:bCs/>
          <w:color w:val="1A1A1A"/>
          <w:sz w:val="26"/>
          <w:szCs w:val="26"/>
        </w:rPr>
        <w:t xml:space="preserve">4.1 Primary Personas — Decision Makers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2"/>
              <w:left w:val="none" w:color="FFFFFF" w:sz="0"/>
              <w:bottom w:val="none" w:color="FFFFFF" w:sz="0"/>
              <w:right w:val="none" w:color="FFFFFF" w:sz="0"/>
            </w:tcBorders>
            <w:shd w:fill="F4F2ED" w:val="clear"/>
            <w:tcMar>
              <w:top w:type="dxa" w:w="120"/>
              <w:left w:type="dxa" w:w="200"/>
              <w:bottom w:type="dxa" w:w="120"/>
              <w:right w:type="dxa" w:w="200"/>
            </w:tcMar>
          </w:tcPr>
          <w:p>
            <w:pPr>
              <w:spacing w:after="20"/>
            </w:pPr>
            <w:r>
              <w:rPr>
                <w:rFonts w:ascii="Arial" w:cs="Arial" w:eastAsia="Arial" w:hAnsi="Arial"/>
                <w:b/>
                <w:bCs/>
                <w:color w:val="1A1A1A"/>
                <w:sz w:val="24"/>
                <w:szCs w:val="24"/>
              </w:rPr>
              <w:t xml:space="preserve">Sarah Nkosi</w:t>
            </w:r>
            <w:r>
              <w:rPr>
                <w:rFonts w:ascii="Arial" w:cs="Arial" w:eastAsia="Arial" w:hAnsi="Arial"/>
                <w:color w:val="666666"/>
                <w:sz w:val="20"/>
                <w:szCs w:val="20"/>
              </w:rPr>
              <w:t xml:space="preserve">  |  Chief Risk Officer</w:t>
            </w:r>
          </w:p>
          <w:p>
            <w:pPr>
              <w:spacing w:after="60"/>
            </w:pPr>
            <w:r>
              <w:rPr>
                <w:rFonts w:ascii="Arial" w:cs="Arial" w:eastAsia="Arial" w:hAnsi="Arial"/>
                <w:b/>
                <w:bCs/>
                <w:color w:val="D4AF37"/>
                <w:sz w:val="19"/>
                <w:szCs w:val="19"/>
              </w:rPr>
              <w:t xml:space="preserve">Mid-tier Commercial Bank (Johannesburg)</w:t>
            </w:r>
          </w:p>
          <w:p>
            <w:pPr>
              <w:spacing w:after="40"/>
            </w:pPr>
            <w:r>
              <w:rPr>
                <w:rFonts w:ascii="Arial" w:cs="Arial" w:eastAsia="Arial" w:hAnsi="Arial"/>
                <w:b/>
                <w:bCs/>
                <w:color w:val="C41E3A"/>
                <w:sz w:val="20"/>
                <w:szCs w:val="20"/>
              </w:rPr>
              <w:t xml:space="preserve">Pain Point: </w:t>
            </w:r>
            <w:r>
              <w:rPr>
                <w:rFonts w:ascii="Arial" w:cs="Arial" w:eastAsia="Arial" w:hAnsi="Arial"/>
                <w:color w:val="333333"/>
                <w:sz w:val="20"/>
                <w:szCs w:val="20"/>
              </w:rPr>
              <w:t xml:space="preserve">Her bank uses AI for credit scoring on 40,000+ applications monthly. The Mobley lawsuit landed on her radar last quarter. She knows POPIA Section 71 applies but has no third-party validation that her oversight processes actually meet the standard. If a discrimination claim lands, she personally bears reputational exposure.</w:t>
            </w:r>
          </w:p>
          <w:p>
            <w:pPr>
              <w:spacing w:after="40"/>
            </w:pPr>
            <w:r>
              <w:rPr>
                <w:rFonts w:ascii="Arial" w:cs="Arial" w:eastAsia="Arial" w:hAnsi="Arial"/>
                <w:b/>
                <w:bCs/>
                <w:color w:val="2C5F2D"/>
                <w:sz w:val="20"/>
                <w:szCs w:val="20"/>
              </w:rPr>
              <w:t xml:space="preserve">Goal: </w:t>
            </w:r>
            <w:r>
              <w:rPr>
                <w:rFonts w:ascii="Arial" w:cs="Arial" w:eastAsia="Arial" w:hAnsi="Arial"/>
                <w:color w:val="333333"/>
                <w:sz w:val="20"/>
                <w:szCs w:val="20"/>
              </w:rPr>
              <w:t xml:space="preserve">Obtain independent, third-party proof that the bank's AI credit decisioning maintains genuine human accountability. Something she can present to the board, insurers, and regulators.</w:t>
            </w:r>
          </w:p>
          <w:p>
            <w:pPr>
              <w:spacing w:after="0"/>
            </w:pPr>
            <w:r>
              <w:rPr>
                <w:rFonts w:ascii="Arial" w:cs="Arial" w:eastAsia="Arial" w:hAnsi="Arial"/>
                <w:b/>
                <w:bCs/>
                <w:color w:val="FF8C42"/>
                <w:sz w:val="20"/>
                <w:szCs w:val="20"/>
              </w:rPr>
              <w:t xml:space="preserve">What triggers action: </w:t>
            </w:r>
            <w:r>
              <w:rPr>
                <w:rFonts w:ascii="Arial" w:cs="Arial" w:eastAsia="Arial" w:hAnsi="Arial"/>
                <w:color w:val="333333"/>
                <w:sz w:val="20"/>
                <w:szCs w:val="20"/>
              </w:rPr>
              <w:t xml:space="preserve">Reading about the Mobley v. Workday ruling. A competitor obtaining certification. An insurer asking about AI governance during a premium review.</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2"/>
              <w:left w:val="none" w:color="FFFFFF" w:sz="0"/>
              <w:bottom w:val="none" w:color="FFFFFF" w:sz="0"/>
              <w:right w:val="none" w:color="FFFFFF" w:sz="0"/>
            </w:tcBorders>
            <w:shd w:fill="F4F2ED" w:val="clear"/>
            <w:tcMar>
              <w:top w:type="dxa" w:w="120"/>
              <w:left w:type="dxa" w:w="200"/>
              <w:bottom w:type="dxa" w:w="120"/>
              <w:right w:type="dxa" w:w="200"/>
            </w:tcMar>
          </w:tcPr>
          <w:p>
            <w:pPr>
              <w:spacing w:after="20"/>
            </w:pPr>
            <w:r>
              <w:rPr>
                <w:rFonts w:ascii="Arial" w:cs="Arial" w:eastAsia="Arial" w:hAnsi="Arial"/>
                <w:b/>
                <w:bCs/>
                <w:color w:val="1A1A1A"/>
                <w:sz w:val="24"/>
                <w:szCs w:val="24"/>
              </w:rPr>
              <w:t xml:space="preserve">David Cele</w:t>
            </w:r>
            <w:r>
              <w:rPr>
                <w:rFonts w:ascii="Arial" w:cs="Arial" w:eastAsia="Arial" w:hAnsi="Arial"/>
                <w:color w:val="666666"/>
                <w:sz w:val="20"/>
                <w:szCs w:val="20"/>
              </w:rPr>
              <w:t xml:space="preserve">  |  Chief Compliance Officer</w:t>
            </w:r>
          </w:p>
          <w:p>
            <w:pPr>
              <w:spacing w:after="60"/>
            </w:pPr>
            <w:r>
              <w:rPr>
                <w:rFonts w:ascii="Arial" w:cs="Arial" w:eastAsia="Arial" w:hAnsi="Arial"/>
                <w:b/>
                <w:bCs/>
                <w:color w:val="D4AF37"/>
                <w:sz w:val="19"/>
                <w:szCs w:val="19"/>
              </w:rPr>
              <w:t xml:space="preserve">Private Hospital Group (Cape Town)</w:t>
            </w:r>
          </w:p>
          <w:p>
            <w:pPr>
              <w:spacing w:after="40"/>
            </w:pPr>
            <w:r>
              <w:rPr>
                <w:rFonts w:ascii="Arial" w:cs="Arial" w:eastAsia="Arial" w:hAnsi="Arial"/>
                <w:b/>
                <w:bCs/>
                <w:color w:val="C41E3A"/>
                <w:sz w:val="20"/>
                <w:szCs w:val="20"/>
              </w:rPr>
              <w:t xml:space="preserve">Pain Point: </w:t>
            </w:r>
            <w:r>
              <w:rPr>
                <w:rFonts w:ascii="Arial" w:cs="Arial" w:eastAsia="Arial" w:hAnsi="Arial"/>
                <w:color w:val="333333"/>
                <w:sz w:val="20"/>
                <w:szCs w:val="20"/>
              </w:rPr>
              <w:t xml:space="preserve">The hospital group deployed AI-assisted radiology analysis 18 months ago. Radiologists still make final calls, but David has no formal documentation proving that human oversight is genuine and consistent across all facilities. A patient complaint about misdiagnosis is sitting in legal.</w:t>
            </w:r>
          </w:p>
          <w:p>
            <w:pPr>
              <w:spacing w:after="40"/>
            </w:pPr>
            <w:r>
              <w:rPr>
                <w:rFonts w:ascii="Arial" w:cs="Arial" w:eastAsia="Arial" w:hAnsi="Arial"/>
                <w:b/>
                <w:bCs/>
                <w:color w:val="2C5F2D"/>
                <w:sz w:val="20"/>
                <w:szCs w:val="20"/>
              </w:rPr>
              <w:t xml:space="preserve">Goal: </w:t>
            </w:r>
            <w:r>
              <w:rPr>
                <w:rFonts w:ascii="Arial" w:cs="Arial" w:eastAsia="Arial" w:hAnsi="Arial"/>
                <w:color w:val="333333"/>
                <w:sz w:val="20"/>
                <w:szCs w:val="20"/>
              </w:rPr>
              <w:t xml:space="preserve">Establish a defensible, auditable framework proving that AI in clinical settings operates under human control at every decision point. Protect the group from liability.</w:t>
            </w:r>
          </w:p>
          <w:p>
            <w:pPr>
              <w:spacing w:after="0"/>
            </w:pPr>
            <w:r>
              <w:rPr>
                <w:rFonts w:ascii="Arial" w:cs="Arial" w:eastAsia="Arial" w:hAnsi="Arial"/>
                <w:b/>
                <w:bCs/>
                <w:color w:val="FF8C42"/>
                <w:sz w:val="20"/>
                <w:szCs w:val="20"/>
              </w:rPr>
              <w:t xml:space="preserve">What triggers action: </w:t>
            </w:r>
            <w:r>
              <w:rPr>
                <w:rFonts w:ascii="Arial" w:cs="Arial" w:eastAsia="Arial" w:hAnsi="Arial"/>
                <w:color w:val="333333"/>
                <w:sz w:val="20"/>
                <w:szCs w:val="20"/>
              </w:rPr>
              <w:t xml:space="preserve">The patient complaint. A board member asking "Are we covered?" A conversation with the liability insurer about AI risk.</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2"/>
              <w:left w:val="none" w:color="FFFFFF" w:sz="0"/>
              <w:bottom w:val="none" w:color="FFFFFF" w:sz="0"/>
              <w:right w:val="none" w:color="FFFFFF" w:sz="0"/>
            </w:tcBorders>
            <w:shd w:fill="F4F2ED" w:val="clear"/>
            <w:tcMar>
              <w:top w:type="dxa" w:w="120"/>
              <w:left w:type="dxa" w:w="200"/>
              <w:bottom w:type="dxa" w:w="120"/>
              <w:right w:type="dxa" w:w="200"/>
            </w:tcMar>
          </w:tcPr>
          <w:p>
            <w:pPr>
              <w:spacing w:after="20"/>
            </w:pPr>
            <w:r>
              <w:rPr>
                <w:rFonts w:ascii="Arial" w:cs="Arial" w:eastAsia="Arial" w:hAnsi="Arial"/>
                <w:b/>
                <w:bCs/>
                <w:color w:val="1A1A1A"/>
                <w:sz w:val="24"/>
                <w:szCs w:val="24"/>
              </w:rPr>
              <w:t xml:space="preserve">Thabo Dlamini</w:t>
            </w:r>
            <w:r>
              <w:rPr>
                <w:rFonts w:ascii="Arial" w:cs="Arial" w:eastAsia="Arial" w:hAnsi="Arial"/>
                <w:color w:val="666666"/>
                <w:sz w:val="20"/>
                <w:szCs w:val="20"/>
              </w:rPr>
              <w:t xml:space="preserve">  |  Head of People Operations</w:t>
            </w:r>
          </w:p>
          <w:p>
            <w:pPr>
              <w:spacing w:after="60"/>
            </w:pPr>
            <w:r>
              <w:rPr>
                <w:rFonts w:ascii="Arial" w:cs="Arial" w:eastAsia="Arial" w:hAnsi="Arial"/>
                <w:b/>
                <w:bCs/>
                <w:color w:val="D4AF37"/>
                <w:sz w:val="19"/>
                <w:szCs w:val="19"/>
              </w:rPr>
              <w:t xml:space="preserve">National Recruitment Platform</w:t>
            </w:r>
          </w:p>
          <w:p>
            <w:pPr>
              <w:spacing w:after="40"/>
            </w:pPr>
            <w:r>
              <w:rPr>
                <w:rFonts w:ascii="Arial" w:cs="Arial" w:eastAsia="Arial" w:hAnsi="Arial"/>
                <w:b/>
                <w:bCs/>
                <w:color w:val="C41E3A"/>
                <w:sz w:val="20"/>
                <w:szCs w:val="20"/>
              </w:rPr>
              <w:t xml:space="preserve">Pain Point: </w:t>
            </w:r>
            <w:r>
              <w:rPr>
                <w:rFonts w:ascii="Arial" w:cs="Arial" w:eastAsia="Arial" w:hAnsi="Arial"/>
                <w:color w:val="333333"/>
                <w:sz w:val="20"/>
                <w:szCs w:val="20"/>
              </w:rPr>
              <w:t xml:space="preserve">His platform's AI screening tool processes 200,000+ resumes annually. Post-Workday, corporate clients are starting to ask whether his tool can demonstrate non-discrimination. He has no proof. He also has no internal capability to produce it.</w:t>
            </w:r>
          </w:p>
          <w:p>
            <w:pPr>
              <w:spacing w:after="40"/>
            </w:pPr>
            <w:r>
              <w:rPr>
                <w:rFonts w:ascii="Arial" w:cs="Arial" w:eastAsia="Arial" w:hAnsi="Arial"/>
                <w:b/>
                <w:bCs/>
                <w:color w:val="2C5F2D"/>
                <w:sz w:val="20"/>
                <w:szCs w:val="20"/>
              </w:rPr>
              <w:t xml:space="preserve">Goal: </w:t>
            </w:r>
            <w:r>
              <w:rPr>
                <w:rFonts w:ascii="Arial" w:cs="Arial" w:eastAsia="Arial" w:hAnsi="Arial"/>
                <w:color w:val="333333"/>
                <w:sz w:val="20"/>
                <w:szCs w:val="20"/>
              </w:rPr>
              <w:t xml:space="preserve">Achieve a credible third-party certification that he can present to enterprise clients as proof of fairness. Turn accountability into a sales differentiator.</w:t>
            </w:r>
          </w:p>
          <w:p>
            <w:pPr>
              <w:spacing w:after="0"/>
            </w:pPr>
            <w:r>
              <w:rPr>
                <w:rFonts w:ascii="Arial" w:cs="Arial" w:eastAsia="Arial" w:hAnsi="Arial"/>
                <w:b/>
                <w:bCs/>
                <w:color w:val="FF8C42"/>
                <w:sz w:val="20"/>
                <w:szCs w:val="20"/>
              </w:rPr>
              <w:t xml:space="preserve">What triggers action: </w:t>
            </w:r>
            <w:r>
              <w:rPr>
                <w:rFonts w:ascii="Arial" w:cs="Arial" w:eastAsia="Arial" w:hAnsi="Arial"/>
                <w:color w:val="333333"/>
                <w:sz w:val="20"/>
                <w:szCs w:val="20"/>
              </w:rPr>
              <w:t xml:space="preserve">A major corporate client asking for bias testing results during a contract negotiation. Reading about the Workday case in a LinkedIn post.</w:t>
            </w:r>
          </w:p>
        </w:tc>
      </w:tr>
    </w:tbl>
    <w:p>
      <w:pPr>
        <w:pStyle w:val="Heading2"/>
        <w:spacing w:before="280" w:after="160"/>
      </w:pPr>
      <w:r>
        <w:rPr>
          <w:rFonts w:ascii="Arial" w:cs="Arial" w:eastAsia="Arial" w:hAnsi="Arial"/>
          <w:b/>
          <w:bCs/>
          <w:color w:val="1A1A1A"/>
          <w:sz w:val="26"/>
          <w:szCs w:val="26"/>
        </w:rPr>
        <w:t xml:space="preserve">4.2 Secondary Personas — Influencers &amp; Researchers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2"/>
              <w:left w:val="none" w:color="FFFFFF" w:sz="0"/>
              <w:bottom w:val="none" w:color="FFFFFF" w:sz="0"/>
              <w:right w:val="none" w:color="FFFFFF" w:sz="0"/>
            </w:tcBorders>
            <w:shd w:fill="F4F2ED" w:val="clear"/>
            <w:tcMar>
              <w:top w:type="dxa" w:w="120"/>
              <w:left w:type="dxa" w:w="200"/>
              <w:bottom w:type="dxa" w:w="120"/>
              <w:right w:type="dxa" w:w="200"/>
            </w:tcMar>
          </w:tcPr>
          <w:p>
            <w:pPr>
              <w:spacing w:after="20"/>
            </w:pPr>
            <w:r>
              <w:rPr>
                <w:rFonts w:ascii="Arial" w:cs="Arial" w:eastAsia="Arial" w:hAnsi="Arial"/>
                <w:b/>
                <w:bCs/>
                <w:color w:val="1A1A1A"/>
                <w:sz w:val="24"/>
                <w:szCs w:val="24"/>
              </w:rPr>
              <w:t xml:space="preserve">Nomvula Shabalala</w:t>
            </w:r>
            <w:r>
              <w:rPr>
                <w:rFonts w:ascii="Arial" w:cs="Arial" w:eastAsia="Arial" w:hAnsi="Arial"/>
                <w:color w:val="666666"/>
                <w:sz w:val="20"/>
                <w:szCs w:val="20"/>
              </w:rPr>
              <w:t xml:space="preserve">  |  Senior Compliance Analyst</w:t>
            </w:r>
          </w:p>
          <w:p>
            <w:pPr>
              <w:spacing w:after="60"/>
            </w:pPr>
            <w:r>
              <w:rPr>
                <w:rFonts w:ascii="Arial" w:cs="Arial" w:eastAsia="Arial" w:hAnsi="Arial"/>
                <w:b/>
                <w:bCs/>
                <w:color w:val="D4AF37"/>
                <w:sz w:val="19"/>
                <w:szCs w:val="19"/>
              </w:rPr>
              <w:t xml:space="preserve">Same bank as Sarah Nkosi</w:t>
            </w:r>
          </w:p>
          <w:p>
            <w:pPr>
              <w:spacing w:after="40"/>
            </w:pPr>
            <w:r>
              <w:rPr>
                <w:rFonts w:ascii="Arial" w:cs="Arial" w:eastAsia="Arial" w:hAnsi="Arial"/>
                <w:b/>
                <w:bCs/>
                <w:color w:val="C41E3A"/>
                <w:sz w:val="20"/>
                <w:szCs w:val="20"/>
              </w:rPr>
              <w:t xml:space="preserve">Pain Point: </w:t>
            </w:r>
            <w:r>
              <w:rPr>
                <w:rFonts w:ascii="Arial" w:cs="Arial" w:eastAsia="Arial" w:hAnsi="Arial"/>
                <w:color w:val="333333"/>
                <w:sz w:val="20"/>
                <w:szCs w:val="20"/>
              </w:rPr>
              <w:t xml:space="preserve">She is the person who will actually execute the certification process day-to-day. She needs to understand what's involved, how long it takes, what evidence is required, and what the audit looks like — before Sarah commits budget.</w:t>
            </w:r>
          </w:p>
          <w:p>
            <w:pPr>
              <w:spacing w:after="40"/>
            </w:pPr>
            <w:r>
              <w:rPr>
                <w:rFonts w:ascii="Arial" w:cs="Arial" w:eastAsia="Arial" w:hAnsi="Arial"/>
                <w:b/>
                <w:bCs/>
                <w:color w:val="2C5F2D"/>
                <w:sz w:val="20"/>
                <w:szCs w:val="20"/>
              </w:rPr>
              <w:t xml:space="preserve">Goal: </w:t>
            </w:r>
            <w:r>
              <w:rPr>
                <w:rFonts w:ascii="Arial" w:cs="Arial" w:eastAsia="Arial" w:hAnsi="Arial"/>
                <w:color w:val="333333"/>
                <w:sz w:val="20"/>
                <w:szCs w:val="20"/>
              </w:rPr>
              <w:t xml:space="preserve">Evaluate whether AIC certification is feasible for the bank given current AI systems, documentation, and team capacity. Build the business case internally.</w:t>
            </w:r>
          </w:p>
          <w:p>
            <w:pPr>
              <w:spacing w:after="0"/>
            </w:pPr>
            <w:r>
              <w:rPr>
                <w:rFonts w:ascii="Arial" w:cs="Arial" w:eastAsia="Arial" w:hAnsi="Arial"/>
                <w:b/>
                <w:bCs/>
                <w:color w:val="FF8C42"/>
                <w:sz w:val="20"/>
                <w:szCs w:val="20"/>
              </w:rPr>
              <w:t xml:space="preserve">What triggers action: </w:t>
            </w:r>
            <w:r>
              <w:rPr>
                <w:rFonts w:ascii="Arial" w:cs="Arial" w:eastAsia="Arial" w:hAnsi="Arial"/>
                <w:color w:val="333333"/>
                <w:sz w:val="20"/>
                <w:szCs w:val="20"/>
              </w:rPr>
              <w:t xml:space="preserve">Searching for "POPIA Section 71 AI compliance" on Google. Finding a blog post or guide that explains the process clearly.</w:t>
            </w:r>
          </w:p>
        </w:tc>
      </w:tr>
    </w:tbl>
    <w:p>
      <w:pPr>
        <w:spacing w:before="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1A1A" w:sz="2"/>
              <w:left w:val="none" w:color="FFFFFF" w:sz="0"/>
              <w:bottom w:val="none" w:color="FFFFFF" w:sz="0"/>
              <w:right w:val="none" w:color="FFFFFF" w:sz="0"/>
            </w:tcBorders>
            <w:shd w:fill="F4F2ED" w:val="clear"/>
            <w:tcMar>
              <w:top w:type="dxa" w:w="120"/>
              <w:left w:type="dxa" w:w="200"/>
              <w:bottom w:type="dxa" w:w="120"/>
              <w:right w:type="dxa" w:w="200"/>
            </w:tcMar>
          </w:tcPr>
          <w:p>
            <w:pPr>
              <w:spacing w:after="20"/>
            </w:pPr>
            <w:r>
              <w:rPr>
                <w:rFonts w:ascii="Arial" w:cs="Arial" w:eastAsia="Arial" w:hAnsi="Arial"/>
                <w:b/>
                <w:bCs/>
                <w:color w:val="1A1A1A"/>
                <w:sz w:val="24"/>
                <w:szCs w:val="24"/>
              </w:rPr>
              <w:t xml:space="preserve">Professor Ayanda Khumalo</w:t>
            </w:r>
            <w:r>
              <w:rPr>
                <w:rFonts w:ascii="Arial" w:cs="Arial" w:eastAsia="Arial" w:hAnsi="Arial"/>
                <w:color w:val="666666"/>
                <w:sz w:val="20"/>
                <w:szCs w:val="20"/>
              </w:rPr>
              <w:t xml:space="preserve">  |  AI Ethics Researcher</w:t>
            </w:r>
          </w:p>
          <w:p>
            <w:pPr>
              <w:spacing w:after="60"/>
            </w:pPr>
            <w:r>
              <w:rPr>
                <w:rFonts w:ascii="Arial" w:cs="Arial" w:eastAsia="Arial" w:hAnsi="Arial"/>
                <w:b/>
                <w:bCs/>
                <w:color w:val="D4AF37"/>
                <w:sz w:val="19"/>
                <w:szCs w:val="19"/>
              </w:rPr>
              <w:t xml:space="preserve">University of Cape Town</w:t>
            </w:r>
          </w:p>
          <w:p>
            <w:pPr>
              <w:spacing w:after="40"/>
            </w:pPr>
            <w:r>
              <w:rPr>
                <w:rFonts w:ascii="Arial" w:cs="Arial" w:eastAsia="Arial" w:hAnsi="Arial"/>
                <w:b/>
                <w:bCs/>
                <w:color w:val="C41E3A"/>
                <w:sz w:val="20"/>
                <w:szCs w:val="20"/>
              </w:rPr>
              <w:t xml:space="preserve">Pain Point: </w:t>
            </w:r>
            <w:r>
              <w:rPr>
                <w:rFonts w:ascii="Arial" w:cs="Arial" w:eastAsia="Arial" w:hAnsi="Arial"/>
                <w:color w:val="333333"/>
                <w:sz w:val="20"/>
                <w:szCs w:val="20"/>
              </w:rPr>
              <w:t xml:space="preserve">He studies AI governance frameworks in the African context. He wants to understand what practical accountability looks like — not theory, but implementation. He is also a potential endorser and connector.</w:t>
            </w:r>
          </w:p>
          <w:p>
            <w:pPr>
              <w:spacing w:after="40"/>
            </w:pPr>
            <w:r>
              <w:rPr>
                <w:rFonts w:ascii="Arial" w:cs="Arial" w:eastAsia="Arial" w:hAnsi="Arial"/>
                <w:b/>
                <w:bCs/>
                <w:color w:val="2C5F2D"/>
                <w:sz w:val="20"/>
                <w:szCs w:val="20"/>
              </w:rPr>
              <w:t xml:space="preserve">Goal: </w:t>
            </w:r>
            <w:r>
              <w:rPr>
                <w:rFonts w:ascii="Arial" w:cs="Arial" w:eastAsia="Arial" w:hAnsi="Arial"/>
                <w:color w:val="333333"/>
                <w:sz w:val="20"/>
                <w:szCs w:val="20"/>
              </w:rPr>
              <w:t xml:space="preserve">Understand how AIC's tier framework translates real-world AI use cases into accountability requirements. Evaluate whether the methodology is rigorous enough to publish about or endorse.</w:t>
            </w:r>
          </w:p>
          <w:p>
            <w:pPr>
              <w:spacing w:after="0"/>
            </w:pPr>
            <w:r>
              <w:rPr>
                <w:rFonts w:ascii="Arial" w:cs="Arial" w:eastAsia="Arial" w:hAnsi="Arial"/>
                <w:b/>
                <w:bCs/>
                <w:color w:val="FF8C42"/>
                <w:sz w:val="20"/>
                <w:szCs w:val="20"/>
              </w:rPr>
              <w:t xml:space="preserve">What triggers action: </w:t>
            </w:r>
            <w:r>
              <w:rPr>
                <w:rFonts w:ascii="Arial" w:cs="Arial" w:eastAsia="Arial" w:hAnsi="Arial"/>
                <w:color w:val="333333"/>
                <w:sz w:val="20"/>
                <w:szCs w:val="20"/>
              </w:rPr>
              <w:t xml:space="preserve">Researching AI governance standards for a paper. Finding AIC through a conference talk or white paper.</w:t>
            </w:r>
          </w:p>
        </w:tc>
      </w:tr>
    </w:tbl>
    <w:p>
      <w:r>
        <w:br w:type="page"/>
      </w:r>
    </w:p>
    <w:p>
      <w:pPr>
        <w:pStyle w:val="Heading1"/>
        <w:spacing w:before="360" w:after="200"/>
      </w:pPr>
      <w:r>
        <w:rPr>
          <w:rFonts w:ascii="Arial" w:cs="Arial" w:eastAsia="Arial" w:hAnsi="Arial"/>
          <w:b/>
          <w:bCs/>
          <w:color w:val="1A1A1A"/>
          <w:sz w:val="32"/>
          <w:szCs w:val="32"/>
        </w:rPr>
        <w:t xml:space="preserve">5. User Journeys &amp; Jobs to Be Done</w:t>
      </w:r>
    </w:p>
    <w:p>
      <w:pPr>
        <w:pStyle w:val="Heading2"/>
        <w:spacing w:before="280" w:after="160"/>
      </w:pPr>
      <w:r>
        <w:rPr>
          <w:rFonts w:ascii="Arial" w:cs="Arial" w:eastAsia="Arial" w:hAnsi="Arial"/>
          <w:b/>
          <w:bCs/>
          <w:color w:val="1A1A1A"/>
          <w:sz w:val="26"/>
          <w:szCs w:val="26"/>
        </w:rPr>
        <w:t xml:space="preserve">5.1 Journey Map: Enterprise Decision Maker</w:t>
      </w:r>
    </w:p>
    <w:p>
      <w:pPr>
        <w:spacing w:after="120" w:line="276"/>
        <w:jc w:val="left"/>
      </w:pPr>
      <w:r>
        <w:rPr>
          <w:rFonts w:ascii="Arial" w:cs="Arial" w:eastAsia="Arial" w:hAnsi="Arial"/>
          <w:color w:val="333333"/>
          <w:sz w:val="22"/>
          <w:szCs w:val="22"/>
        </w:rPr>
        <w:t xml:space="preserve">This is the primary conversion path the website must support. Every page, piece of content, and CTA should accelerate this journey.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526"/>
        <w:gridCol w:w="2500"/>
        <w:gridCol w:w="2500"/>
      </w:tblGrid>
      <w:tr>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2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They Think</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They Need From AIC</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Touchpoint</w:t>
            </w:r>
          </w:p>
        </w:tc>
      </w:tr>
      <w:tr>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Awareness</w:t>
            </w:r>
          </w:p>
        </w:tc>
        <w:tc>
          <w:tcPr>
            <w:tcW w:type="dxa" w:w="2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 discrimination is in the news. Are we exposed?"</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Evidence that the risk is real and applies to South Africa specifically</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 post, stat-heavy homepage hero</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Consideration</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"What does compliance actually look like? Is this even a thing?"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Clear explanation of POPIA Section 71 requirements and what certification means in practice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Framework page, Certification Process page</w:t>
            </w:r>
          </w:p>
        </w:tc>
      </w:tr>
      <w:tr>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Evaluation</w:t>
            </w:r>
          </w:p>
        </w:tc>
        <w:tc>
          <w:tcPr>
            <w:tcW w:type="dxa" w:w="2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"Does this apply to our specific AI systems? What tier are we?"</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tool that maps their situation to a tier recommendation and identifies gaps</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Interactive Self-Assessment Quiz</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Intent</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"How do we actually get certified? What does it cost? How long?"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Transparent pricing, realistic timeline, clear next steps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Process page, Alpha Program page</w:t>
            </w:r>
          </w:p>
        </w:tc>
      </w:tr>
      <w:tr>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Commitment</w:t>
            </w:r>
          </w:p>
        </w:tc>
        <w:tc>
          <w:tcPr>
            <w:tcW w:type="dxa" w:w="2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 want to start. How do we begin?"</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Frictionless application to Alpha Program with clear expectations</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 Application Form, Contact Form</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Advocacy</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"We're certified. How do we use this?"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Marketing assets, case study inclusion, tender language templates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 Portal (Phase 2+)</w:t>
            </w:r>
          </w:p>
        </w:tc>
      </w:tr>
    </w:tbl>
    <w:p>
      <w:pPr>
        <w:pStyle w:val="Heading2"/>
        <w:spacing w:before="280" w:after="160"/>
      </w:pPr>
      <w:r>
        <w:rPr>
          <w:rFonts w:ascii="Arial" w:cs="Arial" w:eastAsia="Arial" w:hAnsi="Arial"/>
          <w:b/>
          <w:bCs/>
          <w:color w:val="1A1A1A"/>
          <w:sz w:val="26"/>
          <w:szCs w:val="26"/>
        </w:rPr>
        <w:t xml:space="preserve">5.2 Journey Map: Internal Champion (Compliance Analyst)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36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They Need</w:t>
            </w:r>
          </w:p>
        </w:tc>
        <w:tc>
          <w:tcPr>
            <w:tcW w:type="dxa" w:w="36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Website Feature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Research</w:t>
            </w:r>
          </w:p>
        </w:tc>
        <w:tc>
          <w:tcPr>
            <w:tcW w:type="dxa" w:w="36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Understand the full scope without jargon</w:t>
            </w:r>
          </w:p>
        </w:tc>
        <w:tc>
          <w:tcPr>
            <w:tcW w:type="dxa" w:w="36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Resources section, FAQ, clear process explanation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Business Case</w:t>
            </w:r>
          </w:p>
        </w:tc>
        <w:tc>
          <w:tcPr>
            <w:tcW w:type="dxa" w:w="36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Quantify the value to present to leadership</w:t>
            </w:r>
          </w:p>
        </w:tc>
        <w:tc>
          <w:tcPr>
            <w:tcW w:type="dxa" w:w="36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ROI data points, case studies, insurance discount examples</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Feasibility</w:t>
            </w:r>
          </w:p>
        </w:tc>
        <w:tc>
          <w:tcPr>
            <w:tcW w:type="dxa" w:w="36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Know what evidence and systems are required</w:t>
            </w:r>
          </w:p>
        </w:tc>
        <w:tc>
          <w:tcPr>
            <w:tcW w:type="dxa" w:w="36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requirements detail, self-assessment tool</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Approval</w:t>
            </w:r>
          </w:p>
        </w:tc>
        <w:tc>
          <w:tcPr>
            <w:tcW w:type="dxa" w:w="36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Present a clear proposal to CRO/CCO</w:t>
            </w:r>
          </w:p>
        </w:tc>
        <w:tc>
          <w:tcPr>
            <w:tcW w:type="dxa" w:w="36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Downloadable framework guide, pricing transparency</w:t>
            </w:r>
          </w:p>
        </w:tc>
      </w:tr>
    </w:tbl>
    <w:p>
      <w:r>
        <w:br w:type="page"/>
      </w:r>
    </w:p>
    <w:p>
      <w:pPr>
        <w:pStyle w:val="Heading1"/>
        <w:spacing w:before="360" w:after="200"/>
      </w:pPr>
      <w:r>
        <w:rPr>
          <w:rFonts w:ascii="Arial" w:cs="Arial" w:eastAsia="Arial" w:hAnsi="Arial"/>
          <w:b/>
          <w:bCs/>
          <w:color w:val="1A1A1A"/>
          <w:sz w:val="32"/>
          <w:szCs w:val="32"/>
        </w:rPr>
        <w:t xml:space="preserve">6. Product Vision &amp; System Architecture</w:t>
      </w:r>
    </w:p>
    <w:p>
      <w:pPr>
        <w:pStyle w:val="Heading2"/>
        <w:spacing w:before="280" w:after="160"/>
      </w:pPr>
      <w:r>
        <w:rPr>
          <w:rFonts w:ascii="Arial" w:cs="Arial" w:eastAsia="Arial" w:hAnsi="Arial"/>
          <w:b/>
          <w:bCs/>
          <w:color w:val="1A1A1A"/>
          <w:sz w:val="26"/>
          <w:szCs w:val="26"/>
        </w:rPr>
        <w:t xml:space="preserve">6.1 The Full Product Ecosystem</w:t>
      </w:r>
    </w:p>
    <w:p>
      <w:pPr>
        <w:spacing w:after="120" w:line="276"/>
        <w:jc w:val="left"/>
      </w:pPr>
      <w:r>
        <w:rPr>
          <w:rFonts w:ascii="Arial" w:cs="Arial" w:eastAsia="Arial" w:hAnsi="Arial"/>
          <w:color w:val="333333"/>
          <w:sz w:val="22"/>
          <w:szCs w:val="22"/>
        </w:rPr>
        <w:t xml:space="preserve">AIC is not just a website. The website is the entry point — the top of a product ecosystem that scales from awareness to ongoing certification management. This section defines the complete system so that every technical decision made today is compatible with where AIC needs to 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526"/>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Product</w:t>
            </w:r>
          </w:p>
        </w:tc>
        <w:tc>
          <w:tcPr>
            <w:tcW w:type="dxa" w:w="1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w:t>
            </w:r>
          </w:p>
        </w:tc>
        <w:tc>
          <w:tcPr>
            <w:tcW w:type="dxa" w:w="3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Description</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Marketing</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Website</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1 (Now)</w:t>
            </w:r>
          </w:p>
        </w:tc>
        <w:tc>
          <w:tcPr>
            <w:tcW w:type="dxa" w:w="3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Information engine, lead generation, education. Static + light interactivity. No backend required at launch.</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Tool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1</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Client-side interactive quiz. Runs in browser. Generates tier recommendation and Integrity Score preview. Email-gated full report.</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Management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CRM Integration</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1</w:t>
            </w:r>
          </w:p>
        </w:tc>
        <w:tc>
          <w:tcPr>
            <w:tcW w:type="dxa" w:w="3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 forms POST to third-party service (Netlify Forms / FormSpree) at launch. Swaps to proprietary API in Phase 2.</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 Portal</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Authenticated dashboard for certified organisations. Upload evidence, track audit status, view Integrity Score, manage renewals.</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Monitoring</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Pulse SaaS</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c>
          <w:tcPr>
            <w:tcW w:type="dxa" w:w="3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Continuous AI governance monitoring platform. Real-time bias drift detection. Integration with third-party AI tools (Credo AI, Fiddler). Monthly governance health reports.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Integration Layer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3</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layer connecting certified organisations to insurance partners. Automated premium discount application based on certification status and Integrity Score.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Expansion</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SADC Regional Platform</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3+</w:t>
            </w:r>
          </w:p>
        </w:tc>
        <w:tc>
          <w:tcPr>
            <w:tcW w:type="dxa" w:w="3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Adaptation of certification framework for SADC countries via SADCAS mutual recognition. Multi-language support. Country-specific regulatory mapping.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Training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Auditor Training</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c>
          <w:tcPr>
            <w:tcW w:type="dxa" w:w="3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Online and in-person training programme for ISO auditors to become AIC-certified lead auditors. ZAR 35K per trainee. Scales the auditor pool.</w:t>
            </w:r>
          </w:p>
        </w:tc>
      </w:tr>
    </w:tbl>
    <w:p>
      <w:pPr>
        <w:pStyle w:val="Heading2"/>
        <w:spacing w:before="280" w:after="160"/>
      </w:pPr>
      <w:r>
        <w:rPr>
          <w:rFonts w:ascii="Arial" w:cs="Arial" w:eastAsia="Arial" w:hAnsi="Arial"/>
          <w:b/>
          <w:bCs/>
          <w:color w:val="1A1A1A"/>
          <w:sz w:val="26"/>
          <w:szCs w:val="26"/>
        </w:rPr>
        <w:t xml:space="preserve">6.2 Technical Architecture — Designed for the Full Vision</w:t>
      </w:r>
    </w:p>
    <w:p>
      <w:pPr>
        <w:spacing w:after="120" w:line="276"/>
        <w:jc w:val="left"/>
      </w:pPr>
      <w:r>
        <w:rPr>
          <w:rFonts w:ascii="Arial" w:cs="Arial" w:eastAsia="Arial" w:hAnsi="Arial"/>
          <w:color w:val="333333"/>
          <w:sz w:val="22"/>
          <w:szCs w:val="22"/>
        </w:rPr>
        <w:t xml:space="preserve">The website launches as a static site with minimal backend dependencies. But every architectural decision is made with the full platform in mind. We do not want to rebuild when Phase 2 arrives — we want to connect.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026"/>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 1 (Launch)</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 2+ (Platform)</w:t>
            </w:r>
          </w:p>
        </w:tc>
        <w:tc>
          <w:tcPr>
            <w:tcW w:type="dxa" w:w="2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Why This Matters Now</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Frontend</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static site generation</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with dynamic routes + authenticated pages</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Same framework. No migration.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Layer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Third-party forms (Netlify/FormSpree)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Proprietary REST API (Node.js or Python)</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Forms designed to POST to a URL. Swap the URL, not the frontend.</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Authentication</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 required</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JWT-based auth (Auth0 or custom)</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Login flows can be added to existing pages without redesign.</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PostgreSQL (structured data) + Redis (sessions)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Clean data model from day one. No schema archaeology later.</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Monitoring</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WebSocket or polling for real-time dashboards</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Pulse dashboard can be added as a new page in the same app.</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Hosting</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 Netlify (free tier)</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(Pro) or AWS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Same deployment pipeline. Scale up, don't move.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Search &amp; SEO</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meta tags + sitemap</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Full-text search, dynamic sitemap</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SEO foundation is already in place.</w:t>
            </w:r>
          </w:p>
        </w:tc>
      </w:tr>
    </w:tbl>
    <w:p>
      <w:pPr>
        <w:pStyle w:val="Heading2"/>
        <w:spacing w:before="280" w:after="160"/>
      </w:pPr>
      <w:r>
        <w:rPr>
          <w:rFonts w:ascii="Arial" w:cs="Arial" w:eastAsia="Arial" w:hAnsi="Arial"/>
          <w:b/>
          <w:bCs/>
          <w:color w:val="1A1A1A"/>
          <w:sz w:val="26"/>
          <w:szCs w:val="26"/>
        </w:rPr>
        <w:t xml:space="preserve">6.3 API Strategy</w:t>
      </w:r>
    </w:p>
    <w:p>
      <w:pPr>
        <w:spacing w:after="120" w:line="276"/>
        <w:jc w:val="left"/>
      </w:pPr>
      <w:r>
        <w:rPr>
          <w:rFonts w:ascii="Arial" w:cs="Arial" w:eastAsia="Arial" w:hAnsi="Arial"/>
          <w:color w:val="333333"/>
          <w:sz w:val="22"/>
          <w:szCs w:val="22"/>
        </w:rPr>
        <w:t xml:space="preserve">The website is architected as a consumer of APIs — not a monolith. This is deliberate. When the backend is built, the website simply connects to it. The frontend never needs to know whether a form submission goes to Netlify Forms or to api.aic.co.za. This separation is the gold standard for this type of product.</w:t>
      </w:r>
    </w:p>
    <w:p>
      <w:pPr>
        <w:pStyle w:val="Heading3"/>
        <w:spacing w:before="200" w:after="120"/>
      </w:pPr>
      <w:r>
        <w:rPr>
          <w:rFonts w:ascii="Arial" w:cs="Arial" w:eastAsia="Arial" w:hAnsi="Arial"/>
          <w:b/>
          <w:bCs/>
          <w:color w:val="333333"/>
          <w:sz w:val="22"/>
          <w:szCs w:val="22"/>
        </w:rPr>
        <w:t xml:space="preserve">Phase 1 API Surface (External Services)</w:t>
      </w:r>
    </w:p>
    <w:p>
      <w:pPr>
        <w:pStyle w:val="ListParagraph"/>
        <w:numPr>
          <w:ilvl w:val="0"/>
          <w:numId w:val="2"/>
        </w:numPr>
        <w:spacing w:after="80" w:line="260"/>
      </w:pPr>
      <w:r>
        <w:rPr>
          <w:rFonts w:ascii="Arial" w:cs="Arial" w:eastAsia="Arial" w:hAnsi="Arial"/>
          <w:color w:val="333333"/>
          <w:sz w:val="21"/>
          <w:szCs w:val="21"/>
        </w:rPr>
        <w:t xml:space="preserve">Contact Form Submission → Netlify Forms or FormSpree (zero backend)</w:t>
      </w:r>
    </w:p>
    <w:p>
      <w:pPr>
        <w:pStyle w:val="ListParagraph"/>
        <w:numPr>
          <w:ilvl w:val="0"/>
          <w:numId w:val="2"/>
        </w:numPr>
        <w:spacing w:after="80" w:line="260"/>
      </w:pPr>
      <w:r>
        <w:rPr>
          <w:rFonts w:ascii="Arial" w:cs="Arial" w:eastAsia="Arial" w:hAnsi="Arial"/>
          <w:color w:val="333333"/>
          <w:sz w:val="21"/>
          <w:szCs w:val="21"/>
        </w:rPr>
        <w:t xml:space="preserve">Email Capture → Mailchimp or SendGrid (marketing automation)</w:t>
      </w:r>
    </w:p>
    <w:p>
      <w:pPr>
        <w:pStyle w:val="ListParagraph"/>
        <w:numPr>
          <w:ilvl w:val="0"/>
          <w:numId w:val="2"/>
        </w:numPr>
        <w:spacing w:after="80" w:line="260"/>
      </w:pPr>
      <w:r>
        <w:rPr>
          <w:rFonts w:ascii="Arial" w:cs="Arial" w:eastAsia="Arial" w:hAnsi="Arial"/>
          <w:color w:val="333333"/>
          <w:sz w:val="21"/>
          <w:szCs w:val="21"/>
        </w:rPr>
        <w:t xml:space="preserve">Analytics → Google Analytics 4 (behavioural tracking)</w:t>
      </w:r>
    </w:p>
    <w:p>
      <w:pPr>
        <w:pStyle w:val="ListParagraph"/>
        <w:numPr>
          <w:ilvl w:val="0"/>
          <w:numId w:val="2"/>
        </w:numPr>
        <w:spacing w:after="80" w:line="260"/>
      </w:pPr>
      <w:r>
        <w:rPr>
          <w:rFonts w:ascii="Arial" w:cs="Arial" w:eastAsia="Arial" w:hAnsi="Arial"/>
          <w:color w:val="333333"/>
          <w:sz w:val="21"/>
          <w:szCs w:val="21"/>
        </w:rPr>
        <w:t xml:space="preserve">Font Loading → Google Fonts CDN (performance)</w:t>
      </w:r>
    </w:p>
    <w:p>
      <w:pPr>
        <w:pStyle w:val="Heading3"/>
        <w:spacing w:before="200" w:after="120"/>
      </w:pPr>
      <w:r>
        <w:rPr>
          <w:rFonts w:ascii="Arial" w:cs="Arial" w:eastAsia="Arial" w:hAnsi="Arial"/>
          <w:b/>
          <w:bCs/>
          <w:color w:val="333333"/>
          <w:sz w:val="22"/>
          <w:szCs w:val="22"/>
        </w:rPr>
        <w:t xml:space="preserve">Phase 2 API Surface (Proprietary — Stubbed Now)</w:t>
      </w:r>
    </w:p>
    <w:p>
      <w:pPr>
        <w:pStyle w:val="ListParagraph"/>
        <w:numPr>
          <w:ilvl w:val="0"/>
          <w:numId w:val="2"/>
        </w:numPr>
        <w:spacing w:after="80" w:line="260"/>
      </w:pPr>
      <w:r>
        <w:rPr>
          <w:rFonts w:ascii="Arial" w:cs="Arial" w:eastAsia="Arial" w:hAnsi="Arial"/>
          <w:color w:val="333333"/>
          <w:sz w:val="21"/>
          <w:szCs w:val="21"/>
        </w:rPr>
        <w:t xml:space="preserve">POST /api/leads — Submit contact form or Alpha application</w:t>
      </w:r>
    </w:p>
    <w:p>
      <w:pPr>
        <w:pStyle w:val="ListParagraph"/>
        <w:numPr>
          <w:ilvl w:val="0"/>
          <w:numId w:val="2"/>
        </w:numPr>
        <w:spacing w:after="80" w:line="260"/>
      </w:pPr>
      <w:r>
        <w:rPr>
          <w:rFonts w:ascii="Arial" w:cs="Arial" w:eastAsia="Arial" w:hAnsi="Arial"/>
          <w:color w:val="333333"/>
          <w:sz w:val="21"/>
          <w:szCs w:val="21"/>
        </w:rPr>
        <w:t xml:space="preserve">POST /api/assessment — Save self-assessment responses and generate report</w:t>
      </w:r>
    </w:p>
    <w:p>
      <w:pPr>
        <w:pStyle w:val="ListParagraph"/>
        <w:numPr>
          <w:ilvl w:val="0"/>
          <w:numId w:val="2"/>
        </w:numPr>
        <w:spacing w:after="80" w:line="260"/>
      </w:pPr>
      <w:r>
        <w:rPr>
          <w:rFonts w:ascii="Arial" w:cs="Arial" w:eastAsia="Arial" w:hAnsi="Arial"/>
          <w:color w:val="333333"/>
          <w:sz w:val="21"/>
          <w:szCs w:val="21"/>
        </w:rPr>
        <w:t xml:space="preserve">GET /api/certifications/{id} — Retrieve certification status (client portal)</w:t>
      </w:r>
    </w:p>
    <w:p>
      <w:pPr>
        <w:pStyle w:val="ListParagraph"/>
        <w:numPr>
          <w:ilvl w:val="0"/>
          <w:numId w:val="2"/>
        </w:numPr>
        <w:spacing w:after="80" w:line="260"/>
      </w:pPr>
      <w:r>
        <w:rPr>
          <w:rFonts w:ascii="Arial" w:cs="Arial" w:eastAsia="Arial" w:hAnsi="Arial"/>
          <w:color w:val="333333"/>
          <w:sz w:val="21"/>
          <w:szCs w:val="21"/>
        </w:rPr>
        <w:t xml:space="preserve">POST /api/pulse/health-check — Submit AI system health data for monitoring</w:t>
      </w:r>
    </w:p>
    <w:p>
      <w:pPr>
        <w:pStyle w:val="ListParagraph"/>
        <w:numPr>
          <w:ilvl w:val="0"/>
          <w:numId w:val="2"/>
        </w:numPr>
        <w:spacing w:after="80" w:line="260"/>
      </w:pPr>
      <w:r>
        <w:rPr>
          <w:rFonts w:ascii="Arial" w:cs="Arial" w:eastAsia="Arial" w:hAnsi="Arial"/>
          <w:color w:val="333333"/>
          <w:sz w:val="21"/>
          <w:szCs w:val="21"/>
        </w:rPr>
        <w:t xml:space="preserve">GET /api/insurance/discount-status — Check insurance discount eligibility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3"/>
              <w:left w:val="none" w:color="FFFFFF" w:sz="0"/>
              <w:bottom w:val="none" w:color="FFFFFF" w:sz="0"/>
              <w:right w:val="none" w:color="FFFFFF" w:sz="0"/>
            </w:tcBorders>
            <w:shd w:fill="FAFAF7" w:val="clear"/>
            <w:tcMar>
              <w:top w:type="dxa" w:w="120"/>
              <w:left w:type="dxa" w:w="240"/>
              <w:bottom w:type="dxa" w:w="120"/>
              <w:right w:type="dxa" w:w="240"/>
            </w:tcMar>
          </w:tcPr>
          <w:p>
            <w:pPr>
              <w:spacing w:after="0" w:line="260"/>
            </w:pPr>
            <w:r>
              <w:rPr>
                <w:rFonts w:ascii="Arial" w:cs="Arial" w:eastAsia="Arial" w:hAnsi="Arial"/>
                <w:color w:val="333333"/>
                <w:sz w:val="21"/>
                <w:szCs w:val="21"/>
              </w:rPr>
              <w:t xml:space="preserve">Every form and interactive element on the Phase 1 website is built to POST to a configurable endpoint. When the API is ready, a single environment variable change connects the full backend. No frontend code changes required.</w:t>
            </w:r>
          </w:p>
        </w:tc>
      </w:tr>
    </w:tbl>
    <w:p>
      <w:r>
        <w:br w:type="page"/>
      </w:r>
    </w:p>
    <w:p>
      <w:pPr>
        <w:pStyle w:val="Heading1"/>
        <w:spacing w:before="360" w:after="200"/>
      </w:pPr>
      <w:r>
        <w:rPr>
          <w:rFonts w:ascii="Arial" w:cs="Arial" w:eastAsia="Arial" w:hAnsi="Arial"/>
          <w:b/>
          <w:bCs/>
          <w:color w:val="1A1A1A"/>
          <w:sz w:val="32"/>
          <w:szCs w:val="32"/>
        </w:rPr>
        <w:t xml:space="preserve">7. The Tier Framework — Core Product Logic</w:t>
      </w:r>
    </w:p>
    <w:p>
      <w:pPr>
        <w:spacing w:after="120" w:line="276"/>
        <w:jc w:val="left"/>
      </w:pPr>
      <w:r>
        <w:rPr>
          <w:rFonts w:ascii="Arial" w:cs="Arial" w:eastAsia="Arial" w:hAnsi="Arial"/>
          <w:color w:val="333333"/>
          <w:sz w:val="22"/>
          <w:szCs w:val="22"/>
        </w:rPr>
        <w:t xml:space="preserve">The three-tier accountability framework is the intellectual heart of AIC. It is what differentiates AIC from every other AI governance offering. It must be communicated clearly, demonstrated concretely, and understood intuitively by both technical and non-technical audiences. This section defines the framework in full — not just for the website, but for the entire product.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C41E3A" w:val="clear"/>
          </w:tcPr>
          <w:p/>
        </w:tc>
        <w:tc>
          <w:tcPr>
            <w:tcW w:type="dxa" w:w="8826"/>
            <w:tcBorders>
              <w:top w:val="single" w:color="CCCCCC" w:sz="1"/>
              <w:left w:val="none" w:color="FFFFFF" w:sz="0"/>
              <w:bottom w:val="single" w:color="CCCCCC" w:sz="1"/>
              <w:right w:val="single" w:color="CCCCCC" w:sz="1"/>
            </w:tcBorders>
            <w:shd w:fill="F9E5E8" w:val="clear"/>
            <w:tcMar>
              <w:top w:type="dxa" w:w="160"/>
              <w:left w:type="dxa" w:w="280"/>
              <w:bottom w:type="dxa" w:w="160"/>
              <w:right w:type="dxa" w:w="200"/>
            </w:tcMar>
          </w:tcPr>
          <w:p>
            <w:pPr>
              <w:spacing w:after="40"/>
            </w:pPr>
            <w:r>
              <w:rPr>
                <w:rFonts w:ascii="Arial" w:cs="Arial" w:eastAsia="Arial" w:hAnsi="Arial"/>
                <w:b/>
                <w:bCs/>
                <w:color w:val="C41E3A"/>
                <w:sz w:val="28"/>
                <w:szCs w:val="28"/>
              </w:rPr>
              <w:t xml:space="preserve">TIER 1</w:t>
            </w:r>
            <w:r>
              <w:rPr>
                <w:rFonts w:ascii="Arial" w:cs="Arial" w:eastAsia="Arial" w:hAnsi="Arial"/>
                <w:b/>
                <w:bCs/>
                <w:color w:val="1A1A1A"/>
                <w:sz w:val="24"/>
                <w:szCs w:val="24"/>
              </w:rPr>
              <w:t xml:space="preserve">  —  Human-Approved</w:t>
            </w:r>
          </w:p>
          <w:p>
            <w:pPr>
              <w:spacing w:after="4"/>
            </w:pPr>
            <w:r>
              <w:rPr>
                <w:rFonts w:ascii="Arial" w:cs="Arial" w:eastAsia="Arial" w:hAnsi="Arial"/>
                <w:b/>
                <w:bCs/>
                <w:color w:val="C41E3A"/>
                <w:sz w:val="18"/>
                <w:szCs w:val="18"/>
              </w:rPr>
              <w:t xml:space="preserve">Critical decisions. Irreversible consequences. 100% human review.</w:t>
            </w:r>
          </w:p>
          <w:p>
            <w:pPr>
              <w:spacing w:after="100" w:before="60"/>
            </w:pPr>
            <w:r>
              <w:rPr>
                <w:rFonts w:ascii="Arial" w:cs="Arial" w:eastAsia="Arial" w:hAnsi="Arial"/>
                <w:color w:val="444444"/>
                <w:sz w:val="20"/>
                <w:szCs w:val="20"/>
              </w:rPr>
              <w:t xml:space="preserve">AI operates in an advisory capacity only. Every decision that produces a legal effect, significantly affects a person's rights, or cannot be easily reversed must be reviewed and explicitly approved by a qualified human before it takes effect. The AI may identify, flag, or recommend — but it may not decide.</w:t>
            </w:r>
          </w:p>
          <w:p>
            <w:pPr>
              <w:spacing w:after="40"/>
            </w:pPr>
            <w:r>
              <w:rPr>
                <w:rFonts w:ascii="Arial" w:cs="Arial" w:eastAsia="Arial" w:hAnsi="Arial"/>
                <w:b/>
                <w:bCs/>
                <w:color w:val="333333"/>
                <w:sz w:val="19"/>
                <w:szCs w:val="19"/>
              </w:rPr>
              <w:t xml:space="preserve">Real-World Applications:</w:t>
            </w:r>
          </w:p>
          <w:p>
            <w:pPr>
              <w:pStyle w:val="ListParagraph"/>
              <w:numPr>
                <w:ilvl w:val="0"/>
                <w:numId w:val="2"/>
              </w:numPr>
              <w:spacing w:after="30"/>
            </w:pPr>
            <w:r>
              <w:rPr>
                <w:rFonts w:ascii="Arial" w:cs="Arial" w:eastAsia="Arial" w:hAnsi="Arial"/>
                <w:color w:val="444444"/>
                <w:sz w:val="19"/>
                <w:szCs w:val="19"/>
              </w:rPr>
              <w:t xml:space="preserve">Cancer treatment planning — AI identifies suspicious scans; oncologists decide treatment</w:t>
            </w:r>
          </w:p>
          <w:p>
            <w:pPr>
              <w:pStyle w:val="ListParagraph"/>
              <w:numPr>
                <w:ilvl w:val="0"/>
                <w:numId w:val="2"/>
              </w:numPr>
              <w:spacing w:after="30"/>
            </w:pPr>
            <w:r>
              <w:rPr>
                <w:rFonts w:ascii="Arial" w:cs="Arial" w:eastAsia="Arial" w:hAnsi="Arial"/>
                <w:color w:val="444444"/>
                <w:sz w:val="19"/>
                <w:szCs w:val="19"/>
              </w:rPr>
              <w:t xml:space="preserve">Parole decisions — AI risk assessment informs; judges make final determination</w:t>
            </w:r>
          </w:p>
          <w:p>
            <w:pPr>
              <w:pStyle w:val="ListParagraph"/>
              <w:numPr>
                <w:ilvl w:val="0"/>
                <w:numId w:val="2"/>
              </w:numPr>
              <w:spacing w:after="30"/>
            </w:pPr>
            <w:r>
              <w:rPr>
                <w:rFonts w:ascii="Arial" w:cs="Arial" w:eastAsia="Arial" w:hAnsi="Arial"/>
                <w:color w:val="444444"/>
                <w:sz w:val="19"/>
                <w:szCs w:val="19"/>
              </w:rPr>
              <w:t xml:space="preserve">Child welfare interventions — AI flags risk factors; social workers decide on action</w:t>
            </w:r>
          </w:p>
          <w:p>
            <w:pPr>
              <w:pStyle w:val="ListParagraph"/>
              <w:numPr>
                <w:ilvl w:val="0"/>
                <w:numId w:val="2"/>
              </w:numPr>
              <w:spacing w:after="30"/>
            </w:pPr>
            <w:r>
              <w:rPr>
                <w:rFonts w:ascii="Arial" w:cs="Arial" w:eastAsia="Arial" w:hAnsi="Arial"/>
                <w:color w:val="444444"/>
                <w:sz w:val="19"/>
                <w:szCs w:val="19"/>
              </w:rPr>
              <w:t xml:space="preserve">Surgical planning — AI assists in planning; surgeons decide intraoperatively</w:t>
            </w:r>
          </w:p>
          <w:p>
            <w:pPr>
              <w:pStyle w:val="ListParagraph"/>
              <w:numPr>
                <w:ilvl w:val="0"/>
                <w:numId w:val="2"/>
              </w:numPr>
              <w:spacing w:after="30"/>
            </w:pPr>
            <w:r>
              <w:rPr>
                <w:rFonts w:ascii="Arial" w:cs="Arial" w:eastAsia="Arial" w:hAnsi="Arial"/>
                <w:color w:val="444444"/>
                <w:sz w:val="19"/>
                <w:szCs w:val="19"/>
              </w:rPr>
              <w:t xml:space="preserve">Major commercial loan approvals (&gt;ZAR 50M) — AI analyses; credit committee approves</w:t>
            </w:r>
          </w:p>
          <w:p>
            <w:pPr>
              <w:spacing w:after="40" w:before="80"/>
            </w:pPr>
            <w:r>
              <w:rPr>
                <w:rFonts w:ascii="Arial" w:cs="Arial" w:eastAsia="Arial" w:hAnsi="Arial"/>
                <w:b/>
                <w:bCs/>
                <w:color w:val="333333"/>
                <w:sz w:val="19"/>
                <w:szCs w:val="19"/>
              </w:rPr>
              <w:t xml:space="preserve">Certification Requirements:</w:t>
            </w:r>
          </w:p>
          <w:p>
            <w:pPr>
              <w:pStyle w:val="ListParagraph"/>
              <w:numPr>
                <w:ilvl w:val="0"/>
                <w:numId w:val="2"/>
              </w:numPr>
              <w:spacing w:after="30"/>
            </w:pPr>
            <w:r>
              <w:rPr>
                <w:rFonts w:ascii="Arial" w:cs="Arial" w:eastAsia="Arial" w:hAnsi="Arial"/>
                <w:color w:val="444444"/>
                <w:sz w:val="19"/>
                <w:szCs w:val="19"/>
              </w:rPr>
              <w:t xml:space="preserve">100% human review of critical decisions with documented sign-off</w:t>
            </w:r>
          </w:p>
          <w:p>
            <w:pPr>
              <w:pStyle w:val="ListParagraph"/>
              <w:numPr>
                <w:ilvl w:val="0"/>
                <w:numId w:val="2"/>
              </w:numPr>
              <w:spacing w:after="30"/>
            </w:pPr>
            <w:r>
              <w:rPr>
                <w:rFonts w:ascii="Arial" w:cs="Arial" w:eastAsia="Arial" w:hAnsi="Arial"/>
                <w:color w:val="444444"/>
                <w:sz w:val="19"/>
                <w:szCs w:val="19"/>
              </w:rPr>
              <w:t xml:space="preserve">Professional credentials and liability insurance for all decision-makers</w:t>
            </w:r>
          </w:p>
          <w:p>
            <w:pPr>
              <w:pStyle w:val="ListParagraph"/>
              <w:numPr>
                <w:ilvl w:val="0"/>
                <w:numId w:val="2"/>
              </w:numPr>
              <w:spacing w:after="30"/>
            </w:pPr>
            <w:r>
              <w:rPr>
                <w:rFonts w:ascii="Arial" w:cs="Arial" w:eastAsia="Arial" w:hAnsi="Arial"/>
                <w:color w:val="444444"/>
                <w:sz w:val="19"/>
                <w:szCs w:val="19"/>
              </w:rPr>
              <w:t xml:space="preserve">AI restricted to advisory role with no autonomous decision authority</w:t>
            </w:r>
          </w:p>
          <w:p>
            <w:pPr>
              <w:pStyle w:val="ListParagraph"/>
              <w:numPr>
                <w:ilvl w:val="0"/>
                <w:numId w:val="2"/>
              </w:numPr>
              <w:spacing w:after="30"/>
            </w:pPr>
            <w:r>
              <w:rPr>
                <w:rFonts w:ascii="Arial" w:cs="Arial" w:eastAsia="Arial" w:hAnsi="Arial"/>
                <w:color w:val="444444"/>
                <w:sz w:val="19"/>
                <w:szCs w:val="19"/>
              </w:rPr>
              <w:t xml:space="preserve">Full audit trails proving human intervention before decisions take effect</w:t>
            </w:r>
          </w:p>
          <w:p>
            <w:pPr>
              <w:pStyle w:val="ListParagraph"/>
              <w:numPr>
                <w:ilvl w:val="0"/>
                <w:numId w:val="2"/>
              </w:numPr>
              <w:spacing w:after="30"/>
            </w:pPr>
            <w:r>
              <w:rPr>
                <w:rFonts w:ascii="Arial" w:cs="Arial" w:eastAsia="Arial" w:hAnsi="Arial"/>
                <w:color w:val="444444"/>
                <w:sz w:val="19"/>
                <w:szCs w:val="19"/>
              </w:rPr>
              <w:t xml:space="preserve">Ethics review board with regular case audits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FF8C42" w:val="clear"/>
          </w:tcPr>
          <w:p/>
        </w:tc>
        <w:tc>
          <w:tcPr>
            <w:tcW w:type="dxa" w:w="8826"/>
            <w:tcBorders>
              <w:top w:val="single" w:color="CCCCCC" w:sz="1"/>
              <w:left w:val="none" w:color="FFFFFF" w:sz="0"/>
              <w:bottom w:val="single" w:color="CCCCCC" w:sz="1"/>
              <w:right w:val="single" w:color="CCCCCC" w:sz="1"/>
            </w:tcBorders>
            <w:shd w:fill="FFF0E6" w:val="clear"/>
            <w:tcMar>
              <w:top w:type="dxa" w:w="160"/>
              <w:left w:type="dxa" w:w="280"/>
              <w:bottom w:type="dxa" w:w="160"/>
              <w:right w:type="dxa" w:w="200"/>
            </w:tcMar>
          </w:tcPr>
          <w:p>
            <w:pPr>
              <w:spacing w:after="40"/>
            </w:pPr>
            <w:r>
              <w:rPr>
                <w:rFonts w:ascii="Arial" w:cs="Arial" w:eastAsia="Arial" w:hAnsi="Arial"/>
                <w:b/>
                <w:bCs/>
                <w:color w:val="FF8C42"/>
                <w:sz w:val="28"/>
                <w:szCs w:val="28"/>
              </w:rPr>
              <w:t xml:space="preserve">TIER 2</w:t>
            </w:r>
            <w:r>
              <w:rPr>
                <w:rFonts w:ascii="Arial" w:cs="Arial" w:eastAsia="Arial" w:hAnsi="Arial"/>
                <w:b/>
                <w:bCs/>
                <w:color w:val="1A1A1A"/>
                <w:sz w:val="24"/>
                <w:szCs w:val="24"/>
              </w:rPr>
              <w:t xml:space="preserve">  —  Human-Supervised</w:t>
            </w:r>
          </w:p>
          <w:p>
            <w:pPr>
              <w:spacing w:after="4"/>
            </w:pPr>
            <w:r>
              <w:rPr>
                <w:rFonts w:ascii="Arial" w:cs="Arial" w:eastAsia="Arial" w:hAnsi="Arial"/>
                <w:b/>
                <w:bCs/>
                <w:color w:val="FF8C42"/>
                <w:sz w:val="18"/>
                <w:szCs w:val="18"/>
              </w:rPr>
              <w:t xml:space="preserve">Consequential decisions. Reversible with effort. AI executes under oversight.</w:t>
            </w:r>
          </w:p>
          <w:p>
            <w:pPr>
              <w:spacing w:after="100" w:before="60"/>
            </w:pPr>
            <w:r>
              <w:rPr>
                <w:rFonts w:ascii="Arial" w:cs="Arial" w:eastAsia="Arial" w:hAnsi="Arial"/>
                <w:color w:val="444444"/>
                <w:sz w:val="20"/>
                <w:szCs w:val="20"/>
              </w:rPr>
              <w:t xml:space="preserve">AI can execute decisions, but humans must retain the ability to intervene, override, and explain every outcome. This tier applies where AI efficiency is genuinely valuable but the consequences — financial, professional, or personal — warrant ongoing human oversight and the capacity for correction.</w:t>
            </w:r>
          </w:p>
          <w:p>
            <w:pPr>
              <w:spacing w:after="40"/>
            </w:pPr>
            <w:r>
              <w:rPr>
                <w:rFonts w:ascii="Arial" w:cs="Arial" w:eastAsia="Arial" w:hAnsi="Arial"/>
                <w:b/>
                <w:bCs/>
                <w:color w:val="333333"/>
                <w:sz w:val="19"/>
                <w:szCs w:val="19"/>
              </w:rPr>
              <w:t xml:space="preserve">Real-World Applications:</w:t>
            </w:r>
          </w:p>
          <w:p>
            <w:pPr>
              <w:pStyle w:val="ListParagraph"/>
              <w:numPr>
                <w:ilvl w:val="0"/>
                <w:numId w:val="2"/>
              </w:numPr>
              <w:spacing w:after="30"/>
            </w:pPr>
            <w:r>
              <w:rPr>
                <w:rFonts w:ascii="Arial" w:cs="Arial" w:eastAsia="Arial" w:hAnsi="Arial"/>
                <w:color w:val="444444"/>
                <w:sz w:val="19"/>
                <w:szCs w:val="19"/>
              </w:rPr>
              <w:t xml:space="preserve">Consumer loan approvals — AI pre-approves most; humans review rejections and edge cases</w:t>
            </w:r>
          </w:p>
          <w:p>
            <w:pPr>
              <w:pStyle w:val="ListParagraph"/>
              <w:numPr>
                <w:ilvl w:val="0"/>
                <w:numId w:val="2"/>
              </w:numPr>
              <w:spacing w:after="30"/>
            </w:pPr>
            <w:r>
              <w:rPr>
                <w:rFonts w:ascii="Arial" w:cs="Arial" w:eastAsia="Arial" w:hAnsi="Arial"/>
                <w:color w:val="444444"/>
                <w:sz w:val="19"/>
                <w:szCs w:val="19"/>
              </w:rPr>
              <w:t xml:space="preserve">Resume screening — AI filters candidates; recruiters can override and must explain decisions</w:t>
            </w:r>
          </w:p>
          <w:p>
            <w:pPr>
              <w:pStyle w:val="ListParagraph"/>
              <w:numPr>
                <w:ilvl w:val="0"/>
                <w:numId w:val="2"/>
              </w:numPr>
              <w:spacing w:after="30"/>
            </w:pPr>
            <w:r>
              <w:rPr>
                <w:rFonts w:ascii="Arial" w:cs="Arial" w:eastAsia="Arial" w:hAnsi="Arial"/>
                <w:color w:val="444444"/>
                <w:sz w:val="19"/>
                <w:szCs w:val="19"/>
              </w:rPr>
              <w:t xml:space="preserve">Insurance underwriting — AI sets premiums; agents review outliers and provide explanations</w:t>
            </w:r>
          </w:p>
          <w:p>
            <w:pPr>
              <w:pStyle w:val="ListParagraph"/>
              <w:numPr>
                <w:ilvl w:val="0"/>
                <w:numId w:val="2"/>
              </w:numPr>
              <w:spacing w:after="30"/>
            </w:pPr>
            <w:r>
              <w:rPr>
                <w:rFonts w:ascii="Arial" w:cs="Arial" w:eastAsia="Arial" w:hAnsi="Arial"/>
                <w:color w:val="444444"/>
                <w:sz w:val="19"/>
                <w:szCs w:val="19"/>
              </w:rPr>
              <w:t xml:space="preserve">Fraud detection — AI flags transactions; fraud analysts investigate and confirm</w:t>
            </w:r>
          </w:p>
          <w:p>
            <w:pPr>
              <w:pStyle w:val="ListParagraph"/>
              <w:numPr>
                <w:ilvl w:val="0"/>
                <w:numId w:val="2"/>
              </w:numPr>
              <w:spacing w:after="30"/>
            </w:pPr>
            <w:r>
              <w:rPr>
                <w:rFonts w:ascii="Arial" w:cs="Arial" w:eastAsia="Arial" w:hAnsi="Arial"/>
                <w:color w:val="444444"/>
                <w:sz w:val="19"/>
                <w:szCs w:val="19"/>
              </w:rPr>
              <w:t xml:space="preserve">Transaction monitoring — AI identifies suspicious patterns; compliance officers act</w:t>
            </w:r>
          </w:p>
          <w:p>
            <w:pPr>
              <w:spacing w:after="40" w:before="80"/>
            </w:pPr>
            <w:r>
              <w:rPr>
                <w:rFonts w:ascii="Arial" w:cs="Arial" w:eastAsia="Arial" w:hAnsi="Arial"/>
                <w:b/>
                <w:bCs/>
                <w:color w:val="333333"/>
                <w:sz w:val="19"/>
                <w:szCs w:val="19"/>
              </w:rPr>
              <w:t xml:space="preserve">Certification Requirements:</w:t>
            </w:r>
          </w:p>
          <w:p>
            <w:pPr>
              <w:pStyle w:val="ListParagraph"/>
              <w:numPr>
                <w:ilvl w:val="0"/>
                <w:numId w:val="2"/>
              </w:numPr>
              <w:spacing w:after="30"/>
            </w:pPr>
            <w:r>
              <w:rPr>
                <w:rFonts w:ascii="Arial" w:cs="Arial" w:eastAsia="Arial" w:hAnsi="Arial"/>
                <w:color w:val="444444"/>
                <w:sz w:val="19"/>
                <w:szCs w:val="19"/>
              </w:rPr>
              <w:t xml:space="preserve">Explainable AI (XAI) implementation with documented decision logic</w:t>
            </w:r>
          </w:p>
          <w:p>
            <w:pPr>
              <w:pStyle w:val="ListParagraph"/>
              <w:numPr>
                <w:ilvl w:val="0"/>
                <w:numId w:val="2"/>
              </w:numPr>
              <w:spacing w:after="30"/>
            </w:pPr>
            <w:r>
              <w:rPr>
                <w:rFonts w:ascii="Arial" w:cs="Arial" w:eastAsia="Arial" w:hAnsi="Arial"/>
                <w:color w:val="444444"/>
                <w:sz w:val="19"/>
                <w:szCs w:val="19"/>
              </w:rPr>
              <w:t xml:space="preserve">Human override mechanisms in place and regularly exercised</w:t>
            </w:r>
          </w:p>
          <w:p>
            <w:pPr>
              <w:pStyle w:val="ListParagraph"/>
              <w:numPr>
                <w:ilvl w:val="0"/>
                <w:numId w:val="2"/>
              </w:numPr>
              <w:spacing w:after="30"/>
            </w:pPr>
            <w:r>
              <w:rPr>
                <w:rFonts w:ascii="Arial" w:cs="Arial" w:eastAsia="Arial" w:hAnsi="Arial"/>
                <w:color w:val="444444"/>
                <w:sz w:val="19"/>
                <w:szCs w:val="19"/>
              </w:rPr>
              <w:t xml:space="preserve">Quarterly bias testing across protected classes with statistical significance</w:t>
            </w:r>
          </w:p>
          <w:p>
            <w:pPr>
              <w:pStyle w:val="ListParagraph"/>
              <w:numPr>
                <w:ilvl w:val="0"/>
                <w:numId w:val="2"/>
              </w:numPr>
              <w:spacing w:after="30"/>
            </w:pPr>
            <w:r>
              <w:rPr>
                <w:rFonts w:ascii="Arial" w:cs="Arial" w:eastAsia="Arial" w:hAnsi="Arial"/>
                <w:color w:val="444444"/>
                <w:sz w:val="19"/>
                <w:szCs w:val="19"/>
              </w:rPr>
              <w:t xml:space="preserve">Continuous monitoring systems with automated drift detection</w:t>
            </w:r>
          </w:p>
          <w:p>
            <w:pPr>
              <w:pStyle w:val="ListParagraph"/>
              <w:numPr>
                <w:ilvl w:val="0"/>
                <w:numId w:val="2"/>
              </w:numPr>
              <w:spacing w:after="30"/>
            </w:pPr>
            <w:r>
              <w:rPr>
                <w:rFonts w:ascii="Arial" w:cs="Arial" w:eastAsia="Arial" w:hAnsi="Arial"/>
                <w:color w:val="444444"/>
                <w:sz w:val="19"/>
                <w:szCs w:val="19"/>
              </w:rPr>
              <w:t xml:space="preserve">Response time commitments for human review requests</w:t>
            </w:r>
          </w:p>
        </w:tc>
      </w:tr>
    </w:tbl>
    <w:p>
      <w:pPr>
        <w:spacing w:before="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
        <w:gridCol w:w="8826"/>
      </w:tblGrid>
      <w:tr>
        <w:tc>
          <w:tcPr>
            <w:tcW w:type="dxa" w:w="200"/>
            <w:tcBorders>
              <w:top w:val="none" w:color="FFFFFF" w:sz="0"/>
              <w:left w:val="none" w:color="FFFFFF" w:sz="0"/>
              <w:bottom w:val="none" w:color="FFFFFF" w:sz="0"/>
              <w:right w:val="none" w:color="FFFFFF" w:sz="0"/>
            </w:tcBorders>
            <w:shd w:fill="2C5F2D" w:val="clear"/>
          </w:tcPr>
          <w:p/>
        </w:tc>
        <w:tc>
          <w:tcPr>
            <w:tcW w:type="dxa" w:w="8826"/>
            <w:tcBorders>
              <w:top w:val="single" w:color="CCCCCC" w:sz="1"/>
              <w:left w:val="none" w:color="FFFFFF" w:sz="0"/>
              <w:bottom w:val="single" w:color="CCCCCC" w:sz="1"/>
              <w:right w:val="single" w:color="CCCCCC" w:sz="1"/>
            </w:tcBorders>
            <w:shd w:fill="E8F5E8" w:val="clear"/>
            <w:tcMar>
              <w:top w:type="dxa" w:w="160"/>
              <w:left w:type="dxa" w:w="280"/>
              <w:bottom w:type="dxa" w:w="160"/>
              <w:right w:type="dxa" w:w="200"/>
            </w:tcMar>
          </w:tcPr>
          <w:p>
            <w:pPr>
              <w:spacing w:after="40"/>
            </w:pPr>
            <w:r>
              <w:rPr>
                <w:rFonts w:ascii="Arial" w:cs="Arial" w:eastAsia="Arial" w:hAnsi="Arial"/>
                <w:b/>
                <w:bCs/>
                <w:color w:val="2C5F2D"/>
                <w:sz w:val="28"/>
                <w:szCs w:val="28"/>
              </w:rPr>
              <w:t xml:space="preserve">TIER 3</w:t>
            </w:r>
            <w:r>
              <w:rPr>
                <w:rFonts w:ascii="Arial" w:cs="Arial" w:eastAsia="Arial" w:hAnsi="Arial"/>
                <w:b/>
                <w:bCs/>
                <w:color w:val="1A1A1A"/>
                <w:sz w:val="24"/>
                <w:szCs w:val="24"/>
              </w:rPr>
              <w:t xml:space="preserve">  —  Automated-Permissible</w:t>
            </w:r>
          </w:p>
          <w:p>
            <w:pPr>
              <w:spacing w:after="4"/>
            </w:pPr>
            <w:r>
              <w:rPr>
                <w:rFonts w:ascii="Arial" w:cs="Arial" w:eastAsia="Arial" w:hAnsi="Arial"/>
                <w:b/>
                <w:bCs/>
                <w:color w:val="2C5F2D"/>
                <w:sz w:val="18"/>
                <w:szCs w:val="18"/>
              </w:rPr>
              <w:t xml:space="preserve">Low-stakes decisions. Easily reversible. Periodic oversight.</w:t>
            </w:r>
          </w:p>
          <w:p>
            <w:pPr>
              <w:spacing w:after="100" w:before="60"/>
            </w:pPr>
            <w:r>
              <w:rPr>
                <w:rFonts w:ascii="Arial" w:cs="Arial" w:eastAsia="Arial" w:hAnsi="Arial"/>
                <w:color w:val="444444"/>
                <w:sz w:val="20"/>
                <w:szCs w:val="20"/>
              </w:rPr>
              <w:t xml:space="preserve">AI operates autonomously for routine, low-consequence decisions where the outcome can be easily reversed or corrected. Human oversight occurs at the system level — through periodic audits, aggregate monitoring, and clear escalation paths — rather than at the individual decision level.</w:t>
            </w:r>
          </w:p>
          <w:p>
            <w:pPr>
              <w:spacing w:after="40"/>
            </w:pPr>
            <w:r>
              <w:rPr>
                <w:rFonts w:ascii="Arial" w:cs="Arial" w:eastAsia="Arial" w:hAnsi="Arial"/>
                <w:b/>
                <w:bCs/>
                <w:color w:val="333333"/>
                <w:sz w:val="19"/>
                <w:szCs w:val="19"/>
              </w:rPr>
              <w:t xml:space="preserve">Real-World Applications:</w:t>
            </w:r>
          </w:p>
          <w:p>
            <w:pPr>
              <w:pStyle w:val="ListParagraph"/>
              <w:numPr>
                <w:ilvl w:val="0"/>
                <w:numId w:val="2"/>
              </w:numPr>
              <w:spacing w:after="30"/>
            </w:pPr>
            <w:r>
              <w:rPr>
                <w:rFonts w:ascii="Arial" w:cs="Arial" w:eastAsia="Arial" w:hAnsi="Arial"/>
                <w:color w:val="444444"/>
                <w:sz w:val="19"/>
                <w:szCs w:val="19"/>
              </w:rPr>
              <w:t xml:space="preserve">Product recommendations — AI suggests items based on browsing and purchase history</w:t>
            </w:r>
          </w:p>
          <w:p>
            <w:pPr>
              <w:pStyle w:val="ListParagraph"/>
              <w:numPr>
                <w:ilvl w:val="0"/>
                <w:numId w:val="2"/>
              </w:numPr>
              <w:spacing w:after="30"/>
            </w:pPr>
            <w:r>
              <w:rPr>
                <w:rFonts w:ascii="Arial" w:cs="Arial" w:eastAsia="Arial" w:hAnsi="Arial"/>
                <w:color w:val="444444"/>
                <w:sz w:val="19"/>
                <w:szCs w:val="19"/>
              </w:rPr>
              <w:t xml:space="preserve">Email filtering — AI sorts spam, promotional, and priority messages</w:t>
            </w:r>
          </w:p>
          <w:p>
            <w:pPr>
              <w:pStyle w:val="ListParagraph"/>
              <w:numPr>
                <w:ilvl w:val="0"/>
                <w:numId w:val="2"/>
              </w:numPr>
              <w:spacing w:after="30"/>
            </w:pPr>
            <w:r>
              <w:rPr>
                <w:rFonts w:ascii="Arial" w:cs="Arial" w:eastAsia="Arial" w:hAnsi="Arial"/>
                <w:color w:val="444444"/>
                <w:sz w:val="19"/>
                <w:szCs w:val="19"/>
              </w:rPr>
              <w:t xml:space="preserve">Customer service bots — AI handles routine inquiries; escalates complex issues to humans</w:t>
            </w:r>
          </w:p>
          <w:p>
            <w:pPr>
              <w:pStyle w:val="ListParagraph"/>
              <w:numPr>
                <w:ilvl w:val="0"/>
                <w:numId w:val="2"/>
              </w:numPr>
              <w:spacing w:after="30"/>
            </w:pPr>
            <w:r>
              <w:rPr>
                <w:rFonts w:ascii="Arial" w:cs="Arial" w:eastAsia="Arial" w:hAnsi="Arial"/>
                <w:color w:val="444444"/>
                <w:sz w:val="19"/>
                <w:szCs w:val="19"/>
              </w:rPr>
              <w:t xml:space="preserve">Inventory management — AI predicts demand and reorders stock</w:t>
            </w:r>
          </w:p>
          <w:p>
            <w:pPr>
              <w:pStyle w:val="ListParagraph"/>
              <w:numPr>
                <w:ilvl w:val="0"/>
                <w:numId w:val="2"/>
              </w:numPr>
              <w:spacing w:after="30"/>
            </w:pPr>
            <w:r>
              <w:rPr>
                <w:rFonts w:ascii="Arial" w:cs="Arial" w:eastAsia="Arial" w:hAnsi="Arial"/>
                <w:color w:val="444444"/>
                <w:sz w:val="19"/>
                <w:szCs w:val="19"/>
              </w:rPr>
              <w:t xml:space="preserve">Appointment scheduling — AI optimises availability across facilities</w:t>
            </w:r>
          </w:p>
          <w:p>
            <w:pPr>
              <w:spacing w:after="40" w:before="80"/>
            </w:pPr>
            <w:r>
              <w:rPr>
                <w:rFonts w:ascii="Arial" w:cs="Arial" w:eastAsia="Arial" w:hAnsi="Arial"/>
                <w:b/>
                <w:bCs/>
                <w:color w:val="333333"/>
                <w:sz w:val="19"/>
                <w:szCs w:val="19"/>
              </w:rPr>
              <w:t xml:space="preserve">Certification Requirements:</w:t>
            </w:r>
          </w:p>
          <w:p>
            <w:pPr>
              <w:pStyle w:val="ListParagraph"/>
              <w:numPr>
                <w:ilvl w:val="0"/>
                <w:numId w:val="2"/>
              </w:numPr>
              <w:spacing w:after="30"/>
            </w:pPr>
            <w:r>
              <w:rPr>
                <w:rFonts w:ascii="Arial" w:cs="Arial" w:eastAsia="Arial" w:hAnsi="Arial"/>
                <w:color w:val="444444"/>
                <w:sz w:val="19"/>
                <w:szCs w:val="19"/>
              </w:rPr>
              <w:t xml:space="preserve">Clear disclosure to affected users about AI decision-making</w:t>
            </w:r>
          </w:p>
          <w:p>
            <w:pPr>
              <w:pStyle w:val="ListParagraph"/>
              <w:numPr>
                <w:ilvl w:val="0"/>
                <w:numId w:val="2"/>
              </w:numPr>
              <w:spacing w:after="30"/>
            </w:pPr>
            <w:r>
              <w:rPr>
                <w:rFonts w:ascii="Arial" w:cs="Arial" w:eastAsia="Arial" w:hAnsi="Arial"/>
                <w:color w:val="444444"/>
                <w:sz w:val="19"/>
                <w:szCs w:val="19"/>
              </w:rPr>
              <w:t xml:space="preserve">Semi-annual bias audits even for low-stakes systems</w:t>
            </w:r>
          </w:p>
          <w:p>
            <w:pPr>
              <w:pStyle w:val="ListParagraph"/>
              <w:numPr>
                <w:ilvl w:val="0"/>
                <w:numId w:val="2"/>
              </w:numPr>
              <w:spacing w:after="30"/>
            </w:pPr>
            <w:r>
              <w:rPr>
                <w:rFonts w:ascii="Arial" w:cs="Arial" w:eastAsia="Arial" w:hAnsi="Arial"/>
                <w:color w:val="444444"/>
                <w:sz w:val="19"/>
                <w:szCs w:val="19"/>
              </w:rPr>
              <w:t xml:space="preserve">User opt-out mechanisms available and clearly communicated</w:t>
            </w:r>
          </w:p>
          <w:p>
            <w:pPr>
              <w:pStyle w:val="ListParagraph"/>
              <w:numPr>
                <w:ilvl w:val="0"/>
                <w:numId w:val="2"/>
              </w:numPr>
              <w:spacing w:after="30"/>
            </w:pPr>
            <w:r>
              <w:rPr>
                <w:rFonts w:ascii="Arial" w:cs="Arial" w:eastAsia="Arial" w:hAnsi="Arial"/>
                <w:color w:val="444444"/>
                <w:sz w:val="19"/>
                <w:szCs w:val="19"/>
              </w:rPr>
              <w:t xml:space="preserve">Data sovereignty compliance with POPIA data minimisation principles</w:t>
            </w:r>
          </w:p>
          <w:p>
            <w:pPr>
              <w:pStyle w:val="ListParagraph"/>
              <w:numPr>
                <w:ilvl w:val="0"/>
                <w:numId w:val="2"/>
              </w:numPr>
              <w:spacing w:after="30"/>
            </w:pPr>
            <w:r>
              <w:rPr>
                <w:rFonts w:ascii="Arial" w:cs="Arial" w:eastAsia="Arial" w:hAnsi="Arial"/>
                <w:color w:val="444444"/>
                <w:sz w:val="19"/>
                <w:szCs w:val="19"/>
              </w:rPr>
              <w:t xml:space="preserve">Right to explanation process available for user inquiries</w:t>
            </w:r>
          </w:p>
        </w:tc>
      </w:tr>
    </w:tbl>
    <w:p>
      <w:pPr>
        <w:spacing w:before="200"/>
      </w:pPr>
    </w:p>
    <w:p>
      <w:pPr>
        <w:pStyle w:val="Heading2"/>
        <w:spacing w:before="280" w:after="160"/>
      </w:pPr>
      <w:r>
        <w:rPr>
          <w:rFonts w:ascii="Arial" w:cs="Arial" w:eastAsia="Arial" w:hAnsi="Arial"/>
          <w:b/>
          <w:bCs/>
          <w:color w:val="1A1A1A"/>
          <w:sz w:val="26"/>
          <w:szCs w:val="26"/>
        </w:rPr>
        <w:t xml:space="preserve">7.1 Multi-Tier Organisations</w:t>
      </w:r>
    </w:p>
    <w:p>
      <w:pPr>
        <w:spacing w:after="120" w:line="276"/>
        <w:jc w:val="left"/>
      </w:pPr>
      <w:r>
        <w:rPr>
          <w:rFonts w:ascii="Arial" w:cs="Arial" w:eastAsia="Arial" w:hAnsi="Arial"/>
          <w:color w:val="333333"/>
          <w:sz w:val="22"/>
          <w:szCs w:val="22"/>
        </w:rPr>
        <w:t xml:space="preserve">Most real organisations operate across multiple tiers simultaneously. A hospital group uses Tier 1 for treatment decisions, Tier 2 for patient triage, and Tier 3 for appointment scheduling. AIC certification maps to the organisation's actual AI portfolio — not a single tier applied uniformly.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900"/>
        <w:gridCol w:w="1900"/>
        <w:gridCol w:w="2832"/>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Organisation</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Type</w:t>
            </w:r>
          </w:p>
        </w:tc>
        <w:tc>
          <w:tcPr>
            <w:tcW w:type="dxa" w:w="1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 1</w:t>
            </w:r>
          </w:p>
        </w:tc>
        <w:tc>
          <w:tcPr>
            <w:tcW w:type="dxa" w:w="19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 2</w:t>
            </w:r>
          </w:p>
        </w:tc>
        <w:tc>
          <w:tcPr>
            <w:tcW w:type="dxa" w:w="2832"/>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Tier 3</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Life Healthcare Group</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Hospital Network</w:t>
            </w:r>
          </w:p>
        </w:tc>
        <w:tc>
          <w:tcPr>
            <w:tcW w:type="dxa" w:w="1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Cancer treatment, surgical decisions, psychiatric evaluations</w:t>
            </w:r>
          </w:p>
        </w:tc>
        <w:tc>
          <w:tcPr>
            <w:tcW w:type="dxa" w:w="1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Radiology analysis, patient triage, medication recommendations</w:t>
            </w:r>
          </w:p>
        </w:tc>
        <w:tc>
          <w:tcPr>
            <w:tcW w:type="dxa" w:w="2832"/>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Appointment scheduling, insurance verification, patient portal chatbot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FirstRand Bank</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BFSI</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Commercial loans &gt;ZAR 50M, fraud investigation outcomes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Consumer credit, mortgage underwriting, transaction monitoring</w:t>
            </w:r>
          </w:p>
        </w:tc>
        <w:tc>
          <w:tcPr>
            <w:tcW w:type="dxa" w:w="2832"/>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Product recommendations, email marketing, routine inquiries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Takealot</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E-Commerce</w:t>
            </w:r>
          </w:p>
        </w:tc>
        <w:tc>
          <w:tcPr>
            <w:tcW w:type="dxa" w:w="1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N/A — no high-stakes irreversible decisions</w:t>
            </w:r>
          </w:p>
        </w:tc>
        <w:tc>
          <w:tcPr>
            <w:tcW w:type="dxa" w:w="19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Seller verification, fraud detection, content moderation</w:t>
            </w:r>
          </w:p>
        </w:tc>
        <w:tc>
          <w:tcPr>
            <w:tcW w:type="dxa" w:w="2832"/>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Product recommendations, search ranking, dynamic pricing, customer support</w:t>
            </w:r>
          </w:p>
        </w:tc>
      </w:tr>
    </w:tbl>
    <w:p>
      <w:r>
        <w:br w:type="page"/>
      </w:r>
    </w:p>
    <w:p>
      <w:pPr>
        <w:pStyle w:val="Heading1"/>
        <w:spacing w:before="360" w:after="200"/>
      </w:pPr>
      <w:r>
        <w:rPr>
          <w:rFonts w:ascii="Arial" w:cs="Arial" w:eastAsia="Arial" w:hAnsi="Arial"/>
          <w:b/>
          <w:bCs/>
          <w:color w:val="1A1A1A"/>
          <w:sz w:val="32"/>
          <w:szCs w:val="32"/>
        </w:rPr>
        <w:t xml:space="preserve">8. Phase 1: Website Functional Requirements</w:t>
      </w:r>
    </w:p>
    <w:p>
      <w:pPr>
        <w:spacing w:after="120" w:line="276"/>
        <w:jc w:val="left"/>
      </w:pPr>
      <w:r>
        <w:rPr>
          <w:rFonts w:ascii="Arial" w:cs="Arial" w:eastAsia="Arial" w:hAnsi="Arial"/>
          <w:color w:val="333333"/>
          <w:sz w:val="22"/>
          <w:szCs w:val="22"/>
        </w:rPr>
        <w:t xml:space="preserve">The website is AIC's first product — and its primary lead generation engine. Every page serves a dual purpose: educate the visitor about AI accountability, and move them closer to becoming an Alpha Program participant or certification client.</w:t>
      </w:r>
    </w:p>
    <w:p>
      <w:pPr>
        <w:pStyle w:val="Heading2"/>
        <w:spacing w:before="280" w:after="160"/>
      </w:pPr>
      <w:r>
        <w:rPr>
          <w:rFonts w:ascii="Arial" w:cs="Arial" w:eastAsia="Arial" w:hAnsi="Arial"/>
          <w:b/>
          <w:bCs/>
          <w:color w:val="1A1A1A"/>
          <w:sz w:val="26"/>
          <w:szCs w:val="26"/>
        </w:rPr>
        <w:t xml:space="preserve">8.1 Information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2100"/>
        <w:gridCol w:w="2926"/>
      </w:tblGrid>
      <w:tr>
        <w:tc>
          <w:tcPr>
            <w:tcW w:type="dxa" w:w="1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Page</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URL</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Purpose</w:t>
            </w:r>
          </w:p>
        </w:tc>
        <w:tc>
          <w:tcPr>
            <w:tcW w:type="dxa" w:w="2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Primary CTA</w:t>
            </w:r>
          </w:p>
        </w:tc>
        <w:tc>
          <w:tcPr>
            <w:tcW w:type="dxa" w:w="29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Conversion Metric</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Homepage</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First impression. Establish credibility. Communicate value proposition.</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Join Alpha Program / Take Self-Assessment</w:t>
            </w:r>
          </w:p>
        </w:tc>
        <w:tc>
          <w:tcPr>
            <w:tcW w:type="dxa" w:w="29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Clicks to /alpha or /assessment</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About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/about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Build trust. Explain mission, approach, and differentiation.</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Download Framework Guide</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capture from guide download</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Framework</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Deep education on 3-tier model. Industry examples. Case studies.</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Take Self-Assessment</w:t>
            </w:r>
          </w:p>
        </w:tc>
        <w:tc>
          <w:tcPr>
            <w:tcW w:type="dxa" w:w="29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Time on page + quiz starts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Process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Explain the journey from start to certified. Timeline. Pricing.</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Schedule a Consultation</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 form submissions</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Interactive quiz. Lead qualification. Demonstrate methodology.</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Get Your Full Report (email-gated)</w:t>
            </w:r>
          </w:p>
        </w:tc>
        <w:tc>
          <w:tcPr>
            <w:tcW w:type="dxa" w:w="29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captures + completions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 Program</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Convert high-intent visitors into pilot participants.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Apply Now</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Application form submissions</w:t>
            </w:r>
          </w:p>
        </w:tc>
      </w:tr>
      <w:tr>
        <w:tc>
          <w:tcPr>
            <w:tcW w:type="dxa" w:w="1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Resources</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/resources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SEO traffic driver. Thought leadership. Nurture leads.</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Subscribe for Updates</w:t>
            </w:r>
          </w:p>
        </w:tc>
        <w:tc>
          <w:tcPr>
            <w:tcW w:type="dxa" w:w="29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subscriptions</w:t>
            </w:r>
          </w:p>
        </w:tc>
      </w:tr>
      <w:tr>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Low-friction lead capture for all inquiry types.</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 Message</w:t>
            </w:r>
          </w:p>
        </w:tc>
        <w:tc>
          <w:tcPr>
            <w:tcW w:type="dxa" w:w="29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submissions</w:t>
            </w:r>
          </w:p>
        </w:tc>
      </w:tr>
    </w:tbl>
    <w:p>
      <w:pPr>
        <w:pStyle w:val="Heading2"/>
        <w:spacing w:before="280" w:after="160"/>
      </w:pPr>
      <w:r>
        <w:rPr>
          <w:rFonts w:ascii="Arial" w:cs="Arial" w:eastAsia="Arial" w:hAnsi="Arial"/>
          <w:b/>
          <w:bCs/>
          <w:color w:val="1A1A1A"/>
          <w:sz w:val="26"/>
          <w:szCs w:val="26"/>
        </w:rPr>
        <w:t xml:space="preserve">8.2 Homepage Requirements</w:t>
      </w:r>
    </w:p>
    <w:p>
      <w:pPr>
        <w:pStyle w:val="Heading3"/>
        <w:spacing w:before="200" w:after="120"/>
      </w:pPr>
      <w:r>
        <w:rPr>
          <w:rFonts w:ascii="Arial" w:cs="Arial" w:eastAsia="Arial" w:hAnsi="Arial"/>
          <w:b/>
          <w:bCs/>
          <w:color w:val="333333"/>
          <w:sz w:val="22"/>
          <w:szCs w:val="22"/>
        </w:rPr>
        <w:t xml:space="preserve">FR-HOME-01: Hero Section</w:t>
      </w:r>
    </w:p>
    <w:p>
      <w:pPr>
        <w:pStyle w:val="ListParagraph"/>
        <w:numPr>
          <w:ilvl w:val="0"/>
          <w:numId w:val="2"/>
        </w:numPr>
        <w:spacing w:after="80" w:line="260"/>
      </w:pPr>
      <w:r>
        <w:rPr>
          <w:rFonts w:ascii="Arial" w:cs="Arial" w:eastAsia="Arial" w:hAnsi="Arial"/>
          <w:color w:val="333333"/>
          <w:sz w:val="21"/>
          <w:szCs w:val="21"/>
        </w:rPr>
        <w:t xml:space="preserve">Display primary value proposition headline referencing POPIA Section 71 specifically</w:t>
      </w:r>
    </w:p>
    <w:p>
      <w:pPr>
        <w:pStyle w:val="ListParagraph"/>
        <w:numPr>
          <w:ilvl w:val="0"/>
          <w:numId w:val="2"/>
        </w:numPr>
        <w:spacing w:after="80" w:line="260"/>
      </w:pPr>
      <w:r>
        <w:rPr>
          <w:rFonts w:ascii="Arial" w:cs="Arial" w:eastAsia="Arial" w:hAnsi="Arial"/>
          <w:color w:val="333333"/>
          <w:sz w:val="21"/>
          <w:szCs w:val="21"/>
        </w:rPr>
        <w:t xml:space="preserve">Display a trust-building statistic (Mobley lawsuit, 85.1% bias rate, or EEOC settlement) in the hero — not buried below the fold</w:t>
      </w:r>
    </w:p>
    <w:p>
      <w:pPr>
        <w:pStyle w:val="ListParagraph"/>
        <w:numPr>
          <w:ilvl w:val="0"/>
          <w:numId w:val="2"/>
        </w:numPr>
        <w:spacing w:after="80" w:line="260"/>
      </w:pPr>
      <w:r>
        <w:rPr>
          <w:rFonts w:ascii="Arial" w:cs="Arial" w:eastAsia="Arial" w:hAnsi="Arial"/>
          <w:color w:val="333333"/>
          <w:sz w:val="21"/>
          <w:szCs w:val="21"/>
        </w:rPr>
        <w:t xml:space="preserve">Two primary CTAs visible without scrolling: "Join Alpha Program" and "Take Self-Assessment"</w:t>
      </w:r>
    </w:p>
    <w:p>
      <w:pPr>
        <w:pStyle w:val="ListParagraph"/>
        <w:numPr>
          <w:ilvl w:val="0"/>
          <w:numId w:val="2"/>
        </w:numPr>
        <w:spacing w:after="80" w:line="260"/>
      </w:pPr>
      <w:r>
        <w:rPr>
          <w:rFonts w:ascii="Arial" w:cs="Arial" w:eastAsia="Arial" w:hAnsi="Arial"/>
          <w:color w:val="333333"/>
          <w:sz w:val="21"/>
          <w:szCs w:val="21"/>
        </w:rPr>
        <w:t xml:space="preserve">Responsive: on mobile, CTAs stack vertically. Headline font scales to remain readable</w:t>
      </w:r>
    </w:p>
    <w:p>
      <w:pPr>
        <w:pStyle w:val="Heading3"/>
        <w:spacing w:before="200" w:after="120"/>
      </w:pPr>
      <w:r>
        <w:rPr>
          <w:rFonts w:ascii="Arial" w:cs="Arial" w:eastAsia="Arial" w:hAnsi="Arial"/>
          <w:b/>
          <w:bCs/>
          <w:color w:val="333333"/>
          <w:sz w:val="22"/>
          <w:szCs w:val="22"/>
        </w:rPr>
        <w:t xml:space="preserve">FR-HOME-02: Tier Overview Section</w:t>
      </w:r>
    </w:p>
    <w:p>
      <w:pPr>
        <w:pStyle w:val="ListParagraph"/>
        <w:numPr>
          <w:ilvl w:val="0"/>
          <w:numId w:val="2"/>
        </w:numPr>
        <w:spacing w:after="80" w:line="260"/>
      </w:pPr>
      <w:r>
        <w:rPr>
          <w:rFonts w:ascii="Arial" w:cs="Arial" w:eastAsia="Arial" w:hAnsi="Arial"/>
          <w:color w:val="333333"/>
          <w:sz w:val="21"/>
          <w:szCs w:val="21"/>
        </w:rPr>
        <w:t xml:space="preserve">Display all three tiers with colour-coded indicators (red, orange, green) matching brand system</w:t>
      </w:r>
    </w:p>
    <w:p>
      <w:pPr>
        <w:pStyle w:val="ListParagraph"/>
        <w:numPr>
          <w:ilvl w:val="0"/>
          <w:numId w:val="2"/>
        </w:numPr>
        <w:spacing w:after="80" w:line="260"/>
      </w:pPr>
      <w:r>
        <w:rPr>
          <w:rFonts w:ascii="Arial" w:cs="Arial" w:eastAsia="Arial" w:hAnsi="Arial"/>
          <w:color w:val="333333"/>
          <w:sz w:val="21"/>
          <w:szCs w:val="21"/>
        </w:rPr>
        <w:t xml:space="preserve">Each tier shows: name, tagline, brief description, 3 real-world examples</w:t>
      </w:r>
    </w:p>
    <w:p>
      <w:pPr>
        <w:pStyle w:val="ListParagraph"/>
        <w:numPr>
          <w:ilvl w:val="0"/>
          <w:numId w:val="2"/>
        </w:numPr>
        <w:spacing w:after="80" w:line="260"/>
      </w:pPr>
      <w:r>
        <w:rPr>
          <w:rFonts w:ascii="Arial" w:cs="Arial" w:eastAsia="Arial" w:hAnsi="Arial"/>
          <w:color w:val="333333"/>
          <w:sz w:val="21"/>
          <w:szCs w:val="21"/>
        </w:rPr>
        <w:t xml:space="preserve">CTA linking to full Tier Framework page</w:t>
      </w:r>
    </w:p>
    <w:p>
      <w:pPr>
        <w:pStyle w:val="Heading3"/>
        <w:spacing w:before="200" w:after="120"/>
      </w:pPr>
      <w:r>
        <w:rPr>
          <w:rFonts w:ascii="Arial" w:cs="Arial" w:eastAsia="Arial" w:hAnsi="Arial"/>
          <w:b/>
          <w:bCs/>
          <w:color w:val="333333"/>
          <w:sz w:val="22"/>
          <w:szCs w:val="22"/>
        </w:rPr>
        <w:t xml:space="preserve">FR-HOME-03: Problem Statement Section</w:t>
      </w:r>
    </w:p>
    <w:p>
      <w:pPr>
        <w:pStyle w:val="ListParagraph"/>
        <w:numPr>
          <w:ilvl w:val="0"/>
          <w:numId w:val="2"/>
        </w:numPr>
        <w:spacing w:after="80" w:line="260"/>
      </w:pPr>
      <w:r>
        <w:rPr>
          <w:rFonts w:ascii="Arial" w:cs="Arial" w:eastAsia="Arial" w:hAnsi="Arial"/>
          <w:color w:val="333333"/>
          <w:sz w:val="21"/>
          <w:szCs w:val="21"/>
        </w:rPr>
        <w:t xml:space="preserve">Display at minimum two evidence-based statistics with sources (e.g., 85.1% UW study, USD 365K EEOC settlement)</w:t>
      </w:r>
    </w:p>
    <w:p>
      <w:pPr>
        <w:pStyle w:val="ListParagraph"/>
        <w:numPr>
          <w:ilvl w:val="0"/>
          <w:numId w:val="2"/>
        </w:numPr>
        <w:spacing w:after="80" w:line="260"/>
      </w:pPr>
      <w:r>
        <w:rPr>
          <w:rFonts w:ascii="Arial" w:cs="Arial" w:eastAsia="Arial" w:hAnsi="Arial"/>
          <w:color w:val="333333"/>
          <w:sz w:val="21"/>
          <w:szCs w:val="21"/>
        </w:rPr>
        <w:t xml:space="preserve">Reference POPIA Section 71 by name</w:t>
      </w:r>
    </w:p>
    <w:p>
      <w:pPr>
        <w:pStyle w:val="ListParagraph"/>
        <w:numPr>
          <w:ilvl w:val="0"/>
          <w:numId w:val="2"/>
        </w:numPr>
        <w:spacing w:after="80" w:line="260"/>
      </w:pPr>
      <w:r>
        <w:rPr>
          <w:rFonts w:ascii="Arial" w:cs="Arial" w:eastAsia="Arial" w:hAnsi="Arial"/>
          <w:color w:val="333333"/>
          <w:sz w:val="21"/>
          <w:szCs w:val="21"/>
        </w:rPr>
        <w:t xml:space="preserve">Dark background section to create visual contrast and weight</w:t>
      </w:r>
    </w:p>
    <w:p>
      <w:pPr>
        <w:pStyle w:val="Heading3"/>
        <w:spacing w:before="200" w:after="120"/>
      </w:pPr>
      <w:r>
        <w:rPr>
          <w:rFonts w:ascii="Arial" w:cs="Arial" w:eastAsia="Arial" w:hAnsi="Arial"/>
          <w:b/>
          <w:bCs/>
          <w:color w:val="333333"/>
          <w:sz w:val="22"/>
          <w:szCs w:val="22"/>
        </w:rPr>
        <w:t xml:space="preserve">FR-HOME-04: Alpha Program Preview</w:t>
      </w:r>
    </w:p>
    <w:p>
      <w:pPr>
        <w:pStyle w:val="ListParagraph"/>
        <w:numPr>
          <w:ilvl w:val="0"/>
          <w:numId w:val="2"/>
        </w:numPr>
        <w:spacing w:after="80" w:line="260"/>
      </w:pPr>
      <w:r>
        <w:rPr>
          <w:rFonts w:ascii="Arial" w:cs="Arial" w:eastAsia="Arial" w:hAnsi="Arial"/>
          <w:color w:val="333333"/>
          <w:sz w:val="21"/>
          <w:szCs w:val="21"/>
        </w:rPr>
        <w:t xml:space="preserve">Display program duration (6 months), participant count (5-10), and investment range (ZAR 60-120K)</w:t>
      </w:r>
    </w:p>
    <w:p>
      <w:pPr>
        <w:pStyle w:val="ListParagraph"/>
        <w:numPr>
          <w:ilvl w:val="0"/>
          <w:numId w:val="2"/>
        </w:numPr>
        <w:spacing w:after="80" w:line="260"/>
      </w:pPr>
      <w:r>
        <w:rPr>
          <w:rFonts w:ascii="Arial" w:cs="Arial" w:eastAsia="Arial" w:hAnsi="Arial"/>
          <w:color w:val="333333"/>
          <w:sz w:val="21"/>
          <w:szCs w:val="21"/>
        </w:rPr>
        <w:t xml:space="preserve">Clear CTA to Alpha Program page</w:t>
      </w:r>
    </w:p>
    <w:p>
      <w:pPr>
        <w:pStyle w:val="Heading2"/>
        <w:spacing w:before="280" w:after="160"/>
      </w:pPr>
      <w:r>
        <w:rPr>
          <w:rFonts w:ascii="Arial" w:cs="Arial" w:eastAsia="Arial" w:hAnsi="Arial"/>
          <w:b/>
          <w:bCs/>
          <w:color w:val="1A1A1A"/>
          <w:sz w:val="26"/>
          <w:szCs w:val="26"/>
        </w:rPr>
        <w:t xml:space="preserve">8.3 Tier Framework Page Requirements</w:t>
      </w:r>
    </w:p>
    <w:p>
      <w:pPr>
        <w:pStyle w:val="Heading3"/>
        <w:spacing w:before="200" w:after="120"/>
      </w:pPr>
      <w:r>
        <w:rPr>
          <w:rFonts w:ascii="Arial" w:cs="Arial" w:eastAsia="Arial" w:hAnsi="Arial"/>
          <w:b/>
          <w:bCs/>
          <w:color w:val="333333"/>
          <w:sz w:val="22"/>
          <w:szCs w:val="22"/>
        </w:rPr>
        <w:t xml:space="preserve">FR-TIERS-01: Full Tier Detail</w:t>
      </w:r>
    </w:p>
    <w:p>
      <w:pPr>
        <w:pStyle w:val="ListParagraph"/>
        <w:numPr>
          <w:ilvl w:val="0"/>
          <w:numId w:val="2"/>
        </w:numPr>
        <w:spacing w:after="80" w:line="260"/>
      </w:pPr>
      <w:r>
        <w:rPr>
          <w:rFonts w:ascii="Arial" w:cs="Arial" w:eastAsia="Arial" w:hAnsi="Arial"/>
          <w:color w:val="333333"/>
          <w:sz w:val="21"/>
          <w:szCs w:val="21"/>
        </w:rPr>
        <w:t xml:space="preserve">Each tier displayed as a distinct visual card with: colour-coded left border, tier number, title, tagline, full description</w:t>
      </w:r>
    </w:p>
    <w:p>
      <w:pPr>
        <w:pStyle w:val="ListParagraph"/>
        <w:numPr>
          <w:ilvl w:val="0"/>
          <w:numId w:val="2"/>
        </w:numPr>
        <w:spacing w:after="80" w:line="260"/>
      </w:pPr>
      <w:r>
        <w:rPr>
          <w:rFonts w:ascii="Arial" w:cs="Arial" w:eastAsia="Arial" w:hAnsi="Arial"/>
          <w:color w:val="333333"/>
          <w:sz w:val="21"/>
          <w:szCs w:val="21"/>
        </w:rPr>
        <w:t xml:space="preserve">Real-world application examples for each tier (minimum 4 per tier)</w:t>
      </w:r>
    </w:p>
    <w:p>
      <w:pPr>
        <w:pStyle w:val="ListParagraph"/>
        <w:numPr>
          <w:ilvl w:val="0"/>
          <w:numId w:val="2"/>
        </w:numPr>
        <w:spacing w:after="80" w:line="260"/>
      </w:pPr>
      <w:r>
        <w:rPr>
          <w:rFonts w:ascii="Arial" w:cs="Arial" w:eastAsia="Arial" w:hAnsi="Arial"/>
          <w:color w:val="333333"/>
          <w:sz w:val="21"/>
          <w:szCs w:val="21"/>
        </w:rPr>
        <w:t xml:space="preserve">Certification requirements listed for each tier</w:t>
      </w:r>
    </w:p>
    <w:p>
      <w:pPr>
        <w:pStyle w:val="Heading3"/>
        <w:spacing w:before="200" w:after="120"/>
      </w:pPr>
      <w:r>
        <w:rPr>
          <w:rFonts w:ascii="Arial" w:cs="Arial" w:eastAsia="Arial" w:hAnsi="Arial"/>
          <w:b/>
          <w:bCs/>
          <w:color w:val="333333"/>
          <w:sz w:val="22"/>
          <w:szCs w:val="22"/>
        </w:rPr>
        <w:t xml:space="preserve">FR-TIERS-02: Multi-Tier Case Studies</w:t>
      </w:r>
    </w:p>
    <w:p>
      <w:pPr>
        <w:pStyle w:val="ListParagraph"/>
        <w:numPr>
          <w:ilvl w:val="0"/>
          <w:numId w:val="2"/>
        </w:numPr>
        <w:spacing w:after="80" w:line="260"/>
      </w:pPr>
      <w:r>
        <w:rPr>
          <w:rFonts w:ascii="Arial" w:cs="Arial" w:eastAsia="Arial" w:hAnsi="Arial"/>
          <w:color w:val="333333"/>
          <w:sz w:val="21"/>
          <w:szCs w:val="21"/>
        </w:rPr>
        <w:t xml:space="preserve">Display minimum 3 case studies showing how real organisation types use multiple tiers</w:t>
      </w:r>
    </w:p>
    <w:p>
      <w:pPr>
        <w:pStyle w:val="ListParagraph"/>
        <w:numPr>
          <w:ilvl w:val="0"/>
          <w:numId w:val="2"/>
        </w:numPr>
        <w:spacing w:after="80" w:line="260"/>
      </w:pPr>
      <w:r>
        <w:rPr>
          <w:rFonts w:ascii="Arial" w:cs="Arial" w:eastAsia="Arial" w:hAnsi="Arial"/>
          <w:color w:val="333333"/>
          <w:sz w:val="21"/>
          <w:szCs w:val="21"/>
        </w:rPr>
        <w:t xml:space="preserve">Each case study maps specific AI use cases to specific tiers</w:t>
      </w:r>
    </w:p>
    <w:p>
      <w:pPr>
        <w:pStyle w:val="Heading3"/>
        <w:spacing w:before="200" w:after="120"/>
      </w:pPr>
      <w:r>
        <w:rPr>
          <w:rFonts w:ascii="Arial" w:cs="Arial" w:eastAsia="Arial" w:hAnsi="Arial"/>
          <w:b/>
          <w:bCs/>
          <w:color w:val="333333"/>
          <w:sz w:val="22"/>
          <w:szCs w:val="22"/>
        </w:rPr>
        <w:t xml:space="preserve">FR-TIERS-03: Core Principle Statement</w:t>
      </w:r>
    </w:p>
    <w:p>
      <w:pPr>
        <w:pStyle w:val="ListParagraph"/>
        <w:numPr>
          <w:ilvl w:val="0"/>
          <w:numId w:val="2"/>
        </w:numPr>
        <w:spacing w:after="80" w:line="260"/>
      </w:pPr>
      <w:r>
        <w:rPr>
          <w:rFonts w:ascii="Arial" w:cs="Arial" w:eastAsia="Arial" w:hAnsi="Arial"/>
          <w:color w:val="333333"/>
          <w:sz w:val="21"/>
          <w:szCs w:val="21"/>
        </w:rPr>
        <w:t xml:space="preserve">Display AIC's core positioning statement prominently</w:t>
      </w:r>
    </w:p>
    <w:p>
      <w:pPr>
        <w:pStyle w:val="Heading2"/>
        <w:spacing w:before="280" w:after="160"/>
      </w:pPr>
      <w:r>
        <w:rPr>
          <w:rFonts w:ascii="Arial" w:cs="Arial" w:eastAsia="Arial" w:hAnsi="Arial"/>
          <w:b/>
          <w:bCs/>
          <w:color w:val="1A1A1A"/>
          <w:sz w:val="26"/>
          <w:szCs w:val="26"/>
        </w:rPr>
        <w:t xml:space="preserve">8.4 Self-Assessment Tool Requirements</w:t>
      </w:r>
    </w:p>
    <w:p>
      <w:pPr>
        <w:pStyle w:val="Heading3"/>
        <w:spacing w:before="200" w:after="120"/>
      </w:pPr>
      <w:r>
        <w:rPr>
          <w:rFonts w:ascii="Arial" w:cs="Arial" w:eastAsia="Arial" w:hAnsi="Arial"/>
          <w:b/>
          <w:bCs/>
          <w:color w:val="333333"/>
          <w:sz w:val="22"/>
          <w:szCs w:val="22"/>
        </w:rPr>
        <w:t xml:space="preserve">FR-ASSESS-01: Question Engine</w:t>
      </w:r>
    </w:p>
    <w:p>
      <w:pPr>
        <w:pStyle w:val="ListParagraph"/>
        <w:numPr>
          <w:ilvl w:val="0"/>
          <w:numId w:val="2"/>
        </w:numPr>
        <w:spacing w:after="80" w:line="260"/>
      </w:pPr>
      <w:r>
        <w:rPr>
          <w:rFonts w:ascii="Arial" w:cs="Arial" w:eastAsia="Arial" w:hAnsi="Arial"/>
          <w:color w:val="333333"/>
          <w:sz w:val="21"/>
          <w:szCs w:val="21"/>
        </w:rPr>
        <w:t xml:space="preserve">20 questions organised into 4 categories: AI Usage Context (5), Human Oversight (5), Transparency &amp; Explainability (5), Accountability Infrastructure (5)</w:t>
      </w:r>
    </w:p>
    <w:p>
      <w:pPr>
        <w:pStyle w:val="ListParagraph"/>
        <w:numPr>
          <w:ilvl w:val="0"/>
          <w:numId w:val="2"/>
        </w:numPr>
        <w:spacing w:after="80" w:line="260"/>
      </w:pPr>
      <w:r>
        <w:rPr>
          <w:rFonts w:ascii="Arial" w:cs="Arial" w:eastAsia="Arial" w:hAnsi="Arial"/>
          <w:color w:val="333333"/>
          <w:sz w:val="21"/>
          <w:szCs w:val="21"/>
        </w:rPr>
        <w:t xml:space="preserve">Multiple choice format. Single answer per question</w:t>
      </w:r>
    </w:p>
    <w:p>
      <w:pPr>
        <w:pStyle w:val="ListParagraph"/>
        <w:numPr>
          <w:ilvl w:val="0"/>
          <w:numId w:val="2"/>
        </w:numPr>
        <w:spacing w:after="80" w:line="260"/>
      </w:pPr>
      <w:r>
        <w:rPr>
          <w:rFonts w:ascii="Arial" w:cs="Arial" w:eastAsia="Arial" w:hAnsi="Arial"/>
          <w:color w:val="333333"/>
          <w:sz w:val="21"/>
          <w:szCs w:val="21"/>
        </w:rPr>
        <w:t xml:space="preserve">Progress indicator showing current question and percentage complete</w:t>
      </w:r>
    </w:p>
    <w:p>
      <w:pPr>
        <w:pStyle w:val="ListParagraph"/>
        <w:numPr>
          <w:ilvl w:val="0"/>
          <w:numId w:val="2"/>
        </w:numPr>
        <w:spacing w:after="80" w:line="260"/>
      </w:pPr>
      <w:r>
        <w:rPr>
          <w:rFonts w:ascii="Arial" w:cs="Arial" w:eastAsia="Arial" w:hAnsi="Arial"/>
          <w:color w:val="333333"/>
          <w:sz w:val="21"/>
          <w:szCs w:val="21"/>
        </w:rPr>
        <w:t xml:space="preserve">Estimated time remaining displayed</w:t>
      </w:r>
    </w:p>
    <w:p>
      <w:pPr>
        <w:pStyle w:val="ListParagraph"/>
        <w:numPr>
          <w:ilvl w:val="0"/>
          <w:numId w:val="2"/>
        </w:numPr>
        <w:spacing w:after="80" w:line="260"/>
      </w:pPr>
      <w:r>
        <w:rPr>
          <w:rFonts w:ascii="Arial" w:cs="Arial" w:eastAsia="Arial" w:hAnsi="Arial"/>
          <w:color w:val="333333"/>
          <w:sz w:val="21"/>
          <w:szCs w:val="21"/>
        </w:rPr>
        <w:t xml:space="preserve">Save progress locally — user can return and continue without re-answering</w:t>
      </w:r>
    </w:p>
    <w:p>
      <w:pPr>
        <w:pStyle w:val="Heading3"/>
        <w:spacing w:before="200" w:after="120"/>
      </w:pPr>
      <w:r>
        <w:rPr>
          <w:rFonts w:ascii="Arial" w:cs="Arial" w:eastAsia="Arial" w:hAnsi="Arial"/>
          <w:b/>
          <w:bCs/>
          <w:color w:val="333333"/>
          <w:sz w:val="22"/>
          <w:szCs w:val="22"/>
        </w:rPr>
        <w:t xml:space="preserve">FR-ASSESS-02: Email Gate</w:t>
      </w:r>
    </w:p>
    <w:p>
      <w:pPr>
        <w:pStyle w:val="ListParagraph"/>
        <w:numPr>
          <w:ilvl w:val="0"/>
          <w:numId w:val="2"/>
        </w:numPr>
        <w:spacing w:after="80" w:line="260"/>
      </w:pPr>
      <w:r>
        <w:rPr>
          <w:rFonts w:ascii="Arial" w:cs="Arial" w:eastAsia="Arial" w:hAnsi="Arial"/>
          <w:color w:val="333333"/>
          <w:sz w:val="21"/>
          <w:szCs w:val="21"/>
        </w:rPr>
        <w:t xml:space="preserve">At question 15 of 20, display email capture form</w:t>
      </w:r>
    </w:p>
    <w:p>
      <w:pPr>
        <w:pStyle w:val="ListParagraph"/>
        <w:numPr>
          <w:ilvl w:val="0"/>
          <w:numId w:val="2"/>
        </w:numPr>
        <w:spacing w:after="80" w:line="260"/>
      </w:pPr>
      <w:r>
        <w:rPr>
          <w:rFonts w:ascii="Arial" w:cs="Arial" w:eastAsia="Arial" w:hAnsi="Arial"/>
          <w:color w:val="333333"/>
          <w:sz w:val="21"/>
          <w:szCs w:val="21"/>
        </w:rPr>
        <w:t xml:space="preserve">Collect: email (required), company name (optional), job title (optional)</w:t>
      </w:r>
    </w:p>
    <w:p>
      <w:pPr>
        <w:pStyle w:val="ListParagraph"/>
        <w:numPr>
          <w:ilvl w:val="0"/>
          <w:numId w:val="2"/>
        </w:numPr>
        <w:spacing w:after="80" w:line="260"/>
      </w:pPr>
      <w:r>
        <w:rPr>
          <w:rFonts w:ascii="Arial" w:cs="Arial" w:eastAsia="Arial" w:hAnsi="Arial"/>
          <w:color w:val="333333"/>
          <w:sz w:val="21"/>
          <w:szCs w:val="21"/>
        </w:rPr>
        <w:t xml:space="preserve">User must provide email to continue to questions 16-20 and see full results</w:t>
      </w:r>
    </w:p>
    <w:p>
      <w:pPr>
        <w:pStyle w:val="ListParagraph"/>
        <w:numPr>
          <w:ilvl w:val="0"/>
          <w:numId w:val="2"/>
        </w:numPr>
        <w:spacing w:after="80" w:line="260"/>
      </w:pPr>
      <w:r>
        <w:rPr>
          <w:rFonts w:ascii="Arial" w:cs="Arial" w:eastAsia="Arial" w:hAnsi="Arial"/>
          <w:color w:val="333333"/>
          <w:sz w:val="21"/>
          <w:szCs w:val="21"/>
        </w:rPr>
        <w:t xml:space="preserve">If user declines email, show partial results only (tier recommendation without Integrity Score breakdown)</w:t>
      </w:r>
    </w:p>
    <w:p>
      <w:pPr>
        <w:pStyle w:val="Heading3"/>
        <w:spacing w:before="200" w:after="120"/>
      </w:pPr>
      <w:r>
        <w:rPr>
          <w:rFonts w:ascii="Arial" w:cs="Arial" w:eastAsia="Arial" w:hAnsi="Arial"/>
          <w:b/>
          <w:bCs/>
          <w:color w:val="333333"/>
          <w:sz w:val="22"/>
          <w:szCs w:val="22"/>
        </w:rPr>
        <w:t xml:space="preserve">FR-ASSESS-03: Results Engine</w:t>
      </w:r>
    </w:p>
    <w:p>
      <w:pPr>
        <w:pStyle w:val="ListParagraph"/>
        <w:numPr>
          <w:ilvl w:val="0"/>
          <w:numId w:val="2"/>
        </w:numPr>
        <w:spacing w:after="80" w:line="260"/>
      </w:pPr>
      <w:r>
        <w:rPr>
          <w:rFonts w:ascii="Arial" w:cs="Arial" w:eastAsia="Arial" w:hAnsi="Arial"/>
          <w:color w:val="333333"/>
          <w:sz w:val="21"/>
          <w:szCs w:val="21"/>
        </w:rPr>
        <w:t xml:space="preserve">Calculate primary tier recommendation based on weighted scoring algorithm</w:t>
      </w:r>
    </w:p>
    <w:p>
      <w:pPr>
        <w:pStyle w:val="ListParagraph"/>
        <w:numPr>
          <w:ilvl w:val="0"/>
          <w:numId w:val="2"/>
        </w:numPr>
        <w:spacing w:after="80" w:line="260"/>
      </w:pPr>
      <w:r>
        <w:rPr>
          <w:rFonts w:ascii="Arial" w:cs="Arial" w:eastAsia="Arial" w:hAnsi="Arial"/>
          <w:color w:val="333333"/>
          <w:sz w:val="21"/>
          <w:szCs w:val="21"/>
        </w:rPr>
        <w:t xml:space="preserve">Calculate preliminary Integrity Score (0-100) based on accountability infrastructure responses</w:t>
      </w:r>
    </w:p>
    <w:p>
      <w:pPr>
        <w:pStyle w:val="ListParagraph"/>
        <w:numPr>
          <w:ilvl w:val="0"/>
          <w:numId w:val="2"/>
        </w:numPr>
        <w:spacing w:after="80" w:line="260"/>
      </w:pPr>
      <w:r>
        <w:rPr>
          <w:rFonts w:ascii="Arial" w:cs="Arial" w:eastAsia="Arial" w:hAnsi="Arial"/>
          <w:color w:val="333333"/>
          <w:sz w:val="21"/>
          <w:szCs w:val="21"/>
        </w:rPr>
        <w:t xml:space="preserve">Identify whether organisation likely needs multi-tier certification</w:t>
      </w:r>
    </w:p>
    <w:p>
      <w:pPr>
        <w:pStyle w:val="ListParagraph"/>
        <w:numPr>
          <w:ilvl w:val="0"/>
          <w:numId w:val="2"/>
        </w:numPr>
        <w:spacing w:after="80" w:line="260"/>
      </w:pPr>
      <w:r>
        <w:rPr>
          <w:rFonts w:ascii="Arial" w:cs="Arial" w:eastAsia="Arial" w:hAnsi="Arial"/>
          <w:color w:val="333333"/>
          <w:sz w:val="21"/>
          <w:szCs w:val="21"/>
        </w:rPr>
        <w:t xml:space="preserve">Display relevant case study based on industry and tier match</w:t>
      </w:r>
    </w:p>
    <w:p>
      <w:pPr>
        <w:pStyle w:val="Heading3"/>
        <w:spacing w:before="200" w:after="120"/>
      </w:pPr>
      <w:r>
        <w:rPr>
          <w:rFonts w:ascii="Arial" w:cs="Arial" w:eastAsia="Arial" w:hAnsi="Arial"/>
          <w:b/>
          <w:bCs/>
          <w:color w:val="333333"/>
          <w:sz w:val="22"/>
          <w:szCs w:val="22"/>
        </w:rPr>
        <w:t xml:space="preserve">FR-ASSESS-04: Results Page</w:t>
      </w:r>
    </w:p>
    <w:p>
      <w:pPr>
        <w:pStyle w:val="ListParagraph"/>
        <w:numPr>
          <w:ilvl w:val="0"/>
          <w:numId w:val="2"/>
        </w:numPr>
        <w:spacing w:after="80" w:line="260"/>
      </w:pPr>
      <w:r>
        <w:rPr>
          <w:rFonts w:ascii="Arial" w:cs="Arial" w:eastAsia="Arial" w:hAnsi="Arial"/>
          <w:color w:val="333333"/>
          <w:sz w:val="21"/>
          <w:szCs w:val="21"/>
        </w:rPr>
        <w:t xml:space="preserve">Display Integrity Score as visual gauge</w:t>
      </w:r>
    </w:p>
    <w:p>
      <w:pPr>
        <w:pStyle w:val="ListParagraph"/>
        <w:numPr>
          <w:ilvl w:val="0"/>
          <w:numId w:val="2"/>
        </w:numPr>
        <w:spacing w:after="80" w:line="260"/>
      </w:pPr>
      <w:r>
        <w:rPr>
          <w:rFonts w:ascii="Arial" w:cs="Arial" w:eastAsia="Arial" w:hAnsi="Arial"/>
          <w:color w:val="333333"/>
          <w:sz w:val="21"/>
          <w:szCs w:val="21"/>
        </w:rPr>
        <w:t xml:space="preserve">Display primary tier recommendation with explanation</w:t>
      </w:r>
    </w:p>
    <w:p>
      <w:pPr>
        <w:pStyle w:val="ListParagraph"/>
        <w:numPr>
          <w:ilvl w:val="0"/>
          <w:numId w:val="2"/>
        </w:numPr>
        <w:spacing w:after="80" w:line="260"/>
      </w:pPr>
      <w:r>
        <w:rPr>
          <w:rFonts w:ascii="Arial" w:cs="Arial" w:eastAsia="Arial" w:hAnsi="Arial"/>
          <w:color w:val="333333"/>
          <w:sz w:val="21"/>
          <w:szCs w:val="21"/>
        </w:rPr>
        <w:t xml:space="preserve">Display score breakdown by category</w:t>
      </w:r>
    </w:p>
    <w:p>
      <w:pPr>
        <w:pStyle w:val="ListParagraph"/>
        <w:numPr>
          <w:ilvl w:val="0"/>
          <w:numId w:val="2"/>
        </w:numPr>
        <w:spacing w:after="80" w:line="260"/>
      </w:pPr>
      <w:r>
        <w:rPr>
          <w:rFonts w:ascii="Arial" w:cs="Arial" w:eastAsia="Arial" w:hAnsi="Arial"/>
          <w:color w:val="333333"/>
          <w:sz w:val="21"/>
          <w:szCs w:val="21"/>
        </w:rPr>
        <w:t xml:space="preserve">Display 3 immediate action recommendations based on identified gaps</w:t>
      </w:r>
    </w:p>
    <w:p>
      <w:pPr>
        <w:pStyle w:val="ListParagraph"/>
        <w:numPr>
          <w:ilvl w:val="0"/>
          <w:numId w:val="2"/>
        </w:numPr>
        <w:spacing w:after="80" w:line="260"/>
      </w:pPr>
      <w:r>
        <w:rPr>
          <w:rFonts w:ascii="Arial" w:cs="Arial" w:eastAsia="Arial" w:hAnsi="Arial"/>
          <w:color w:val="333333"/>
          <w:sz w:val="21"/>
          <w:szCs w:val="21"/>
        </w:rPr>
        <w:t xml:space="preserve">Display estimated certification timeline and cost range</w:t>
      </w:r>
    </w:p>
    <w:p>
      <w:pPr>
        <w:pStyle w:val="ListParagraph"/>
        <w:numPr>
          <w:ilvl w:val="0"/>
          <w:numId w:val="2"/>
        </w:numPr>
        <w:spacing w:after="80" w:line="260"/>
      </w:pPr>
      <w:r>
        <w:rPr>
          <w:rFonts w:ascii="Arial" w:cs="Arial" w:eastAsia="Arial" w:hAnsi="Arial"/>
          <w:color w:val="333333"/>
          <w:sz w:val="21"/>
          <w:szCs w:val="21"/>
        </w:rPr>
        <w:t xml:space="preserve">Three CTAs: Schedule Consultation, Download Full Report (PDF), Join Alpha Program</w:t>
      </w:r>
    </w:p>
    <w:p>
      <w:pPr>
        <w:pStyle w:val="Heading3"/>
        <w:spacing w:before="200" w:after="120"/>
      </w:pPr>
      <w:r>
        <w:rPr>
          <w:rFonts w:ascii="Arial" w:cs="Arial" w:eastAsia="Arial" w:hAnsi="Arial"/>
          <w:b/>
          <w:bCs/>
          <w:color w:val="333333"/>
          <w:sz w:val="22"/>
          <w:szCs w:val="22"/>
        </w:rPr>
        <w:t xml:space="preserve">FR-ASSESS-05: PDF Report</w:t>
      </w:r>
    </w:p>
    <w:p>
      <w:pPr>
        <w:pStyle w:val="ListParagraph"/>
        <w:numPr>
          <w:ilvl w:val="0"/>
          <w:numId w:val="2"/>
        </w:numPr>
        <w:spacing w:after="80" w:line="260"/>
      </w:pPr>
      <w:r>
        <w:rPr>
          <w:rFonts w:ascii="Arial" w:cs="Arial" w:eastAsia="Arial" w:hAnsi="Arial"/>
          <w:color w:val="333333"/>
          <w:sz w:val="21"/>
          <w:szCs w:val="21"/>
        </w:rPr>
        <w:t xml:space="preserve">Generate downloadable PDF report including: executive summary, Integrity Score, tier recommendation, gap analysis, recommended next steps</w:t>
      </w:r>
    </w:p>
    <w:p>
      <w:pPr>
        <w:pStyle w:val="ListParagraph"/>
        <w:numPr>
          <w:ilvl w:val="0"/>
          <w:numId w:val="2"/>
        </w:numPr>
        <w:spacing w:after="80" w:line="260"/>
      </w:pPr>
      <w:r>
        <w:rPr>
          <w:rFonts w:ascii="Arial" w:cs="Arial" w:eastAsia="Arial" w:hAnsi="Arial"/>
          <w:color w:val="333333"/>
          <w:sz w:val="21"/>
          <w:szCs w:val="21"/>
        </w:rPr>
        <w:t xml:space="preserve">Report branded with AIC identity</w:t>
      </w:r>
    </w:p>
    <w:p>
      <w:r>
        <w:br w:type="page"/>
      </w:r>
    </w:p>
    <w:p>
      <w:pPr>
        <w:pStyle w:val="Heading2"/>
        <w:spacing w:before="280" w:after="160"/>
      </w:pPr>
      <w:r>
        <w:rPr>
          <w:rFonts w:ascii="Arial" w:cs="Arial" w:eastAsia="Arial" w:hAnsi="Arial"/>
          <w:b/>
          <w:bCs/>
          <w:color w:val="1A1A1A"/>
          <w:sz w:val="26"/>
          <w:szCs w:val="26"/>
        </w:rPr>
        <w:t xml:space="preserve">8.5 Alpha Program Page Requirements</w:t>
      </w:r>
    </w:p>
    <w:p>
      <w:pPr>
        <w:pStyle w:val="Heading3"/>
        <w:spacing w:before="200" w:after="120"/>
      </w:pPr>
      <w:r>
        <w:rPr>
          <w:rFonts w:ascii="Arial" w:cs="Arial" w:eastAsia="Arial" w:hAnsi="Arial"/>
          <w:b/>
          <w:bCs/>
          <w:color w:val="333333"/>
          <w:sz w:val="22"/>
          <w:szCs w:val="22"/>
        </w:rPr>
        <w:t xml:space="preserve">FR-ALPHA-01: Program Information</w:t>
      </w:r>
    </w:p>
    <w:p>
      <w:pPr>
        <w:pStyle w:val="ListParagraph"/>
        <w:numPr>
          <w:ilvl w:val="0"/>
          <w:numId w:val="2"/>
        </w:numPr>
        <w:spacing w:after="80" w:line="260"/>
      </w:pPr>
      <w:r>
        <w:rPr>
          <w:rFonts w:ascii="Arial" w:cs="Arial" w:eastAsia="Arial" w:hAnsi="Arial"/>
          <w:color w:val="333333"/>
          <w:sz w:val="21"/>
          <w:szCs w:val="21"/>
        </w:rPr>
        <w:t xml:space="preserve">Display program objectives, structure, duration, and pricing</w:t>
      </w:r>
    </w:p>
    <w:p>
      <w:pPr>
        <w:pStyle w:val="ListParagraph"/>
        <w:numPr>
          <w:ilvl w:val="0"/>
          <w:numId w:val="2"/>
        </w:numPr>
        <w:spacing w:after="80" w:line="260"/>
      </w:pPr>
      <w:r>
        <w:rPr>
          <w:rFonts w:ascii="Arial" w:cs="Arial" w:eastAsia="Arial" w:hAnsi="Arial"/>
          <w:color w:val="333333"/>
          <w:sz w:val="21"/>
          <w:szCs w:val="21"/>
        </w:rPr>
        <w:t xml:space="preserve">Display what participants receive: Alpha Certification, free upgrade to SANAS-accredited certification, case study inclusion</w:t>
      </w:r>
    </w:p>
    <w:p>
      <w:pPr>
        <w:pStyle w:val="ListParagraph"/>
        <w:numPr>
          <w:ilvl w:val="0"/>
          <w:numId w:val="2"/>
        </w:numPr>
        <w:spacing w:after="80" w:line="260"/>
      </w:pPr>
      <w:r>
        <w:rPr>
          <w:rFonts w:ascii="Arial" w:cs="Arial" w:eastAsia="Arial" w:hAnsi="Arial"/>
          <w:color w:val="333333"/>
          <w:sz w:val="21"/>
          <w:szCs w:val="21"/>
        </w:rPr>
        <w:t xml:space="preserve">Display eligibility criteria: must currently deploy AI in consequential decisions</w:t>
      </w:r>
    </w:p>
    <w:p>
      <w:pPr>
        <w:pStyle w:val="Heading3"/>
        <w:spacing w:before="200" w:after="120"/>
      </w:pPr>
      <w:r>
        <w:rPr>
          <w:rFonts w:ascii="Arial" w:cs="Arial" w:eastAsia="Arial" w:hAnsi="Arial"/>
          <w:b/>
          <w:bCs/>
          <w:color w:val="333333"/>
          <w:sz w:val="22"/>
          <w:szCs w:val="22"/>
        </w:rPr>
        <w:t xml:space="preserve">FR-ALPHA-02: Application Form</w:t>
      </w:r>
    </w:p>
    <w:p>
      <w:pPr>
        <w:pStyle w:val="ListParagraph"/>
        <w:numPr>
          <w:ilvl w:val="0"/>
          <w:numId w:val="2"/>
        </w:numPr>
        <w:spacing w:after="80" w:line="260"/>
      </w:pPr>
      <w:r>
        <w:rPr>
          <w:rFonts w:ascii="Arial" w:cs="Arial" w:eastAsia="Arial" w:hAnsi="Arial"/>
          <w:color w:val="333333"/>
          <w:sz w:val="21"/>
          <w:szCs w:val="21"/>
        </w:rPr>
        <w:t xml:space="preserve">Collect: full name, email, job title, organisation name, organisation size, industry sector</w:t>
      </w:r>
    </w:p>
    <w:p>
      <w:pPr>
        <w:pStyle w:val="ListParagraph"/>
        <w:numPr>
          <w:ilvl w:val="0"/>
          <w:numId w:val="2"/>
        </w:numPr>
        <w:spacing w:after="80" w:line="260"/>
      </w:pPr>
      <w:r>
        <w:rPr>
          <w:rFonts w:ascii="Arial" w:cs="Arial" w:eastAsia="Arial" w:hAnsi="Arial"/>
          <w:color w:val="333333"/>
          <w:sz w:val="21"/>
          <w:szCs w:val="21"/>
        </w:rPr>
        <w:t xml:space="preserve">Collect: description of current AI use cases (text area)</w:t>
      </w:r>
    </w:p>
    <w:p>
      <w:pPr>
        <w:pStyle w:val="ListParagraph"/>
        <w:numPr>
          <w:ilvl w:val="0"/>
          <w:numId w:val="2"/>
        </w:numPr>
        <w:spacing w:after="80" w:line="260"/>
      </w:pPr>
      <w:r>
        <w:rPr>
          <w:rFonts w:ascii="Arial" w:cs="Arial" w:eastAsia="Arial" w:hAnsi="Arial"/>
          <w:color w:val="333333"/>
          <w:sz w:val="21"/>
          <w:szCs w:val="21"/>
        </w:rPr>
        <w:t xml:space="preserve">Collect: which tiers they believe apply (checkboxes for Tier 1, 2, 3)</w:t>
      </w:r>
    </w:p>
    <w:p>
      <w:pPr>
        <w:pStyle w:val="ListParagraph"/>
        <w:numPr>
          <w:ilvl w:val="0"/>
          <w:numId w:val="2"/>
        </w:numPr>
        <w:spacing w:after="80" w:line="260"/>
      </w:pPr>
      <w:r>
        <w:rPr>
          <w:rFonts w:ascii="Arial" w:cs="Arial" w:eastAsia="Arial" w:hAnsi="Arial"/>
          <w:color w:val="333333"/>
          <w:sz w:val="21"/>
          <w:szCs w:val="21"/>
        </w:rPr>
        <w:t xml:space="preserve">Collect: how they heard about AIC (dropdown)</w:t>
      </w:r>
    </w:p>
    <w:p>
      <w:pPr>
        <w:pStyle w:val="ListParagraph"/>
        <w:numPr>
          <w:ilvl w:val="0"/>
          <w:numId w:val="2"/>
        </w:numPr>
        <w:spacing w:after="80" w:line="260"/>
      </w:pPr>
      <w:r>
        <w:rPr>
          <w:rFonts w:ascii="Arial" w:cs="Arial" w:eastAsia="Arial" w:hAnsi="Arial"/>
          <w:color w:val="333333"/>
          <w:sz w:val="21"/>
          <w:szCs w:val="21"/>
        </w:rPr>
        <w:t xml:space="preserve">Form validation: all required fields enforced client-side and server-side</w:t>
      </w:r>
    </w:p>
    <w:p>
      <w:pPr>
        <w:pStyle w:val="ListParagraph"/>
        <w:numPr>
          <w:ilvl w:val="0"/>
          <w:numId w:val="2"/>
        </w:numPr>
        <w:spacing w:after="80" w:line="260"/>
      </w:pPr>
      <w:r>
        <w:rPr>
          <w:rFonts w:ascii="Arial" w:cs="Arial" w:eastAsia="Arial" w:hAnsi="Arial"/>
          <w:color w:val="333333"/>
          <w:sz w:val="21"/>
          <w:szCs w:val="21"/>
        </w:rPr>
        <w:t xml:space="preserve">On submission: display confirmation message with expected response timeline</w:t>
      </w:r>
    </w:p>
    <w:p>
      <w:pPr>
        <w:pStyle w:val="ListParagraph"/>
        <w:numPr>
          <w:ilvl w:val="0"/>
          <w:numId w:val="2"/>
        </w:numPr>
        <w:spacing w:after="80" w:line="260"/>
      </w:pPr>
      <w:r>
        <w:rPr>
          <w:rFonts w:ascii="Arial" w:cs="Arial" w:eastAsia="Arial" w:hAnsi="Arial"/>
          <w:color w:val="333333"/>
          <w:sz w:val="21"/>
          <w:szCs w:val="21"/>
        </w:rPr>
        <w:t xml:space="preserve">Form data POSTs to configurable API endpoint (swap from third-party to proprietary when backend is ready)</w:t>
      </w:r>
    </w:p>
    <w:p>
      <w:pPr>
        <w:pStyle w:val="Heading2"/>
        <w:spacing w:before="280" w:after="160"/>
      </w:pPr>
      <w:r>
        <w:rPr>
          <w:rFonts w:ascii="Arial" w:cs="Arial" w:eastAsia="Arial" w:hAnsi="Arial"/>
          <w:b/>
          <w:bCs/>
          <w:color w:val="1A1A1A"/>
          <w:sz w:val="26"/>
          <w:szCs w:val="26"/>
        </w:rPr>
        <w:t xml:space="preserve">8.6 Contact Page Requirements</w:t>
      </w:r>
    </w:p>
    <w:p>
      <w:pPr>
        <w:pStyle w:val="Heading3"/>
        <w:spacing w:before="200" w:after="120"/>
      </w:pPr>
      <w:r>
        <w:rPr>
          <w:rFonts w:ascii="Arial" w:cs="Arial" w:eastAsia="Arial" w:hAnsi="Arial"/>
          <w:b/>
          <w:bCs/>
          <w:color w:val="333333"/>
          <w:sz w:val="22"/>
          <w:szCs w:val="22"/>
        </w:rPr>
        <w:t xml:space="preserve">FR-CONTACT-01: Form Types</w:t>
      </w:r>
    </w:p>
    <w:p>
      <w:pPr>
        <w:pStyle w:val="ListParagraph"/>
        <w:numPr>
          <w:ilvl w:val="0"/>
          <w:numId w:val="2"/>
        </w:numPr>
        <w:spacing w:after="80" w:line="260"/>
      </w:pPr>
      <w:r>
        <w:rPr>
          <w:rFonts w:ascii="Arial" w:cs="Arial" w:eastAsia="Arial" w:hAnsi="Arial"/>
          <w:color w:val="333333"/>
          <w:sz w:val="21"/>
          <w:szCs w:val="21"/>
        </w:rPr>
        <w:t xml:space="preserve">General inquiry form</w:t>
      </w:r>
    </w:p>
    <w:p>
      <w:pPr>
        <w:pStyle w:val="ListParagraph"/>
        <w:numPr>
          <w:ilvl w:val="0"/>
          <w:numId w:val="2"/>
        </w:numPr>
        <w:spacing w:after="80" w:line="260"/>
      </w:pPr>
      <w:r>
        <w:rPr>
          <w:rFonts w:ascii="Arial" w:cs="Arial" w:eastAsia="Arial" w:hAnsi="Arial"/>
          <w:color w:val="333333"/>
          <w:sz w:val="21"/>
          <w:szCs w:val="21"/>
        </w:rPr>
        <w:t xml:space="preserve">Partnership inquiry form (separate fields for organisation type, partnership interest)</w:t>
      </w:r>
    </w:p>
    <w:p>
      <w:pPr>
        <w:pStyle w:val="ListParagraph"/>
        <w:numPr>
          <w:ilvl w:val="0"/>
          <w:numId w:val="2"/>
        </w:numPr>
        <w:spacing w:after="80" w:line="260"/>
      </w:pPr>
      <w:r>
        <w:rPr>
          <w:rFonts w:ascii="Arial" w:cs="Arial" w:eastAsia="Arial" w:hAnsi="Arial"/>
          <w:color w:val="333333"/>
          <w:sz w:val="21"/>
          <w:szCs w:val="21"/>
        </w:rPr>
        <w:t xml:space="preserve">Media request form</w:t>
      </w:r>
    </w:p>
    <w:p>
      <w:pPr>
        <w:pStyle w:val="Heading3"/>
        <w:spacing w:before="200" w:after="120"/>
      </w:pPr>
      <w:r>
        <w:rPr>
          <w:rFonts w:ascii="Arial" w:cs="Arial" w:eastAsia="Arial" w:hAnsi="Arial"/>
          <w:b/>
          <w:bCs/>
          <w:color w:val="333333"/>
          <w:sz w:val="22"/>
          <w:szCs w:val="22"/>
        </w:rPr>
        <w:t xml:space="preserve">FR-CONTACT-02: Form Behaviour</w:t>
      </w:r>
    </w:p>
    <w:p>
      <w:pPr>
        <w:pStyle w:val="ListParagraph"/>
        <w:numPr>
          <w:ilvl w:val="0"/>
          <w:numId w:val="2"/>
        </w:numPr>
        <w:spacing w:after="80" w:line="260"/>
      </w:pPr>
      <w:r>
        <w:rPr>
          <w:rFonts w:ascii="Arial" w:cs="Arial" w:eastAsia="Arial" w:hAnsi="Arial"/>
          <w:color w:val="333333"/>
          <w:sz w:val="21"/>
          <w:szCs w:val="21"/>
        </w:rPr>
        <w:t xml:space="preserve">Client-side validation with clear error messaging</w:t>
      </w:r>
    </w:p>
    <w:p>
      <w:pPr>
        <w:pStyle w:val="ListParagraph"/>
        <w:numPr>
          <w:ilvl w:val="0"/>
          <w:numId w:val="2"/>
        </w:numPr>
        <w:spacing w:after="80" w:line="260"/>
      </w:pPr>
      <w:r>
        <w:rPr>
          <w:rFonts w:ascii="Arial" w:cs="Arial" w:eastAsia="Arial" w:hAnsi="Arial"/>
          <w:color w:val="333333"/>
          <w:sz w:val="21"/>
          <w:szCs w:val="21"/>
        </w:rPr>
        <w:t xml:space="preserve">Honeypot field for spam prevention</w:t>
      </w:r>
    </w:p>
    <w:p>
      <w:pPr>
        <w:pStyle w:val="ListParagraph"/>
        <w:numPr>
          <w:ilvl w:val="0"/>
          <w:numId w:val="2"/>
        </w:numPr>
        <w:spacing w:after="80" w:line="260"/>
      </w:pPr>
      <w:r>
        <w:rPr>
          <w:rFonts w:ascii="Arial" w:cs="Arial" w:eastAsia="Arial" w:hAnsi="Arial"/>
          <w:color w:val="333333"/>
          <w:sz w:val="21"/>
          <w:szCs w:val="21"/>
        </w:rPr>
        <w:t xml:space="preserve">Success state displayed on submission</w:t>
      </w:r>
    </w:p>
    <w:p>
      <w:pPr>
        <w:pStyle w:val="ListParagraph"/>
        <w:numPr>
          <w:ilvl w:val="0"/>
          <w:numId w:val="2"/>
        </w:numPr>
        <w:spacing w:after="80" w:line="260"/>
      </w:pPr>
      <w:r>
        <w:rPr>
          <w:rFonts w:ascii="Arial" w:cs="Arial" w:eastAsia="Arial" w:hAnsi="Arial"/>
          <w:color w:val="333333"/>
          <w:sz w:val="21"/>
          <w:szCs w:val="21"/>
        </w:rPr>
        <w:t xml:space="preserve">Form data POSTs to configurable endpoint</w:t>
      </w:r>
    </w:p>
    <w:p>
      <w:pPr>
        <w:pStyle w:val="Heading2"/>
        <w:spacing w:before="280" w:after="160"/>
      </w:pPr>
      <w:r>
        <w:rPr>
          <w:rFonts w:ascii="Arial" w:cs="Arial" w:eastAsia="Arial" w:hAnsi="Arial"/>
          <w:b/>
          <w:bCs/>
          <w:color w:val="1A1A1A"/>
          <w:sz w:val="26"/>
          <w:szCs w:val="26"/>
        </w:rPr>
        <w:t xml:space="preserve">8.7 Resources / Blog Requirements</w:t>
      </w:r>
    </w:p>
    <w:p>
      <w:pPr>
        <w:pStyle w:val="Heading3"/>
        <w:spacing w:before="200" w:after="120"/>
      </w:pPr>
      <w:r>
        <w:rPr>
          <w:rFonts w:ascii="Arial" w:cs="Arial" w:eastAsia="Arial" w:hAnsi="Arial"/>
          <w:b/>
          <w:bCs/>
          <w:color w:val="333333"/>
          <w:sz w:val="22"/>
          <w:szCs w:val="22"/>
        </w:rPr>
        <w:t xml:space="preserve">FR-RESOURCES-01: Blog Infrastructure</w:t>
      </w:r>
    </w:p>
    <w:p>
      <w:pPr>
        <w:pStyle w:val="ListParagraph"/>
        <w:numPr>
          <w:ilvl w:val="0"/>
          <w:numId w:val="2"/>
        </w:numPr>
        <w:spacing w:after="80" w:line="260"/>
      </w:pPr>
      <w:r>
        <w:rPr>
          <w:rFonts w:ascii="Arial" w:cs="Arial" w:eastAsia="Arial" w:hAnsi="Arial"/>
          <w:color w:val="333333"/>
          <w:sz w:val="21"/>
          <w:szCs w:val="21"/>
        </w:rPr>
        <w:t xml:space="preserve">Blog index page with posts displayed in reverse chronological order</w:t>
      </w:r>
    </w:p>
    <w:p>
      <w:pPr>
        <w:pStyle w:val="ListParagraph"/>
        <w:numPr>
          <w:ilvl w:val="0"/>
          <w:numId w:val="2"/>
        </w:numPr>
        <w:spacing w:after="80" w:line="260"/>
      </w:pPr>
      <w:r>
        <w:rPr>
          <w:rFonts w:ascii="Arial" w:cs="Arial" w:eastAsia="Arial" w:hAnsi="Arial"/>
          <w:color w:val="333333"/>
          <w:sz w:val="21"/>
          <w:szCs w:val="21"/>
        </w:rPr>
        <w:t xml:space="preserve">Each post has: title, date, author, excerpt, full body, tags</w:t>
      </w:r>
    </w:p>
    <w:p>
      <w:pPr>
        <w:pStyle w:val="ListParagraph"/>
        <w:numPr>
          <w:ilvl w:val="0"/>
          <w:numId w:val="2"/>
        </w:numPr>
        <w:spacing w:after="80" w:line="260"/>
      </w:pPr>
      <w:r>
        <w:rPr>
          <w:rFonts w:ascii="Arial" w:cs="Arial" w:eastAsia="Arial" w:hAnsi="Arial"/>
          <w:color w:val="333333"/>
          <w:sz w:val="21"/>
          <w:szCs w:val="21"/>
        </w:rPr>
        <w:t xml:space="preserve">Tag-based filtering</w:t>
      </w:r>
    </w:p>
    <w:p>
      <w:pPr>
        <w:pStyle w:val="ListParagraph"/>
        <w:numPr>
          <w:ilvl w:val="0"/>
          <w:numId w:val="2"/>
        </w:numPr>
        <w:spacing w:after="80" w:line="260"/>
      </w:pPr>
      <w:r>
        <w:rPr>
          <w:rFonts w:ascii="Arial" w:cs="Arial" w:eastAsia="Arial" w:hAnsi="Arial"/>
          <w:color w:val="333333"/>
          <w:sz w:val="21"/>
          <w:szCs w:val="21"/>
        </w:rPr>
        <w:t xml:space="preserve">Related posts suggested at bottom of each article</w:t>
      </w:r>
    </w:p>
    <w:p>
      <w:pPr>
        <w:pStyle w:val="Heading3"/>
        <w:spacing w:before="200" w:after="120"/>
      </w:pPr>
      <w:r>
        <w:rPr>
          <w:rFonts w:ascii="Arial" w:cs="Arial" w:eastAsia="Arial" w:hAnsi="Arial"/>
          <w:b/>
          <w:bCs/>
          <w:color w:val="333333"/>
          <w:sz w:val="22"/>
          <w:szCs w:val="22"/>
        </w:rPr>
        <w:t xml:space="preserve">FR-RESOURCES-02: Initial Content</w:t>
      </w:r>
    </w:p>
    <w:p>
      <w:pPr>
        <w:pStyle w:val="ListParagraph"/>
        <w:numPr>
          <w:ilvl w:val="0"/>
          <w:numId w:val="2"/>
        </w:numPr>
        <w:spacing w:after="80" w:line="260"/>
      </w:pPr>
      <w:r>
        <w:rPr>
          <w:rFonts w:ascii="Arial" w:cs="Arial" w:eastAsia="Arial" w:hAnsi="Arial"/>
          <w:color w:val="333333"/>
          <w:sz w:val="21"/>
          <w:szCs w:val="21"/>
        </w:rPr>
        <w:t xml:space="preserve">Minimum 3 blog posts at launch covering: POPIA Section 71 explainer, ISO 42001 vs AIC comparison, AI bias in hiring (Workday case analysis)</w:t>
      </w:r>
    </w:p>
    <w:p>
      <w:r>
        <w:br w:type="page"/>
      </w:r>
    </w:p>
    <w:p>
      <w:pPr>
        <w:pStyle w:val="Heading1"/>
        <w:spacing w:before="360" w:after="200"/>
      </w:pPr>
      <w:r>
        <w:rPr>
          <w:rFonts w:ascii="Arial" w:cs="Arial" w:eastAsia="Arial" w:hAnsi="Arial"/>
          <w:b/>
          <w:bCs/>
          <w:color w:val="1A1A1A"/>
          <w:sz w:val="32"/>
          <w:szCs w:val="32"/>
        </w:rPr>
        <w:t xml:space="preserve">9. Non-Functional Requirements</w:t>
      </w:r>
    </w:p>
    <w:p>
      <w:pPr>
        <w:pStyle w:val="Heading2"/>
        <w:spacing w:before="280" w:after="160"/>
      </w:pPr>
      <w:r>
        <w:rPr>
          <w:rFonts w:ascii="Arial" w:cs="Arial" w:eastAsia="Arial" w:hAnsi="Arial"/>
          <w:b/>
          <w:bCs/>
          <w:color w:val="1A1A1A"/>
          <w:sz w:val="26"/>
          <w:szCs w:val="26"/>
        </w:rPr>
        <w:t xml:space="preserve">9.1 Performance</w:t>
      </w:r>
    </w:p>
    <w:p>
      <w:pPr>
        <w:pStyle w:val="ListParagraph"/>
        <w:numPr>
          <w:ilvl w:val="0"/>
          <w:numId w:val="2"/>
        </w:numPr>
        <w:spacing w:after="80" w:line="260"/>
      </w:pPr>
      <w:r>
        <w:rPr>
          <w:rFonts w:ascii="Arial" w:cs="Arial" w:eastAsia="Arial" w:hAnsi="Arial"/>
          <w:color w:val="333333"/>
          <w:sz w:val="21"/>
          <w:szCs w:val="21"/>
        </w:rPr>
        <w:t xml:space="preserve">Core Web Vitals: Largest Contentful Paint (LCP) &lt; 2.5 seconds</w:t>
      </w:r>
    </w:p>
    <w:p>
      <w:pPr>
        <w:pStyle w:val="ListParagraph"/>
        <w:numPr>
          <w:ilvl w:val="0"/>
          <w:numId w:val="2"/>
        </w:numPr>
        <w:spacing w:after="80" w:line="260"/>
      </w:pPr>
      <w:r>
        <w:rPr>
          <w:rFonts w:ascii="Arial" w:cs="Arial" w:eastAsia="Arial" w:hAnsi="Arial"/>
          <w:color w:val="333333"/>
          <w:sz w:val="21"/>
          <w:szCs w:val="21"/>
        </w:rPr>
        <w:t xml:space="preserve">First Input Delay (FID) &lt; 100ms</w:t>
      </w:r>
    </w:p>
    <w:p>
      <w:pPr>
        <w:pStyle w:val="ListParagraph"/>
        <w:numPr>
          <w:ilvl w:val="0"/>
          <w:numId w:val="2"/>
        </w:numPr>
        <w:spacing w:after="80" w:line="260"/>
      </w:pPr>
      <w:r>
        <w:rPr>
          <w:rFonts w:ascii="Arial" w:cs="Arial" w:eastAsia="Arial" w:hAnsi="Arial"/>
          <w:color w:val="333333"/>
          <w:sz w:val="21"/>
          <w:szCs w:val="21"/>
        </w:rPr>
        <w:t xml:space="preserve">Cumulative Layout Shift (CLS) &lt; 0.1</w:t>
      </w:r>
    </w:p>
    <w:p>
      <w:pPr>
        <w:pStyle w:val="ListParagraph"/>
        <w:numPr>
          <w:ilvl w:val="0"/>
          <w:numId w:val="2"/>
        </w:numPr>
        <w:spacing w:after="80" w:line="260"/>
      </w:pPr>
      <w:r>
        <w:rPr>
          <w:rFonts w:ascii="Arial" w:cs="Arial" w:eastAsia="Arial" w:hAnsi="Arial"/>
          <w:color w:val="333333"/>
          <w:sz w:val="21"/>
          <w:szCs w:val="21"/>
        </w:rPr>
        <w:t xml:space="preserve">Lighthouse Performance score: 90+ on mobile</w:t>
      </w:r>
    </w:p>
    <w:p>
      <w:pPr>
        <w:pStyle w:val="ListParagraph"/>
        <w:numPr>
          <w:ilvl w:val="0"/>
          <w:numId w:val="2"/>
        </w:numPr>
        <w:spacing w:after="80" w:line="260"/>
      </w:pPr>
      <w:r>
        <w:rPr>
          <w:rFonts w:ascii="Arial" w:cs="Arial" w:eastAsia="Arial" w:hAnsi="Arial"/>
          <w:color w:val="333333"/>
          <w:sz w:val="21"/>
          <w:szCs w:val="21"/>
        </w:rPr>
        <w:t xml:space="preserve">Total page weight: &lt; 500KB for homepage (excluding fonts)</w:t>
      </w:r>
    </w:p>
    <w:p>
      <w:pPr>
        <w:pStyle w:val="ListParagraph"/>
        <w:numPr>
          <w:ilvl w:val="0"/>
          <w:numId w:val="2"/>
        </w:numPr>
        <w:spacing w:after="80" w:line="260"/>
      </w:pPr>
      <w:r>
        <w:rPr>
          <w:rFonts w:ascii="Arial" w:cs="Arial" w:eastAsia="Arial" w:hAnsi="Arial"/>
          <w:color w:val="333333"/>
          <w:sz w:val="21"/>
          <w:szCs w:val="21"/>
        </w:rPr>
        <w:t xml:space="preserve">Images served in WebP/AVIF format with responsive srcsets</w:t>
      </w:r>
    </w:p>
    <w:p>
      <w:pPr>
        <w:pStyle w:val="Heading2"/>
        <w:spacing w:before="280" w:after="160"/>
      </w:pPr>
      <w:r>
        <w:rPr>
          <w:rFonts w:ascii="Arial" w:cs="Arial" w:eastAsia="Arial" w:hAnsi="Arial"/>
          <w:b/>
          <w:bCs/>
          <w:color w:val="1A1A1A"/>
          <w:sz w:val="26"/>
          <w:szCs w:val="26"/>
        </w:rPr>
        <w:t xml:space="preserve">9.2 Accessibility</w:t>
      </w:r>
    </w:p>
    <w:p>
      <w:pPr>
        <w:pStyle w:val="ListParagraph"/>
        <w:numPr>
          <w:ilvl w:val="0"/>
          <w:numId w:val="2"/>
        </w:numPr>
        <w:spacing w:after="80" w:line="260"/>
      </w:pPr>
      <w:r>
        <w:rPr>
          <w:rFonts w:ascii="Arial" w:cs="Arial" w:eastAsia="Arial" w:hAnsi="Arial"/>
          <w:color w:val="333333"/>
          <w:sz w:val="21"/>
          <w:szCs w:val="21"/>
        </w:rPr>
        <w:t xml:space="preserve">WCAG 2.1 AA compliance across all pages</w:t>
      </w:r>
    </w:p>
    <w:p>
      <w:pPr>
        <w:pStyle w:val="ListParagraph"/>
        <w:numPr>
          <w:ilvl w:val="0"/>
          <w:numId w:val="2"/>
        </w:numPr>
        <w:spacing w:after="80" w:line="260"/>
      </w:pPr>
      <w:r>
        <w:rPr>
          <w:rFonts w:ascii="Arial" w:cs="Arial" w:eastAsia="Arial" w:hAnsi="Arial"/>
          <w:color w:val="333333"/>
          <w:sz w:val="21"/>
          <w:szCs w:val="21"/>
        </w:rPr>
        <w:t xml:space="preserve">Full keyboard navigation — every interactive element reachable via Tab</w:t>
      </w:r>
    </w:p>
    <w:p>
      <w:pPr>
        <w:pStyle w:val="ListParagraph"/>
        <w:numPr>
          <w:ilvl w:val="0"/>
          <w:numId w:val="2"/>
        </w:numPr>
        <w:spacing w:after="80" w:line="260"/>
      </w:pPr>
      <w:r>
        <w:rPr>
          <w:rFonts w:ascii="Arial" w:cs="Arial" w:eastAsia="Arial" w:hAnsi="Arial"/>
          <w:color w:val="333333"/>
          <w:sz w:val="21"/>
          <w:szCs w:val="21"/>
        </w:rPr>
        <w:t xml:space="preserve">Screen reader compatible — semantic HTML, ARIA labels, meaningful alt text</w:t>
      </w:r>
    </w:p>
    <w:p>
      <w:pPr>
        <w:pStyle w:val="ListParagraph"/>
        <w:numPr>
          <w:ilvl w:val="0"/>
          <w:numId w:val="2"/>
        </w:numPr>
        <w:spacing w:after="80" w:line="260"/>
      </w:pPr>
      <w:r>
        <w:rPr>
          <w:rFonts w:ascii="Arial" w:cs="Arial" w:eastAsia="Arial" w:hAnsi="Arial"/>
          <w:color w:val="333333"/>
          <w:sz w:val="21"/>
          <w:szCs w:val="21"/>
        </w:rPr>
        <w:t xml:space="preserve">Colour contrast ratio: minimum 4.5:1 for normal text, 3:1 for large text</w:t>
      </w:r>
    </w:p>
    <w:p>
      <w:pPr>
        <w:pStyle w:val="ListParagraph"/>
        <w:numPr>
          <w:ilvl w:val="0"/>
          <w:numId w:val="2"/>
        </w:numPr>
        <w:spacing w:after="80" w:line="260"/>
      </w:pPr>
      <w:r>
        <w:rPr>
          <w:rFonts w:ascii="Arial" w:cs="Arial" w:eastAsia="Arial" w:hAnsi="Arial"/>
          <w:color w:val="333333"/>
          <w:sz w:val="21"/>
          <w:szCs w:val="21"/>
        </w:rPr>
        <w:t xml:space="preserve">Touch targets: minimum 44x44px on mobile</w:t>
      </w:r>
    </w:p>
    <w:p>
      <w:pPr>
        <w:pStyle w:val="ListParagraph"/>
        <w:numPr>
          <w:ilvl w:val="0"/>
          <w:numId w:val="2"/>
        </w:numPr>
        <w:spacing w:after="80" w:line="260"/>
      </w:pPr>
      <w:r>
        <w:rPr>
          <w:rFonts w:ascii="Arial" w:cs="Arial" w:eastAsia="Arial" w:hAnsi="Arial"/>
          <w:color w:val="333333"/>
          <w:sz w:val="21"/>
          <w:szCs w:val="21"/>
        </w:rPr>
        <w:t xml:space="preserve">Self-assessment quiz fully operable via keyboard</w:t>
      </w:r>
    </w:p>
    <w:p>
      <w:pPr>
        <w:pStyle w:val="Heading2"/>
        <w:spacing w:before="280" w:after="160"/>
      </w:pPr>
      <w:r>
        <w:rPr>
          <w:rFonts w:ascii="Arial" w:cs="Arial" w:eastAsia="Arial" w:hAnsi="Arial"/>
          <w:b/>
          <w:bCs/>
          <w:color w:val="1A1A1A"/>
          <w:sz w:val="26"/>
          <w:szCs w:val="26"/>
        </w:rPr>
        <w:t xml:space="preserve">9.3 Security</w:t>
      </w:r>
    </w:p>
    <w:p>
      <w:pPr>
        <w:pStyle w:val="ListParagraph"/>
        <w:numPr>
          <w:ilvl w:val="0"/>
          <w:numId w:val="2"/>
        </w:numPr>
        <w:spacing w:after="80" w:line="260"/>
      </w:pPr>
      <w:r>
        <w:rPr>
          <w:rFonts w:ascii="Arial" w:cs="Arial" w:eastAsia="Arial" w:hAnsi="Arial"/>
          <w:color w:val="333333"/>
          <w:sz w:val="21"/>
          <w:szCs w:val="21"/>
        </w:rPr>
        <w:t xml:space="preserve">HTTPS enforced across all environments</w:t>
      </w:r>
    </w:p>
    <w:p>
      <w:pPr>
        <w:pStyle w:val="ListParagraph"/>
        <w:numPr>
          <w:ilvl w:val="0"/>
          <w:numId w:val="2"/>
        </w:numPr>
        <w:spacing w:after="80" w:line="260"/>
      </w:pPr>
      <w:r>
        <w:rPr>
          <w:rFonts w:ascii="Arial" w:cs="Arial" w:eastAsia="Arial" w:hAnsi="Arial"/>
          <w:color w:val="333333"/>
          <w:sz w:val="21"/>
          <w:szCs w:val="21"/>
        </w:rPr>
        <w:t xml:space="preserve">Content Security Policy (CSP) headers configured</w:t>
      </w:r>
    </w:p>
    <w:p>
      <w:pPr>
        <w:pStyle w:val="ListParagraph"/>
        <w:numPr>
          <w:ilvl w:val="0"/>
          <w:numId w:val="2"/>
        </w:numPr>
        <w:spacing w:after="80" w:line="260"/>
      </w:pPr>
      <w:r>
        <w:rPr>
          <w:rFonts w:ascii="Arial" w:cs="Arial" w:eastAsia="Arial" w:hAnsi="Arial"/>
          <w:color w:val="333333"/>
          <w:sz w:val="21"/>
          <w:szCs w:val="21"/>
        </w:rPr>
        <w:t xml:space="preserve">X-Frame-Options: DENY (prevent clickjacking)</w:t>
      </w:r>
    </w:p>
    <w:p>
      <w:pPr>
        <w:pStyle w:val="ListParagraph"/>
        <w:numPr>
          <w:ilvl w:val="0"/>
          <w:numId w:val="2"/>
        </w:numPr>
        <w:spacing w:after="80" w:line="260"/>
      </w:pPr>
      <w:r>
        <w:rPr>
          <w:rFonts w:ascii="Arial" w:cs="Arial" w:eastAsia="Arial" w:hAnsi="Arial"/>
          <w:color w:val="333333"/>
          <w:sz w:val="21"/>
          <w:szCs w:val="21"/>
        </w:rPr>
        <w:t xml:space="preserve">X-Content-Type-Options: nosniff</w:t>
      </w:r>
    </w:p>
    <w:p>
      <w:pPr>
        <w:pStyle w:val="ListParagraph"/>
        <w:numPr>
          <w:ilvl w:val="0"/>
          <w:numId w:val="2"/>
        </w:numPr>
        <w:spacing w:after="80" w:line="260"/>
      </w:pPr>
      <w:r>
        <w:rPr>
          <w:rFonts w:ascii="Arial" w:cs="Arial" w:eastAsia="Arial" w:hAnsi="Arial"/>
          <w:color w:val="333333"/>
          <w:sz w:val="21"/>
          <w:szCs w:val="21"/>
        </w:rPr>
        <w:t xml:space="preserve">No API keys, secrets, or credentials committed to repository</w:t>
      </w:r>
    </w:p>
    <w:p>
      <w:pPr>
        <w:pStyle w:val="ListParagraph"/>
        <w:numPr>
          <w:ilvl w:val="0"/>
          <w:numId w:val="2"/>
        </w:numPr>
        <w:spacing w:after="80" w:line="260"/>
      </w:pPr>
      <w:r>
        <w:rPr>
          <w:rFonts w:ascii="Arial" w:cs="Arial" w:eastAsia="Arial" w:hAnsi="Arial"/>
          <w:color w:val="333333"/>
          <w:sz w:val="21"/>
          <w:szCs w:val="21"/>
        </w:rPr>
        <w:t xml:space="preserve">All sensitive configuration via environment variables</w:t>
      </w:r>
    </w:p>
    <w:p>
      <w:pPr>
        <w:pStyle w:val="ListParagraph"/>
        <w:numPr>
          <w:ilvl w:val="0"/>
          <w:numId w:val="2"/>
        </w:numPr>
        <w:spacing w:after="80" w:line="260"/>
      </w:pPr>
      <w:r>
        <w:rPr>
          <w:rFonts w:ascii="Arial" w:cs="Arial" w:eastAsia="Arial" w:hAnsi="Arial"/>
          <w:color w:val="333333"/>
          <w:sz w:val="21"/>
          <w:szCs w:val="21"/>
        </w:rPr>
        <w:t xml:space="preserve">Form submissions rate-limited (max 10 submissions per IP per hour)</w:t>
      </w:r>
    </w:p>
    <w:p>
      <w:pPr>
        <w:pStyle w:val="ListParagraph"/>
        <w:numPr>
          <w:ilvl w:val="0"/>
          <w:numId w:val="2"/>
        </w:numPr>
        <w:spacing w:after="80" w:line="260"/>
      </w:pPr>
      <w:r>
        <w:rPr>
          <w:rFonts w:ascii="Arial" w:cs="Arial" w:eastAsia="Arial" w:hAnsi="Arial"/>
          <w:color w:val="333333"/>
          <w:sz w:val="21"/>
          <w:szCs w:val="21"/>
        </w:rPr>
        <w:t xml:space="preserve">POPIA-compliant: cookie consent banner, privacy policy linked from all pages, data minimisation in form collection</w:t>
      </w:r>
    </w:p>
    <w:p>
      <w:pPr>
        <w:pStyle w:val="Heading2"/>
        <w:spacing w:before="280" w:after="160"/>
      </w:pPr>
      <w:r>
        <w:rPr>
          <w:rFonts w:ascii="Arial" w:cs="Arial" w:eastAsia="Arial" w:hAnsi="Arial"/>
          <w:b/>
          <w:bCs/>
          <w:color w:val="1A1A1A"/>
          <w:sz w:val="26"/>
          <w:szCs w:val="26"/>
        </w:rPr>
        <w:t xml:space="preserve">9.4 SEO</w:t>
      </w:r>
    </w:p>
    <w:p>
      <w:pPr>
        <w:pStyle w:val="ListParagraph"/>
        <w:numPr>
          <w:ilvl w:val="0"/>
          <w:numId w:val="2"/>
        </w:numPr>
        <w:spacing w:after="80" w:line="260"/>
      </w:pPr>
      <w:r>
        <w:rPr>
          <w:rFonts w:ascii="Arial" w:cs="Arial" w:eastAsia="Arial" w:hAnsi="Arial"/>
          <w:color w:val="333333"/>
          <w:sz w:val="21"/>
          <w:szCs w:val="21"/>
        </w:rPr>
        <w:t xml:space="preserve">Unique, descriptive meta title and meta description on every page</w:t>
      </w:r>
    </w:p>
    <w:p>
      <w:pPr>
        <w:pStyle w:val="ListParagraph"/>
        <w:numPr>
          <w:ilvl w:val="0"/>
          <w:numId w:val="2"/>
        </w:numPr>
        <w:spacing w:after="80" w:line="260"/>
      </w:pPr>
      <w:r>
        <w:rPr>
          <w:rFonts w:ascii="Arial" w:cs="Arial" w:eastAsia="Arial" w:hAnsi="Arial"/>
          <w:color w:val="333333"/>
          <w:sz w:val="21"/>
          <w:szCs w:val="21"/>
        </w:rPr>
        <w:t xml:space="preserve">Proper heading hierarchy (single H1 per page, logical H2/H3 nesting)</w:t>
      </w:r>
    </w:p>
    <w:p>
      <w:pPr>
        <w:pStyle w:val="ListParagraph"/>
        <w:numPr>
          <w:ilvl w:val="0"/>
          <w:numId w:val="2"/>
        </w:numPr>
        <w:spacing w:after="80" w:line="260"/>
      </w:pPr>
      <w:r>
        <w:rPr>
          <w:rFonts w:ascii="Arial" w:cs="Arial" w:eastAsia="Arial" w:hAnsi="Arial"/>
          <w:color w:val="333333"/>
          <w:sz w:val="21"/>
          <w:szCs w:val="21"/>
        </w:rPr>
        <w:t xml:space="preserve">XML sitemap generated automatically</w:t>
      </w:r>
    </w:p>
    <w:p>
      <w:pPr>
        <w:pStyle w:val="ListParagraph"/>
        <w:numPr>
          <w:ilvl w:val="0"/>
          <w:numId w:val="2"/>
        </w:numPr>
        <w:spacing w:after="80" w:line="260"/>
      </w:pPr>
      <w:r>
        <w:rPr>
          <w:rFonts w:ascii="Arial" w:cs="Arial" w:eastAsia="Arial" w:hAnsi="Arial"/>
          <w:color w:val="333333"/>
          <w:sz w:val="21"/>
          <w:szCs w:val="21"/>
        </w:rPr>
        <w:t xml:space="preserve">robots.txt configured</w:t>
      </w:r>
    </w:p>
    <w:p>
      <w:pPr>
        <w:pStyle w:val="ListParagraph"/>
        <w:numPr>
          <w:ilvl w:val="0"/>
          <w:numId w:val="2"/>
        </w:numPr>
        <w:spacing w:after="80" w:line="260"/>
      </w:pPr>
      <w:r>
        <w:rPr>
          <w:rFonts w:ascii="Arial" w:cs="Arial" w:eastAsia="Arial" w:hAnsi="Arial"/>
          <w:color w:val="333333"/>
          <w:sz w:val="21"/>
          <w:szCs w:val="21"/>
        </w:rPr>
        <w:t xml:space="preserve">Open Graph and Twitter Card meta tags on all pages</w:t>
      </w:r>
    </w:p>
    <w:p>
      <w:pPr>
        <w:pStyle w:val="ListParagraph"/>
        <w:numPr>
          <w:ilvl w:val="0"/>
          <w:numId w:val="2"/>
        </w:numPr>
        <w:spacing w:after="80" w:line="260"/>
      </w:pPr>
      <w:r>
        <w:rPr>
          <w:rFonts w:ascii="Arial" w:cs="Arial" w:eastAsia="Arial" w:hAnsi="Arial"/>
          <w:color w:val="333333"/>
          <w:sz w:val="21"/>
          <w:szCs w:val="21"/>
        </w:rPr>
        <w:t xml:space="preserve">Schema.org structured data for organisation and blog posts</w:t>
      </w:r>
    </w:p>
    <w:p>
      <w:pPr>
        <w:pStyle w:val="ListParagraph"/>
        <w:numPr>
          <w:ilvl w:val="0"/>
          <w:numId w:val="2"/>
        </w:numPr>
        <w:spacing w:after="80" w:line="260"/>
      </w:pPr>
      <w:r>
        <w:rPr>
          <w:rFonts w:ascii="Arial" w:cs="Arial" w:eastAsia="Arial" w:hAnsi="Arial"/>
          <w:color w:val="333333"/>
          <w:sz w:val="21"/>
          <w:szCs w:val="21"/>
        </w:rPr>
        <w:t xml:space="preserve">Internal linking strategy: every page linked from at least one other page</w:t>
      </w:r>
    </w:p>
    <w:p>
      <w:pPr>
        <w:pStyle w:val="ListParagraph"/>
        <w:numPr>
          <w:ilvl w:val="0"/>
          <w:numId w:val="2"/>
        </w:numPr>
        <w:spacing w:after="80" w:line="260"/>
      </w:pPr>
      <w:r>
        <w:rPr>
          <w:rFonts w:ascii="Arial" w:cs="Arial" w:eastAsia="Arial" w:hAnsi="Arial"/>
          <w:color w:val="333333"/>
          <w:sz w:val="21"/>
          <w:szCs w:val="21"/>
        </w:rPr>
        <w:t xml:space="preserve">Target keywords: "POPIA AI compliance", "AI certification South Africa", "AI accountability framework"</w:t>
      </w:r>
    </w:p>
    <w:p>
      <w:pPr>
        <w:pStyle w:val="Heading2"/>
        <w:spacing w:before="280" w:after="160"/>
      </w:pPr>
      <w:r>
        <w:rPr>
          <w:rFonts w:ascii="Arial" w:cs="Arial" w:eastAsia="Arial" w:hAnsi="Arial"/>
          <w:b/>
          <w:bCs/>
          <w:color w:val="1A1A1A"/>
          <w:sz w:val="26"/>
          <w:szCs w:val="26"/>
        </w:rPr>
        <w:t xml:space="preserve">9.5 Responsiveness</w:t>
      </w:r>
    </w:p>
    <w:p>
      <w:pPr>
        <w:pStyle w:val="ListParagraph"/>
        <w:numPr>
          <w:ilvl w:val="0"/>
          <w:numId w:val="2"/>
        </w:numPr>
        <w:spacing w:after="80" w:line="260"/>
      </w:pPr>
      <w:r>
        <w:rPr>
          <w:rFonts w:ascii="Arial" w:cs="Arial" w:eastAsia="Arial" w:hAnsi="Arial"/>
          <w:color w:val="333333"/>
          <w:sz w:val="21"/>
          <w:szCs w:val="21"/>
        </w:rPr>
        <w:t xml:space="preserve">Fully responsive across: mobile (320px+), tablet (768px+), desktop (1024px+), large desktop (1440px+)</w:t>
      </w:r>
    </w:p>
    <w:p>
      <w:pPr>
        <w:pStyle w:val="ListParagraph"/>
        <w:numPr>
          <w:ilvl w:val="0"/>
          <w:numId w:val="2"/>
        </w:numPr>
        <w:spacing w:after="80" w:line="260"/>
      </w:pPr>
      <w:r>
        <w:rPr>
          <w:rFonts w:ascii="Arial" w:cs="Arial" w:eastAsia="Arial" w:hAnsi="Arial"/>
          <w:color w:val="333333"/>
          <w:sz w:val="21"/>
          <w:szCs w:val="21"/>
        </w:rPr>
        <w:t xml:space="preserve">No horizontal scrolling at any viewport width</w:t>
      </w:r>
    </w:p>
    <w:p>
      <w:pPr>
        <w:pStyle w:val="ListParagraph"/>
        <w:numPr>
          <w:ilvl w:val="0"/>
          <w:numId w:val="2"/>
        </w:numPr>
        <w:spacing w:after="80" w:line="260"/>
      </w:pPr>
      <w:r>
        <w:rPr>
          <w:rFonts w:ascii="Arial" w:cs="Arial" w:eastAsia="Arial" w:hAnsi="Arial"/>
          <w:color w:val="333333"/>
          <w:sz w:val="21"/>
          <w:szCs w:val="21"/>
        </w:rPr>
        <w:t xml:space="preserve">Navigation collapses to hamburger menu below 1024px</w:t>
      </w:r>
    </w:p>
    <w:p>
      <w:pPr>
        <w:pStyle w:val="ListParagraph"/>
        <w:numPr>
          <w:ilvl w:val="0"/>
          <w:numId w:val="2"/>
        </w:numPr>
        <w:spacing w:after="80" w:line="260"/>
      </w:pPr>
      <w:r>
        <w:rPr>
          <w:rFonts w:ascii="Arial" w:cs="Arial" w:eastAsia="Arial" w:hAnsi="Arial"/>
          <w:color w:val="333333"/>
          <w:sz w:val="21"/>
          <w:szCs w:val="21"/>
        </w:rPr>
        <w:t xml:space="preserve">Self-assessment quiz single-question-per-screen on mobile</w:t>
      </w:r>
    </w:p>
    <w:p>
      <w:pPr>
        <w:pStyle w:val="ListParagraph"/>
        <w:numPr>
          <w:ilvl w:val="0"/>
          <w:numId w:val="2"/>
        </w:numPr>
        <w:spacing w:after="80" w:line="260"/>
      </w:pPr>
      <w:r>
        <w:rPr>
          <w:rFonts w:ascii="Arial" w:cs="Arial" w:eastAsia="Arial" w:hAnsi="Arial"/>
          <w:color w:val="333333"/>
          <w:sz w:val="21"/>
          <w:szCs w:val="21"/>
        </w:rPr>
        <w:t xml:space="preserve">Tables reflow or scroll horizontally on small screens</w:t>
      </w:r>
    </w:p>
    <w:p>
      <w:pPr>
        <w:pStyle w:val="Heading2"/>
        <w:spacing w:before="280" w:after="160"/>
      </w:pPr>
      <w:r>
        <w:rPr>
          <w:rFonts w:ascii="Arial" w:cs="Arial" w:eastAsia="Arial" w:hAnsi="Arial"/>
          <w:b/>
          <w:bCs/>
          <w:color w:val="1A1A1A"/>
          <w:sz w:val="26"/>
          <w:szCs w:val="26"/>
        </w:rPr>
        <w:t xml:space="preserve">9.6 Internationalisation (Future-Proofing)</w:t>
      </w:r>
    </w:p>
    <w:p>
      <w:pPr>
        <w:pStyle w:val="ListParagraph"/>
        <w:numPr>
          <w:ilvl w:val="0"/>
          <w:numId w:val="2"/>
        </w:numPr>
        <w:spacing w:after="80" w:line="260"/>
      </w:pPr>
      <w:r>
        <w:rPr>
          <w:rFonts w:ascii="Arial" w:cs="Arial" w:eastAsia="Arial" w:hAnsi="Arial"/>
          <w:color w:val="333333"/>
          <w:sz w:val="21"/>
          <w:szCs w:val="21"/>
        </w:rPr>
        <w:t xml:space="preserve">All user-facing strings extracted to a content/copy layer — not hardcoded in components</w:t>
      </w:r>
    </w:p>
    <w:p>
      <w:pPr>
        <w:pStyle w:val="ListParagraph"/>
        <w:numPr>
          <w:ilvl w:val="0"/>
          <w:numId w:val="2"/>
        </w:numPr>
        <w:spacing w:after="80" w:line="260"/>
      </w:pPr>
      <w:r>
        <w:rPr>
          <w:rFonts w:ascii="Arial" w:cs="Arial" w:eastAsia="Arial" w:hAnsi="Arial"/>
          <w:color w:val="333333"/>
          <w:sz w:val="21"/>
          <w:szCs w:val="21"/>
        </w:rPr>
        <w:t xml:space="preserve">Date and currency formatting uses locale-aware functions</w:t>
      </w:r>
    </w:p>
    <w:p>
      <w:pPr>
        <w:pStyle w:val="ListParagraph"/>
        <w:numPr>
          <w:ilvl w:val="0"/>
          <w:numId w:val="2"/>
        </w:numPr>
        <w:spacing w:after="80" w:line="260"/>
      </w:pPr>
      <w:r>
        <w:rPr>
          <w:rFonts w:ascii="Arial" w:cs="Arial" w:eastAsia="Arial" w:hAnsi="Arial"/>
          <w:color w:val="333333"/>
          <w:sz w:val="21"/>
          <w:szCs w:val="21"/>
        </w:rPr>
        <w:t xml:space="preserve">URL structure supports future language prefixes (e.g., /en/, /af/, /fr/)</w:t>
      </w:r>
    </w:p>
    <w:p>
      <w:pPr>
        <w:pStyle w:val="ListParagraph"/>
        <w:numPr>
          <w:ilvl w:val="0"/>
          <w:numId w:val="2"/>
        </w:numPr>
        <w:spacing w:after="80" w:line="260"/>
      </w:pPr>
      <w:r>
        <w:rPr>
          <w:rFonts w:ascii="Arial" w:cs="Arial" w:eastAsia="Arial" w:hAnsi="Arial"/>
          <w:color w:val="333333"/>
          <w:sz w:val="21"/>
          <w:szCs w:val="21"/>
        </w:rPr>
        <w:t xml:space="preserve">No assumptions about text length — layouts flex to accommodate longer translations</w:t>
      </w:r>
    </w:p>
    <w:p>
      <w:r>
        <w:br w:type="page"/>
      </w:r>
    </w:p>
    <w:p>
      <w:pPr>
        <w:pStyle w:val="Heading1"/>
        <w:spacing w:before="360" w:after="200"/>
      </w:pPr>
      <w:r>
        <w:rPr>
          <w:rFonts w:ascii="Arial" w:cs="Arial" w:eastAsia="Arial" w:hAnsi="Arial"/>
          <w:b/>
          <w:bCs/>
          <w:color w:val="1A1A1A"/>
          <w:sz w:val="32"/>
          <w:szCs w:val="32"/>
        </w:rPr>
        <w:t xml:space="preserve">10. Design System Requirements</w:t>
      </w:r>
    </w:p>
    <w:p>
      <w:pPr>
        <w:pStyle w:val="Heading2"/>
        <w:spacing w:before="280" w:after="160"/>
      </w:pPr>
      <w:r>
        <w:rPr>
          <w:rFonts w:ascii="Arial" w:cs="Arial" w:eastAsia="Arial" w:hAnsi="Arial"/>
          <w:b/>
          <w:bCs/>
          <w:color w:val="1A1A1A"/>
          <w:sz w:val="26"/>
          <w:szCs w:val="26"/>
        </w:rPr>
        <w:t xml:space="preserve">10.1 Brand Identity</w:t>
      </w:r>
    </w:p>
    <w:p>
      <w:pPr>
        <w:spacing w:after="120" w:line="276"/>
        <w:jc w:val="left"/>
      </w:pPr>
      <w:r>
        <w:rPr>
          <w:rFonts w:ascii="Arial" w:cs="Arial" w:eastAsia="Arial" w:hAnsi="Arial"/>
          <w:color w:val="333333"/>
          <w:sz w:val="22"/>
          <w:szCs w:val="22"/>
        </w:rPr>
        <w:t xml:space="preserve">AIC's visual identity is editorial and authoritative — inspired by quality journalism rather than generic technology aesthetics. It communicates seriousness without being intimidating, and credibility without being corporate.</w:t>
      </w:r>
    </w:p>
    <w:p>
      <w:pPr>
        <w:pStyle w:val="Heading3"/>
        <w:spacing w:before="200" w:after="120"/>
      </w:pPr>
      <w:r>
        <w:rPr>
          <w:rFonts w:ascii="Arial" w:cs="Arial" w:eastAsia="Arial" w:hAnsi="Arial"/>
          <w:b/>
          <w:bCs/>
          <w:color w:val="333333"/>
          <w:sz w:val="22"/>
          <w:szCs w:val="22"/>
        </w:rPr>
        <w:t xml:space="preserve">Colour Palette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8"/>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Hex Code</w:t>
            </w:r>
          </w:p>
        </w:tc>
        <w:tc>
          <w:tcPr>
            <w:tcW w:type="dxa" w:w="502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Primary Black</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#1A1A1A</w:t>
            </w:r>
          </w:p>
        </w:tc>
        <w:tc>
          <w:tcPr>
            <w:tcW w:type="dxa" w:w="50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Headlines, body text, primary buttons, borders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Background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#FAF8F4</w:t>
            </w:r>
          </w:p>
        </w:tc>
        <w:tc>
          <w:tcPr>
            <w:tcW w:type="dxa" w:w="50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Page backgrounds — warm off-white creates editorial feel</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1 Critical</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#C41E3A</w:t>
            </w:r>
          </w:p>
        </w:tc>
        <w:tc>
          <w:tcPr>
            <w:tcW w:type="dxa" w:w="50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1 badges, borders, alerts. Red signals consequence.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2 Supervised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#FF8C42</w:t>
            </w:r>
          </w:p>
        </w:tc>
        <w:tc>
          <w:tcPr>
            <w:tcW w:type="dxa" w:w="50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2 badges, borders, warnings. Orange signals caution.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3 Automated</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#2C5F2D</w:t>
            </w:r>
          </w:p>
        </w:tc>
        <w:tc>
          <w:tcPr>
            <w:tcW w:type="dxa" w:w="50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3 badges, borders, success states. Green signals routine.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Accent Gold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#D4AF37</w:t>
            </w:r>
          </w:p>
        </w:tc>
        <w:tc>
          <w:tcPr>
            <w:tcW w:type="dxa" w:w="50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Highlights, certification badges, premium elements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Gray Text</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#666666</w:t>
            </w:r>
          </w:p>
        </w:tc>
        <w:tc>
          <w:tcPr>
            <w:tcW w:type="dxa" w:w="50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Secondary text, captions, placeholders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Border Light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#E0E0E0</w:t>
            </w:r>
          </w:p>
        </w:tc>
        <w:tc>
          <w:tcPr>
            <w:tcW w:type="dxa" w:w="50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Card borders, dividers, input borders (default state)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White</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#FFFFFF</w:t>
            </w:r>
          </w:p>
        </w:tc>
        <w:tc>
          <w:tcPr>
            <w:tcW w:type="dxa" w:w="50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Card backgrounds, contrast sections</w:t>
            </w:r>
          </w:p>
        </w:tc>
      </w:tr>
    </w:tbl>
    <w:p>
      <w:pPr>
        <w:pStyle w:val="Heading3"/>
        <w:spacing w:before="200" w:after="120"/>
      </w:pPr>
      <w:r>
        <w:rPr>
          <w:rFonts w:ascii="Arial" w:cs="Arial" w:eastAsia="Arial" w:hAnsi="Arial"/>
          <w:b/>
          <w:bCs/>
          <w:color w:val="333333"/>
          <w:sz w:val="22"/>
          <w:szCs w:val="22"/>
        </w:rPr>
        <w:t xml:space="preserve">Typography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828"/>
      </w:tblGrid>
      <w:tr>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Role</w:t>
            </w:r>
          </w:p>
        </w:tc>
        <w:tc>
          <w:tcPr>
            <w:tcW w:type="dxa" w:w="26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Font Family</w:t>
            </w:r>
          </w:p>
        </w:tc>
        <w:tc>
          <w:tcPr>
            <w:tcW w:type="dxa" w:w="1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Weights</w:t>
            </w:r>
          </w:p>
        </w:tc>
        <w:tc>
          <w:tcPr>
            <w:tcW w:type="dxa" w:w="282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Rationale</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Headings</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Crimson Pro (serif)</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400, 600, 700</w:t>
            </w:r>
          </w:p>
        </w:tc>
        <w:tc>
          <w:tcPr>
            <w:tcW w:type="dxa" w:w="28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Editorial authority. Serif fonts signal credibility and seriousness in professional contexts.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Body / UI</w:t>
            </w:r>
          </w:p>
        </w:tc>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IBM Plex Mono (monospace)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400, 600</w:t>
            </w:r>
          </w:p>
        </w:tc>
        <w:tc>
          <w:tcPr>
            <w:tcW w:type="dxa" w:w="28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Technical credibility. Monospace signals precision — appropriate for a certification body.</w:t>
            </w:r>
          </w:p>
        </w:tc>
      </w:tr>
      <w:tr>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Fallback</w:t>
            </w:r>
          </w:p>
        </w:tc>
        <w:tc>
          <w:tcPr>
            <w:tcW w:type="dxa" w:w="2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Arial, Helvetica, sans-serif</w:t>
            </w:r>
          </w:p>
        </w:tc>
        <w:tc>
          <w:tcPr>
            <w:tcW w:type="dxa" w:w="1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400, 700</w:t>
            </w:r>
          </w:p>
        </w:tc>
        <w:tc>
          <w:tcPr>
            <w:tcW w:type="dxa" w:w="28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Universal availability. Renders consistently if Google Fonts fails to load.</w:t>
            </w:r>
          </w:p>
        </w:tc>
      </w:tr>
    </w:tbl>
    <w:p>
      <w:pPr>
        <w:pStyle w:val="Heading3"/>
        <w:spacing w:before="200" w:after="120"/>
      </w:pPr>
      <w:r>
        <w:rPr>
          <w:rFonts w:ascii="Arial" w:cs="Arial" w:eastAsia="Arial" w:hAnsi="Arial"/>
          <w:b/>
          <w:bCs/>
          <w:color w:val="333333"/>
          <w:sz w:val="22"/>
          <w:szCs w:val="22"/>
        </w:rPr>
        <w:t xml:space="preserve">Design Principles</w:t>
      </w:r>
    </w:p>
    <w:p>
      <w:pPr>
        <w:pStyle w:val="ListParagraph"/>
        <w:numPr>
          <w:ilvl w:val="0"/>
          <w:numId w:val="2"/>
        </w:numPr>
        <w:spacing w:after="80" w:line="260"/>
      </w:pPr>
      <w:r>
        <w:rPr>
          <w:rFonts w:ascii="Arial" w:cs="Arial" w:eastAsia="Arial" w:hAnsi="Arial"/>
          <w:color w:val="333333"/>
          <w:sz w:val="21"/>
          <w:szCs w:val="21"/>
        </w:rPr>
        <w:t xml:space="preserve">High contrast, bold typography over decorative elements</w:t>
      </w:r>
    </w:p>
    <w:p>
      <w:pPr>
        <w:pStyle w:val="ListParagraph"/>
        <w:numPr>
          <w:ilvl w:val="0"/>
          <w:numId w:val="2"/>
        </w:numPr>
        <w:spacing w:after="80" w:line="260"/>
      </w:pPr>
      <w:r>
        <w:rPr>
          <w:rFonts w:ascii="Arial" w:cs="Arial" w:eastAsia="Arial" w:hAnsi="Arial"/>
          <w:color w:val="333333"/>
          <w:sz w:val="21"/>
          <w:szCs w:val="21"/>
        </w:rPr>
        <w:t xml:space="preserve">Generous white space — content breathes</w:t>
      </w:r>
    </w:p>
    <w:p>
      <w:pPr>
        <w:pStyle w:val="ListParagraph"/>
        <w:numPr>
          <w:ilvl w:val="0"/>
          <w:numId w:val="2"/>
        </w:numPr>
        <w:spacing w:after="80" w:line="260"/>
      </w:pPr>
      <w:r>
        <w:rPr>
          <w:rFonts w:ascii="Arial" w:cs="Arial" w:eastAsia="Arial" w:hAnsi="Arial"/>
          <w:color w:val="333333"/>
          <w:sz w:val="21"/>
          <w:szCs w:val="21"/>
        </w:rPr>
        <w:t xml:space="preserve">Real data and examples over stock photography or abstract illustration</w:t>
      </w:r>
    </w:p>
    <w:p>
      <w:pPr>
        <w:pStyle w:val="ListParagraph"/>
        <w:numPr>
          <w:ilvl w:val="0"/>
          <w:numId w:val="2"/>
        </w:numPr>
        <w:spacing w:after="80" w:line="260"/>
      </w:pPr>
      <w:r>
        <w:rPr>
          <w:rFonts w:ascii="Arial" w:cs="Arial" w:eastAsia="Arial" w:hAnsi="Arial"/>
          <w:color w:val="333333"/>
          <w:sz w:val="21"/>
          <w:szCs w:val="21"/>
        </w:rPr>
        <w:t xml:space="preserve">Clean borders and structured layouts over gradients, shadows, or glassmorphism</w:t>
      </w:r>
    </w:p>
    <w:p>
      <w:pPr>
        <w:pStyle w:val="ListParagraph"/>
        <w:numPr>
          <w:ilvl w:val="0"/>
          <w:numId w:val="2"/>
        </w:numPr>
        <w:spacing w:after="80" w:line="260"/>
      </w:pPr>
      <w:r>
        <w:rPr>
          <w:rFonts w:ascii="Arial" w:cs="Arial" w:eastAsia="Arial" w:hAnsi="Arial"/>
          <w:color w:val="333333"/>
          <w:sz w:val="21"/>
          <w:szCs w:val="21"/>
        </w:rPr>
        <w:t xml:space="preserve">Tier colours used consistently and only for their designated purpose — never decoratively</w:t>
      </w:r>
    </w:p>
    <w:p>
      <w:pPr>
        <w:pStyle w:val="Heading2"/>
        <w:spacing w:before="280" w:after="160"/>
      </w:pPr>
      <w:r>
        <w:rPr>
          <w:rFonts w:ascii="Arial" w:cs="Arial" w:eastAsia="Arial" w:hAnsi="Arial"/>
          <w:b/>
          <w:bCs/>
          <w:color w:val="1A1A1A"/>
          <w:sz w:val="26"/>
          <w:szCs w:val="26"/>
        </w:rPr>
        <w:t xml:space="preserve">10.2 Component Library</w:t>
      </w:r>
    </w:p>
    <w:p>
      <w:pPr>
        <w:spacing w:after="120" w:line="276"/>
        <w:jc w:val="left"/>
      </w:pPr>
      <w:r>
        <w:rPr>
          <w:rFonts w:ascii="Arial" w:cs="Arial" w:eastAsia="Arial" w:hAnsi="Arial"/>
          <w:color w:val="333333"/>
          <w:sz w:val="22"/>
          <w:szCs w:val="22"/>
        </w:rPr>
        <w:t xml:space="preserve">All UI is built from a consistent component library. Components are reusable, accessible, and styled through the design system. No one-off styling.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Variants</w:t>
            </w:r>
          </w:p>
        </w:tc>
        <w:tc>
          <w:tcPr>
            <w:tcW w:type="dxa" w:w="4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Key Behaviours</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Button</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Primary, Secondary, Tier-1, Tier-2, Tier-3, Ghost</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Hover state inverts colours. Focus state shows ring. Link variant renders as &lt;a&gt;.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Card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Default, Hover-enabled</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Hover lifts border colour to primary black. Transition is 200ms ease.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TierBadge</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Small, Medium, Large. With/without label.</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Colour matches tier number. Always uppercase. Always includes tier number.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Section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Normal, Large. Light/White/Dark background.</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Consistent vertical padding. Container constrains content width to 1200px max.</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Input</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Text, Email, Textarea, Select</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Border transitions to primary black on focus. Error state shows red border + message.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SEOHead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Per-page configuration</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Renders title, meta description, OG tags, Twitter cards. Canonical URL auto-generated.</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ProgressBar</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Percentage-based</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Used in self-assessment. Smooth animation on increment.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Modal / Overlay</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gate in assessment</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Backdrop blur. Dismissible. Traps focus for accessibility.</w:t>
            </w:r>
          </w:p>
        </w:tc>
      </w:tr>
    </w:tbl>
    <w:p>
      <w:r>
        <w:br w:type="page"/>
      </w:r>
    </w:p>
    <w:p>
      <w:pPr>
        <w:pStyle w:val="Heading1"/>
        <w:spacing w:before="360" w:after="200"/>
      </w:pPr>
      <w:r>
        <w:rPr>
          <w:rFonts w:ascii="Arial" w:cs="Arial" w:eastAsia="Arial" w:hAnsi="Arial"/>
          <w:b/>
          <w:bCs/>
          <w:color w:val="1A1A1A"/>
          <w:sz w:val="32"/>
          <w:szCs w:val="32"/>
        </w:rPr>
        <w:t xml:space="preserve">11. Third-Party Integrations &amp; Service Dependencies</w:t>
      </w:r>
    </w:p>
    <w:p>
      <w:pPr>
        <w:spacing w:after="120" w:line="276"/>
        <w:jc w:val="left"/>
      </w:pPr>
      <w:r>
        <w:rPr>
          <w:rFonts w:ascii="Arial" w:cs="Arial" w:eastAsia="Arial" w:hAnsi="Arial"/>
          <w:color w:val="333333"/>
          <w:sz w:val="22"/>
          <w:szCs w:val="22"/>
        </w:rPr>
        <w:t xml:space="preserve">The website is designed to be lightweight at launch — using proven third-party services for non-core functions — while maintaining the ability to replace every integration with proprietary solutions as the platform scales.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026"/>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Function</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 1 Solution</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Phase 2+ Solution</w:t>
            </w:r>
          </w:p>
        </w:tc>
        <w:tc>
          <w:tcPr>
            <w:tcW w:type="dxa" w:w="2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Integration Complexity</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Submission</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Netlify Forms or FormSpree</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Proprietary API (POST endpoint)</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 single URL change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Marketing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Mailchimp or SendGrid</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Proprietary or CRM-native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 API key configuration</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Analytics</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Analytics 4</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 proprietary event tracking</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 script tag + event calls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Font Loading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Fonts CDN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Self-hosted fonts (performance)</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 URL change in CSS</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Hosting</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or Netlify (free tier)</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Pro or AWS</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 — same deployment pipeline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PDF Generation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Client-side (jsPDF) for reports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Server-side (Puppeteer) for branded reports</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 — new backend service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Delivery</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 (transactional)</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 or AWS SES</w:t>
            </w:r>
          </w:p>
        </w:tc>
        <w:tc>
          <w:tcPr>
            <w:tcW w:type="dxa" w:w="2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 API key swap</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Search</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 (static content)</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Algolia or Elasticsearch</w:t>
            </w:r>
          </w:p>
        </w:tc>
        <w:tc>
          <w:tcPr>
            <w:tcW w:type="dxa" w:w="2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 — index + search UI</w:t>
            </w:r>
          </w:p>
        </w:tc>
      </w:tr>
    </w:tbl>
    <w:p>
      <w:r>
        <w:br w:type="page"/>
      </w:r>
    </w:p>
    <w:p>
      <w:pPr>
        <w:pStyle w:val="Heading1"/>
        <w:spacing w:before="360" w:after="200"/>
      </w:pPr>
      <w:r>
        <w:rPr>
          <w:rFonts w:ascii="Arial" w:cs="Arial" w:eastAsia="Arial" w:hAnsi="Arial"/>
          <w:b/>
          <w:bCs/>
          <w:color w:val="1A1A1A"/>
          <w:sz w:val="32"/>
          <w:szCs w:val="32"/>
        </w:rPr>
        <w:t xml:space="preserve">12. Future State Vision</w:t>
      </w:r>
    </w:p>
    <w:p>
      <w:pPr>
        <w:spacing w:after="120" w:line="276"/>
        <w:jc w:val="left"/>
      </w:pPr>
      <w:r>
        <w:rPr>
          <w:rFonts w:ascii="Arial" w:cs="Arial" w:eastAsia="Arial" w:hAnsi="Arial"/>
          <w:color w:val="333333"/>
          <w:sz w:val="22"/>
          <w:szCs w:val="22"/>
        </w:rPr>
        <w:t xml:space="preserve">This section is deliberately expansive. Phase 1 builds the foundation. This section defines the ceiling — everything AIC can and should become. Every architectural decision in Phase 1 is made with this future state in mind.</w:t>
      </w:r>
    </w:p>
    <w:p>
      <w:pPr>
        <w:pStyle w:val="Heading2"/>
        <w:spacing w:before="280" w:after="160"/>
      </w:pPr>
      <w:r>
        <w:rPr>
          <w:rFonts w:ascii="Arial" w:cs="Arial" w:eastAsia="Arial" w:hAnsi="Arial"/>
          <w:b/>
          <w:bCs/>
          <w:color w:val="1A1A1A"/>
          <w:sz w:val="26"/>
          <w:szCs w:val="26"/>
        </w:rPr>
        <w:t xml:space="preserve">12.1 AIC Pulse — The Continuous Monitoring Platform</w:t>
      </w:r>
    </w:p>
    <w:p>
      <w:pPr>
        <w:spacing w:after="120" w:line="276"/>
        <w:jc w:val="left"/>
      </w:pPr>
      <w:r>
        <w:rPr>
          <w:rFonts w:ascii="Arial" w:cs="Arial" w:eastAsia="Arial" w:hAnsi="Arial"/>
          <w:color w:val="333333"/>
          <w:sz w:val="22"/>
          <w:szCs w:val="22"/>
        </w:rPr>
        <w:t xml:space="preserve">Certification is a point-in-time audit. But AI systems drift. Bias can emerge between audits. AIC Pulse is the SaaS product that turns one-time certification into ongoing governance — and creates a recurring revenue stream.</w:t>
      </w:r>
    </w:p>
    <w:p>
      <w:pPr>
        <w:pStyle w:val="ListParagraph"/>
        <w:numPr>
          <w:ilvl w:val="0"/>
          <w:numId w:val="2"/>
        </w:numPr>
        <w:spacing w:after="80" w:line="260"/>
      </w:pPr>
      <w:r>
        <w:rPr>
          <w:rFonts w:ascii="Arial" w:cs="Arial" w:eastAsia="Arial" w:hAnsi="Arial"/>
          <w:color w:val="333333"/>
          <w:sz w:val="21"/>
          <w:szCs w:val="21"/>
        </w:rPr>
        <w:t xml:space="preserve">Real-time AI model monitoring: detects bias drift, performance degradation, and decision distribution shifts</w:t>
      </w:r>
    </w:p>
    <w:p>
      <w:pPr>
        <w:pStyle w:val="ListParagraph"/>
        <w:numPr>
          <w:ilvl w:val="0"/>
          <w:numId w:val="2"/>
        </w:numPr>
        <w:spacing w:after="80" w:line="260"/>
      </w:pPr>
      <w:r>
        <w:rPr>
          <w:rFonts w:ascii="Arial" w:cs="Arial" w:eastAsia="Arial" w:hAnsi="Arial"/>
          <w:color w:val="333333"/>
          <w:sz w:val="21"/>
          <w:szCs w:val="21"/>
        </w:rPr>
        <w:t xml:space="preserve">Monthly governance health reports delivered to CRO/CCO dashboards</w:t>
      </w:r>
    </w:p>
    <w:p>
      <w:pPr>
        <w:pStyle w:val="ListParagraph"/>
        <w:numPr>
          <w:ilvl w:val="0"/>
          <w:numId w:val="2"/>
        </w:numPr>
        <w:spacing w:after="80" w:line="260"/>
      </w:pPr>
      <w:r>
        <w:rPr>
          <w:rFonts w:ascii="Arial" w:cs="Arial" w:eastAsia="Arial" w:hAnsi="Arial"/>
          <w:color w:val="333333"/>
          <w:sz w:val="21"/>
          <w:szCs w:val="21"/>
        </w:rPr>
        <w:t xml:space="preserve">Integration layer: connects to existing AI tools (Credo AI, Fiddler, Arthur AI) as data sources</w:t>
      </w:r>
    </w:p>
    <w:p>
      <w:pPr>
        <w:pStyle w:val="ListParagraph"/>
        <w:numPr>
          <w:ilvl w:val="0"/>
          <w:numId w:val="2"/>
        </w:numPr>
        <w:spacing w:after="80" w:line="260"/>
      </w:pPr>
      <w:r>
        <w:rPr>
          <w:rFonts w:ascii="Arial" w:cs="Arial" w:eastAsia="Arial" w:hAnsi="Arial"/>
          <w:color w:val="333333"/>
          <w:sz w:val="21"/>
          <w:szCs w:val="21"/>
        </w:rPr>
        <w:t xml:space="preserve">Automated alerts when Integrity Score drops below threshold</w:t>
      </w:r>
    </w:p>
    <w:p>
      <w:pPr>
        <w:pStyle w:val="ListParagraph"/>
        <w:numPr>
          <w:ilvl w:val="0"/>
          <w:numId w:val="2"/>
        </w:numPr>
        <w:spacing w:after="80" w:line="260"/>
      </w:pPr>
      <w:r>
        <w:rPr>
          <w:rFonts w:ascii="Arial" w:cs="Arial" w:eastAsia="Arial" w:hAnsi="Arial"/>
          <w:color w:val="333333"/>
          <w:sz w:val="21"/>
          <w:szCs w:val="21"/>
        </w:rPr>
        <w:t xml:space="preserve">Pricing: ZAR 5,000-15,000/month per certified organisation (based on number of AI systems monitored)</w:t>
      </w:r>
    </w:p>
    <w:p>
      <w:pPr>
        <w:pStyle w:val="ListParagraph"/>
        <w:numPr>
          <w:ilvl w:val="0"/>
          <w:numId w:val="2"/>
        </w:numPr>
        <w:spacing w:after="80" w:line="260"/>
      </w:pPr>
      <w:r>
        <w:rPr>
          <w:rFonts w:ascii="Arial" w:cs="Arial" w:eastAsia="Arial" w:hAnsi="Arial"/>
          <w:color w:val="333333"/>
          <w:sz w:val="21"/>
          <w:szCs w:val="21"/>
        </w:rPr>
        <w:t xml:space="preserve">Revenue model: certified organisations opt into Pulse at certification. Renewal rate expected 90%+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3"/>
              <w:left w:val="none" w:color="FFFFFF" w:sz="0"/>
              <w:bottom w:val="none" w:color="FFFFFF" w:sz="0"/>
              <w:right w:val="none" w:color="FFFFFF" w:sz="0"/>
            </w:tcBorders>
            <w:shd w:fill="FAFAF7" w:val="clear"/>
            <w:tcMar>
              <w:top w:type="dxa" w:w="120"/>
              <w:left w:type="dxa" w:w="240"/>
              <w:bottom w:type="dxa" w:w="120"/>
              <w:right w:type="dxa" w:w="240"/>
            </w:tcMar>
          </w:tcPr>
          <w:p>
            <w:pPr>
              <w:spacing w:after="0" w:line="260"/>
            </w:pPr>
            <w:r>
              <w:rPr>
                <w:rFonts w:ascii="Arial" w:cs="Arial" w:eastAsia="Arial" w:hAnsi="Arial"/>
                <w:color w:val="333333"/>
                <w:sz w:val="21"/>
                <w:szCs w:val="21"/>
              </w:rPr>
              <w:t xml:space="preserve">AIC Pulse transforms AIC from a certification body (one-time revenue) into a governance platform (recurring revenue). This is the primary path to the ZAR 400-600M implied valuation at Year 5.</w:t>
            </w:r>
          </w:p>
        </w:tc>
      </w:tr>
    </w:tbl>
    <w:p>
      <w:pPr>
        <w:pStyle w:val="Heading2"/>
        <w:spacing w:before="280" w:after="160"/>
      </w:pPr>
      <w:r>
        <w:rPr>
          <w:rFonts w:ascii="Arial" w:cs="Arial" w:eastAsia="Arial" w:hAnsi="Arial"/>
          <w:b/>
          <w:bCs/>
          <w:color w:val="1A1A1A"/>
          <w:sz w:val="26"/>
          <w:szCs w:val="26"/>
        </w:rPr>
        <w:t xml:space="preserve">12.2 The Client Portal</w:t>
      </w:r>
    </w:p>
    <w:p>
      <w:pPr>
        <w:spacing w:after="120" w:line="276"/>
        <w:jc w:val="left"/>
      </w:pPr>
      <w:r>
        <w:rPr>
          <w:rFonts w:ascii="Arial" w:cs="Arial" w:eastAsia="Arial" w:hAnsi="Arial"/>
          <w:color w:val="333333"/>
          <w:sz w:val="22"/>
          <w:szCs w:val="22"/>
        </w:rPr>
        <w:t xml:space="preserve">Certified organisations need a secure, authenticated space to manage their certification lifecycle — upload evidence, track audit progress, view Integrity Scores, manage renewals, and access monitoring dashboards.</w:t>
      </w:r>
    </w:p>
    <w:p>
      <w:pPr>
        <w:pStyle w:val="ListParagraph"/>
        <w:numPr>
          <w:ilvl w:val="0"/>
          <w:numId w:val="2"/>
        </w:numPr>
        <w:spacing w:after="80" w:line="260"/>
      </w:pPr>
      <w:r>
        <w:rPr>
          <w:rFonts w:ascii="Arial" w:cs="Arial" w:eastAsia="Arial" w:hAnsi="Arial"/>
          <w:color w:val="333333"/>
          <w:sz w:val="21"/>
          <w:szCs w:val="21"/>
        </w:rPr>
        <w:t xml:space="preserve">Authentication: secure login for authorised users at each certified organisation</w:t>
      </w:r>
    </w:p>
    <w:p>
      <w:pPr>
        <w:pStyle w:val="ListParagraph"/>
        <w:numPr>
          <w:ilvl w:val="0"/>
          <w:numId w:val="2"/>
        </w:numPr>
        <w:spacing w:after="80" w:line="260"/>
      </w:pPr>
      <w:r>
        <w:rPr>
          <w:rFonts w:ascii="Arial" w:cs="Arial" w:eastAsia="Arial" w:hAnsi="Arial"/>
          <w:color w:val="333333"/>
          <w:sz w:val="21"/>
          <w:szCs w:val="21"/>
        </w:rPr>
        <w:t xml:space="preserve">Dashboard: real-time view of certification status, Integrity Score, upcoming audit dates</w:t>
      </w:r>
    </w:p>
    <w:p>
      <w:pPr>
        <w:pStyle w:val="ListParagraph"/>
        <w:numPr>
          <w:ilvl w:val="0"/>
          <w:numId w:val="2"/>
        </w:numPr>
        <w:spacing w:after="80" w:line="260"/>
      </w:pPr>
      <w:r>
        <w:rPr>
          <w:rFonts w:ascii="Arial" w:cs="Arial" w:eastAsia="Arial" w:hAnsi="Arial"/>
          <w:color w:val="333333"/>
          <w:sz w:val="21"/>
          <w:szCs w:val="21"/>
        </w:rPr>
        <w:t xml:space="preserve">Evidence Upload: secure document management for audit evidence submission</w:t>
      </w:r>
    </w:p>
    <w:p>
      <w:pPr>
        <w:pStyle w:val="ListParagraph"/>
        <w:numPr>
          <w:ilvl w:val="0"/>
          <w:numId w:val="2"/>
        </w:numPr>
        <w:spacing w:after="80" w:line="260"/>
      </w:pPr>
      <w:r>
        <w:rPr>
          <w:rFonts w:ascii="Arial" w:cs="Arial" w:eastAsia="Arial" w:hAnsi="Arial"/>
          <w:color w:val="333333"/>
          <w:sz w:val="21"/>
          <w:szCs w:val="21"/>
        </w:rPr>
        <w:t xml:space="preserve">Audit Tracker: visibility into audit scheduling, progress, and findings</w:t>
      </w:r>
    </w:p>
    <w:p>
      <w:pPr>
        <w:pStyle w:val="ListParagraph"/>
        <w:numPr>
          <w:ilvl w:val="0"/>
          <w:numId w:val="2"/>
        </w:numPr>
        <w:spacing w:after="80" w:line="260"/>
      </w:pPr>
      <w:r>
        <w:rPr>
          <w:rFonts w:ascii="Arial" w:cs="Arial" w:eastAsia="Arial" w:hAnsi="Arial"/>
          <w:color w:val="333333"/>
          <w:sz w:val="21"/>
          <w:szCs w:val="21"/>
        </w:rPr>
        <w:t xml:space="preserve">Renewal Management: automated reminders, renewal workflow, renewal pricing</w:t>
      </w:r>
    </w:p>
    <w:p>
      <w:pPr>
        <w:pStyle w:val="ListParagraph"/>
        <w:numPr>
          <w:ilvl w:val="0"/>
          <w:numId w:val="2"/>
        </w:numPr>
        <w:spacing w:after="80" w:line="260"/>
      </w:pPr>
      <w:r>
        <w:rPr>
          <w:rFonts w:ascii="Arial" w:cs="Arial" w:eastAsia="Arial" w:hAnsi="Arial"/>
          <w:color w:val="333333"/>
          <w:sz w:val="21"/>
          <w:szCs w:val="21"/>
        </w:rPr>
        <w:t xml:space="preserve">AIC Pulse Integration: monitoring dashboard embedded in the portal</w:t>
      </w:r>
    </w:p>
    <w:p>
      <w:pPr>
        <w:pStyle w:val="ListParagraph"/>
        <w:numPr>
          <w:ilvl w:val="0"/>
          <w:numId w:val="2"/>
        </w:numPr>
        <w:spacing w:after="80" w:line="260"/>
      </w:pPr>
      <w:r>
        <w:rPr>
          <w:rFonts w:ascii="Arial" w:cs="Arial" w:eastAsia="Arial" w:hAnsi="Arial"/>
          <w:color w:val="333333"/>
          <w:sz w:val="21"/>
          <w:szCs w:val="21"/>
        </w:rPr>
        <w:t xml:space="preserve">Marketing Assets: downloadable certification badges, tender language templates, case study summaries</w:t>
      </w:r>
    </w:p>
    <w:p>
      <w:pPr>
        <w:pStyle w:val="Heading2"/>
        <w:spacing w:before="280" w:after="160"/>
      </w:pPr>
      <w:r>
        <w:rPr>
          <w:rFonts w:ascii="Arial" w:cs="Arial" w:eastAsia="Arial" w:hAnsi="Arial"/>
          <w:b/>
          <w:bCs/>
          <w:color w:val="1A1A1A"/>
          <w:sz w:val="26"/>
          <w:szCs w:val="26"/>
        </w:rPr>
        <w:t xml:space="preserve">12.3 Insurance Integration Layer</w:t>
      </w:r>
    </w:p>
    <w:p>
      <w:pPr>
        <w:spacing w:after="120" w:line="276"/>
        <w:jc w:val="left"/>
      </w:pPr>
      <w:r>
        <w:rPr>
          <w:rFonts w:ascii="Arial" w:cs="Arial" w:eastAsia="Arial" w:hAnsi="Arial"/>
          <w:color w:val="333333"/>
          <w:sz w:val="22"/>
          <w:szCs w:val="22"/>
        </w:rPr>
        <w:t xml:space="preserve">One of AIC's most powerful value propositions is the financial incentive: certified organisations should pay less for liability insurance covering AI-related discrimination claims. This requires a direct integration layer between AIC and insurance partners.</w:t>
      </w:r>
    </w:p>
    <w:p>
      <w:pPr>
        <w:pStyle w:val="ListParagraph"/>
        <w:numPr>
          <w:ilvl w:val="0"/>
          <w:numId w:val="2"/>
        </w:numPr>
        <w:spacing w:after="80" w:line="260"/>
      </w:pPr>
      <w:r>
        <w:rPr>
          <w:rFonts w:ascii="Arial" w:cs="Arial" w:eastAsia="Arial" w:hAnsi="Arial"/>
          <w:color w:val="333333"/>
          <w:sz w:val="21"/>
          <w:szCs w:val="21"/>
        </w:rPr>
        <w:t xml:space="preserve">API-based certification status verification: insurers can confirm AIC certification in real-time</w:t>
      </w:r>
    </w:p>
    <w:p>
      <w:pPr>
        <w:pStyle w:val="ListParagraph"/>
        <w:numPr>
          <w:ilvl w:val="0"/>
          <w:numId w:val="2"/>
        </w:numPr>
        <w:spacing w:after="80" w:line="260"/>
      </w:pPr>
      <w:r>
        <w:rPr>
          <w:rFonts w:ascii="Arial" w:cs="Arial" w:eastAsia="Arial" w:hAnsi="Arial"/>
          <w:color w:val="333333"/>
          <w:sz w:val="21"/>
          <w:szCs w:val="21"/>
        </w:rPr>
        <w:t xml:space="preserve">Automated premium discount application: when an organisation certifies, their insurer is notified</w:t>
      </w:r>
    </w:p>
    <w:p>
      <w:pPr>
        <w:pStyle w:val="ListParagraph"/>
        <w:numPr>
          <w:ilvl w:val="0"/>
          <w:numId w:val="2"/>
        </w:numPr>
        <w:spacing w:after="80" w:line="260"/>
      </w:pPr>
      <w:r>
        <w:rPr>
          <w:rFonts w:ascii="Arial" w:cs="Arial" w:eastAsia="Arial" w:hAnsi="Arial"/>
          <w:color w:val="333333"/>
          <w:sz w:val="21"/>
          <w:szCs w:val="21"/>
        </w:rPr>
        <w:t xml:space="preserve">Risk scoring integration: AIC's Integrity Score feeds into actuarial models</w:t>
      </w:r>
    </w:p>
    <w:p>
      <w:pPr>
        <w:pStyle w:val="ListParagraph"/>
        <w:numPr>
          <w:ilvl w:val="0"/>
          <w:numId w:val="2"/>
        </w:numPr>
        <w:spacing w:after="80" w:line="260"/>
      </w:pPr>
      <w:r>
        <w:rPr>
          <w:rFonts w:ascii="Arial" w:cs="Arial" w:eastAsia="Arial" w:hAnsi="Arial"/>
          <w:color w:val="333333"/>
          <w:sz w:val="21"/>
          <w:szCs w:val="21"/>
        </w:rPr>
        <w:t xml:space="preserve">Partners: iTOO, Santam, Old Mutual, Discovery (initial targets)</w:t>
      </w:r>
    </w:p>
    <w:p>
      <w:pPr>
        <w:pStyle w:val="ListParagraph"/>
        <w:numPr>
          <w:ilvl w:val="0"/>
          <w:numId w:val="2"/>
        </w:numPr>
        <w:spacing w:after="80" w:line="260"/>
      </w:pPr>
      <w:r>
        <w:rPr>
          <w:rFonts w:ascii="Arial" w:cs="Arial" w:eastAsia="Arial" w:hAnsi="Arial"/>
          <w:color w:val="333333"/>
          <w:sz w:val="21"/>
          <w:szCs w:val="21"/>
        </w:rPr>
        <w:t xml:space="preserve">Revenue share: AIC takes a referral fee or integration fee from insurance partners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AF37" w:sz="3"/>
              <w:left w:val="none" w:color="FFFFFF" w:sz="0"/>
              <w:bottom w:val="none" w:color="FFFFFF" w:sz="0"/>
              <w:right w:val="none" w:color="FFFFFF" w:sz="0"/>
            </w:tcBorders>
            <w:shd w:fill="FAFAF7" w:val="clear"/>
            <w:tcMar>
              <w:top w:type="dxa" w:w="120"/>
              <w:left w:type="dxa" w:w="240"/>
              <w:bottom w:type="dxa" w:w="120"/>
              <w:right w:type="dxa" w:w="240"/>
            </w:tcMar>
          </w:tcPr>
          <w:p>
            <w:pPr>
              <w:spacing w:after="0" w:line="260"/>
            </w:pPr>
            <w:r>
              <w:rPr>
                <w:rFonts w:ascii="Arial" w:cs="Arial" w:eastAsia="Arial" w:hAnsi="Arial"/>
                <w:color w:val="333333"/>
                <w:sz w:val="21"/>
                <w:szCs w:val="21"/>
              </w:rPr>
              <w:t xml:space="preserve">The insurance integration is the mechanism that transforms certification from "nice to have" to "financially incentivised must-have." An 18% premium reduction on AI liability coverage pays for certification many times over.</w:t>
            </w:r>
          </w:p>
        </w:tc>
      </w:tr>
    </w:tbl>
    <w:p>
      <w:pPr>
        <w:pStyle w:val="Heading2"/>
        <w:spacing w:before="280" w:after="160"/>
      </w:pPr>
      <w:r>
        <w:rPr>
          <w:rFonts w:ascii="Arial" w:cs="Arial" w:eastAsia="Arial" w:hAnsi="Arial"/>
          <w:b/>
          <w:bCs/>
          <w:color w:val="1A1A1A"/>
          <w:sz w:val="26"/>
          <w:szCs w:val="26"/>
        </w:rPr>
        <w:t xml:space="preserve">12.4 SADC Regional Expansion</w:t>
      </w:r>
    </w:p>
    <w:p>
      <w:pPr>
        <w:spacing w:after="120" w:line="276"/>
        <w:jc w:val="left"/>
      </w:pPr>
      <w:r>
        <w:rPr>
          <w:rFonts w:ascii="Arial" w:cs="Arial" w:eastAsia="Arial" w:hAnsi="Arial"/>
          <w:color w:val="333333"/>
          <w:sz w:val="22"/>
          <w:szCs w:val="22"/>
        </w:rPr>
        <w:t xml:space="preserve">South Africa is the beachhead. But the SADC region — 15 countries, 380 million people — represents the long-term market. SADCAS (SADC Accreditation Service) mutual recognition arrangements mean a SANAS-accredited certification can be recognised across the region.</w:t>
      </w:r>
    </w:p>
    <w:p>
      <w:pPr>
        <w:pStyle w:val="ListParagraph"/>
        <w:numPr>
          <w:ilvl w:val="0"/>
          <w:numId w:val="2"/>
        </w:numPr>
        <w:spacing w:after="80" w:line="260"/>
      </w:pPr>
      <w:r>
        <w:rPr>
          <w:rFonts w:ascii="Arial" w:cs="Arial" w:eastAsia="Arial" w:hAnsi="Arial"/>
          <w:color w:val="333333"/>
          <w:sz w:val="21"/>
          <w:szCs w:val="21"/>
        </w:rPr>
        <w:t xml:space="preserve">Country-specific regulatory mapping: each SADC country's data protection law mapped to AIC tiers</w:t>
      </w:r>
    </w:p>
    <w:p>
      <w:pPr>
        <w:pStyle w:val="ListParagraph"/>
        <w:numPr>
          <w:ilvl w:val="0"/>
          <w:numId w:val="2"/>
        </w:numPr>
        <w:spacing w:after="80" w:line="260"/>
      </w:pPr>
      <w:r>
        <w:rPr>
          <w:rFonts w:ascii="Arial" w:cs="Arial" w:eastAsia="Arial" w:hAnsi="Arial"/>
          <w:color w:val="333333"/>
          <w:sz w:val="21"/>
          <w:szCs w:val="21"/>
        </w:rPr>
        <w:t xml:space="preserve">Multi-language support: English, Afrikaans, Zulu, Xhosa, Portuguese (Mozambique), French (DRC)</w:t>
      </w:r>
    </w:p>
    <w:p>
      <w:pPr>
        <w:pStyle w:val="ListParagraph"/>
        <w:numPr>
          <w:ilvl w:val="0"/>
          <w:numId w:val="2"/>
        </w:numPr>
        <w:spacing w:after="80" w:line="260"/>
      </w:pPr>
      <w:r>
        <w:rPr>
          <w:rFonts w:ascii="Arial" w:cs="Arial" w:eastAsia="Arial" w:hAnsi="Arial"/>
          <w:color w:val="333333"/>
          <w:sz w:val="21"/>
          <w:szCs w:val="21"/>
        </w:rPr>
        <w:t xml:space="preserve">Regional pricing: adjusted for local market conditions</w:t>
      </w:r>
    </w:p>
    <w:p>
      <w:pPr>
        <w:pStyle w:val="ListParagraph"/>
        <w:numPr>
          <w:ilvl w:val="0"/>
          <w:numId w:val="2"/>
        </w:numPr>
        <w:spacing w:after="80" w:line="260"/>
      </w:pPr>
      <w:r>
        <w:rPr>
          <w:rFonts w:ascii="Arial" w:cs="Arial" w:eastAsia="Arial" w:hAnsi="Arial"/>
          <w:color w:val="333333"/>
          <w:sz w:val="21"/>
          <w:szCs w:val="21"/>
        </w:rPr>
        <w:t xml:space="preserve">Partnership with SADCAS: mutual recognition agreement for cross-border certification validity</w:t>
      </w:r>
    </w:p>
    <w:p>
      <w:pPr>
        <w:pStyle w:val="ListParagraph"/>
        <w:numPr>
          <w:ilvl w:val="0"/>
          <w:numId w:val="2"/>
        </w:numPr>
        <w:spacing w:after="80" w:line="260"/>
      </w:pPr>
      <w:r>
        <w:rPr>
          <w:rFonts w:ascii="Arial" w:cs="Arial" w:eastAsia="Arial" w:hAnsi="Arial"/>
          <w:color w:val="333333"/>
          <w:sz w:val="21"/>
          <w:szCs w:val="21"/>
        </w:rPr>
        <w:t xml:space="preserve">Pan-African positioning: "South Africa's AI accountability standard, recognised across Africa"</w:t>
      </w:r>
    </w:p>
    <w:p>
      <w:pPr>
        <w:pStyle w:val="Heading2"/>
        <w:spacing w:before="280" w:after="160"/>
      </w:pPr>
      <w:r>
        <w:rPr>
          <w:rFonts w:ascii="Arial" w:cs="Arial" w:eastAsia="Arial" w:hAnsi="Arial"/>
          <w:b/>
          <w:bCs/>
          <w:color w:val="1A1A1A"/>
          <w:sz w:val="26"/>
          <w:szCs w:val="26"/>
        </w:rPr>
        <w:t xml:space="preserve">12.5 Lead Auditor Training Programme</w:t>
      </w:r>
    </w:p>
    <w:p>
      <w:pPr>
        <w:spacing w:after="120" w:line="276"/>
        <w:jc w:val="left"/>
      </w:pPr>
      <w:r>
        <w:rPr>
          <w:rFonts w:ascii="Arial" w:cs="Arial" w:eastAsia="Arial" w:hAnsi="Arial"/>
          <w:color w:val="333333"/>
          <w:sz w:val="22"/>
          <w:szCs w:val="22"/>
        </w:rPr>
        <w:t xml:space="preserve">AIC can only scale if it has enough qualified auditors. Training is both a talent pipeline and a revenue stream.</w:t>
      </w:r>
    </w:p>
    <w:p>
      <w:pPr>
        <w:pStyle w:val="ListParagraph"/>
        <w:numPr>
          <w:ilvl w:val="0"/>
          <w:numId w:val="2"/>
        </w:numPr>
        <w:spacing w:after="80" w:line="260"/>
      </w:pPr>
      <w:r>
        <w:rPr>
          <w:rFonts w:ascii="Arial" w:cs="Arial" w:eastAsia="Arial" w:hAnsi="Arial"/>
          <w:color w:val="333333"/>
          <w:sz w:val="21"/>
          <w:szCs w:val="21"/>
        </w:rPr>
        <w:t xml:space="preserve">Online + in-person training curriculum: AI governance fundamentals, POPIA Section 71 interpretation, AIC audit methodology, bias testing techniques</w:t>
      </w:r>
    </w:p>
    <w:p>
      <w:pPr>
        <w:pStyle w:val="ListParagraph"/>
        <w:numPr>
          <w:ilvl w:val="0"/>
          <w:numId w:val="2"/>
        </w:numPr>
        <w:spacing w:after="80" w:line="260"/>
      </w:pPr>
      <w:r>
        <w:rPr>
          <w:rFonts w:ascii="Arial" w:cs="Arial" w:eastAsia="Arial" w:hAnsi="Arial"/>
          <w:color w:val="333333"/>
          <w:sz w:val="21"/>
          <w:szCs w:val="21"/>
        </w:rPr>
        <w:t xml:space="preserve">Certification: graduates receive "AIC Certified Lead Auditor" designation</w:t>
      </w:r>
    </w:p>
    <w:p>
      <w:pPr>
        <w:pStyle w:val="ListParagraph"/>
        <w:numPr>
          <w:ilvl w:val="0"/>
          <w:numId w:val="2"/>
        </w:numPr>
        <w:spacing w:after="80" w:line="260"/>
      </w:pPr>
      <w:r>
        <w:rPr>
          <w:rFonts w:ascii="Arial" w:cs="Arial" w:eastAsia="Arial" w:hAnsi="Arial"/>
          <w:color w:val="333333"/>
          <w:sz w:val="21"/>
          <w:szCs w:val="21"/>
        </w:rPr>
        <w:t xml:space="preserve">Pricing: ZAR 35,000 per trainee (based on ISO Lead Auditor training market benchmarks)</w:t>
      </w:r>
    </w:p>
    <w:p>
      <w:pPr>
        <w:pStyle w:val="ListParagraph"/>
        <w:numPr>
          <w:ilvl w:val="0"/>
          <w:numId w:val="2"/>
        </w:numPr>
        <w:spacing w:after="80" w:line="260"/>
      </w:pPr>
      <w:r>
        <w:rPr>
          <w:rFonts w:ascii="Arial" w:cs="Arial" w:eastAsia="Arial" w:hAnsi="Arial"/>
          <w:color w:val="333333"/>
          <w:sz w:val="21"/>
          <w:szCs w:val="21"/>
        </w:rPr>
        <w:t xml:space="preserve">Pipeline: target 50+ certified lead auditors within 3 years</w:t>
      </w:r>
    </w:p>
    <w:p>
      <w:pPr>
        <w:pStyle w:val="ListParagraph"/>
        <w:numPr>
          <w:ilvl w:val="0"/>
          <w:numId w:val="2"/>
        </w:numPr>
        <w:spacing w:after="80" w:line="260"/>
      </w:pPr>
      <w:r>
        <w:rPr>
          <w:rFonts w:ascii="Arial" w:cs="Arial" w:eastAsia="Arial" w:hAnsi="Arial"/>
          <w:color w:val="333333"/>
          <w:sz w:val="21"/>
          <w:szCs w:val="21"/>
        </w:rPr>
        <w:t xml:space="preserve">University partnerships: embed AIC training in computer science and law curricula</w:t>
      </w:r>
    </w:p>
    <w:p>
      <w:pPr>
        <w:pStyle w:val="Heading2"/>
        <w:spacing w:before="280" w:after="160"/>
      </w:pPr>
      <w:r>
        <w:rPr>
          <w:rFonts w:ascii="Arial" w:cs="Arial" w:eastAsia="Arial" w:hAnsi="Arial"/>
          <w:b/>
          <w:bCs/>
          <w:color w:val="1A1A1A"/>
          <w:sz w:val="26"/>
          <w:szCs w:val="26"/>
        </w:rPr>
        <w:t xml:space="preserve">12.6 Government &amp; Tender Integration</w:t>
      </w:r>
    </w:p>
    <w:p>
      <w:pPr>
        <w:spacing w:after="120" w:line="276"/>
        <w:jc w:val="left"/>
      </w:pPr>
      <w:r>
        <w:rPr>
          <w:rFonts w:ascii="Arial" w:cs="Arial" w:eastAsia="Arial" w:hAnsi="Arial"/>
          <w:color w:val="333333"/>
          <w:sz w:val="22"/>
          <w:szCs w:val="22"/>
        </w:rPr>
        <w:t xml:space="preserve">The most durable demand driver is mandate. When government procurement requires AI certification for public contracts, certification becomes non-negotiable for any organisation wanting government business.</w:t>
      </w:r>
    </w:p>
    <w:p>
      <w:pPr>
        <w:pStyle w:val="ListParagraph"/>
        <w:numPr>
          <w:ilvl w:val="0"/>
          <w:numId w:val="2"/>
        </w:numPr>
        <w:spacing w:after="80" w:line="260"/>
      </w:pPr>
      <w:r>
        <w:rPr>
          <w:rFonts w:ascii="Arial" w:cs="Arial" w:eastAsia="Arial" w:hAnsi="Arial"/>
          <w:color w:val="333333"/>
          <w:sz w:val="21"/>
          <w:szCs w:val="21"/>
        </w:rPr>
        <w:t xml:space="preserve">Advocacy: work with National Treasury and department procurement teams to include AI certification in RFP templates</w:t>
      </w:r>
    </w:p>
    <w:p>
      <w:pPr>
        <w:pStyle w:val="ListParagraph"/>
        <w:numPr>
          <w:ilvl w:val="0"/>
          <w:numId w:val="2"/>
        </w:numPr>
        <w:spacing w:after="80" w:line="260"/>
      </w:pPr>
      <w:r>
        <w:rPr>
          <w:rFonts w:ascii="Arial" w:cs="Arial" w:eastAsia="Arial" w:hAnsi="Arial"/>
          <w:color w:val="333333"/>
          <w:sz w:val="21"/>
          <w:szCs w:val="21"/>
        </w:rPr>
        <w:t xml:space="preserve">Tender language: provide ready-to-use certification requirement clauses for procurement documents</w:t>
      </w:r>
    </w:p>
    <w:p>
      <w:pPr>
        <w:pStyle w:val="ListParagraph"/>
        <w:numPr>
          <w:ilvl w:val="0"/>
          <w:numId w:val="2"/>
        </w:numPr>
        <w:spacing w:after="80" w:line="260"/>
      </w:pPr>
      <w:r>
        <w:rPr>
          <w:rFonts w:ascii="Arial" w:cs="Arial" w:eastAsia="Arial" w:hAnsi="Arial"/>
          <w:color w:val="333333"/>
          <w:sz w:val="21"/>
          <w:szCs w:val="21"/>
        </w:rPr>
        <w:t xml:space="preserve">Public sector certification: offer tailored programmes for government agencies deploying AI</w:t>
      </w:r>
    </w:p>
    <w:p>
      <w:pPr>
        <w:pStyle w:val="ListParagraph"/>
        <w:numPr>
          <w:ilvl w:val="0"/>
          <w:numId w:val="2"/>
        </w:numPr>
        <w:spacing w:after="80" w:line="260"/>
      </w:pPr>
      <w:r>
        <w:rPr>
          <w:rFonts w:ascii="Arial" w:cs="Arial" w:eastAsia="Arial" w:hAnsi="Arial"/>
          <w:color w:val="333333"/>
          <w:sz w:val="21"/>
          <w:szCs w:val="21"/>
        </w:rPr>
        <w:t xml:space="preserve">Timeline: target first tender requirement within 24 months of launch</w:t>
      </w:r>
    </w:p>
    <w:p>
      <w:pPr>
        <w:pStyle w:val="Heading2"/>
        <w:spacing w:before="280" w:after="160"/>
      </w:pPr>
      <w:r>
        <w:rPr>
          <w:rFonts w:ascii="Arial" w:cs="Arial" w:eastAsia="Arial" w:hAnsi="Arial"/>
          <w:b/>
          <w:bCs/>
          <w:color w:val="1A1A1A"/>
          <w:sz w:val="26"/>
          <w:szCs w:val="26"/>
        </w:rPr>
        <w:t xml:space="preserve">12.7 Mobile Application</w:t>
      </w:r>
    </w:p>
    <w:p>
      <w:pPr>
        <w:spacing w:after="120" w:line="276"/>
        <w:jc w:val="left"/>
      </w:pPr>
      <w:r>
        <w:rPr>
          <w:rFonts w:ascii="Arial" w:cs="Arial" w:eastAsia="Arial" w:hAnsi="Arial"/>
          <w:color w:val="333333"/>
          <w:sz w:val="22"/>
          <w:szCs w:val="22"/>
        </w:rPr>
        <w:t xml:space="preserve">As AIC Pulse matures, a mobile app becomes natural — allowing CROs and compliance officers to monitor AI governance health on the go.</w:t>
      </w:r>
    </w:p>
    <w:p>
      <w:pPr>
        <w:pStyle w:val="ListParagraph"/>
        <w:numPr>
          <w:ilvl w:val="0"/>
          <w:numId w:val="2"/>
        </w:numPr>
        <w:spacing w:after="80" w:line="260"/>
      </w:pPr>
      <w:r>
        <w:rPr>
          <w:rFonts w:ascii="Arial" w:cs="Arial" w:eastAsia="Arial" w:hAnsi="Arial"/>
          <w:color w:val="333333"/>
          <w:sz w:val="21"/>
          <w:szCs w:val="21"/>
        </w:rPr>
        <w:t xml:space="preserve">iOS and Android apps using the same API as the web platform</w:t>
      </w:r>
    </w:p>
    <w:p>
      <w:pPr>
        <w:pStyle w:val="ListParagraph"/>
        <w:numPr>
          <w:ilvl w:val="0"/>
          <w:numId w:val="2"/>
        </w:numPr>
        <w:spacing w:after="80" w:line="260"/>
      </w:pPr>
      <w:r>
        <w:rPr>
          <w:rFonts w:ascii="Arial" w:cs="Arial" w:eastAsia="Arial" w:hAnsi="Arial"/>
          <w:color w:val="333333"/>
          <w:sz w:val="21"/>
          <w:szCs w:val="21"/>
        </w:rPr>
        <w:t xml:space="preserve">Push notifications for: bias drift alerts, audit reminders, Integrity Score changes</w:t>
      </w:r>
    </w:p>
    <w:p>
      <w:pPr>
        <w:pStyle w:val="ListParagraph"/>
        <w:numPr>
          <w:ilvl w:val="0"/>
          <w:numId w:val="2"/>
        </w:numPr>
        <w:spacing w:after="80" w:line="260"/>
      </w:pPr>
      <w:r>
        <w:rPr>
          <w:rFonts w:ascii="Arial" w:cs="Arial" w:eastAsia="Arial" w:hAnsi="Arial"/>
          <w:color w:val="333333"/>
          <w:sz w:val="21"/>
          <w:szCs w:val="21"/>
        </w:rPr>
        <w:t xml:space="preserve">Dashboard view optimised for mobile</w:t>
      </w:r>
    </w:p>
    <w:p>
      <w:pPr>
        <w:pStyle w:val="ListParagraph"/>
        <w:numPr>
          <w:ilvl w:val="0"/>
          <w:numId w:val="2"/>
        </w:numPr>
        <w:spacing w:after="80" w:line="260"/>
      </w:pPr>
      <w:r>
        <w:rPr>
          <w:rFonts w:ascii="Arial" w:cs="Arial" w:eastAsia="Arial" w:hAnsi="Arial"/>
          <w:color w:val="333333"/>
          <w:sz w:val="21"/>
          <w:szCs w:val="21"/>
        </w:rPr>
        <w:t xml:space="preserve">Timeline: Phase 3+ (after Pulse platform is established)</w:t>
      </w:r>
    </w:p>
    <w:p>
      <w:r>
        <w:br w:type="page"/>
      </w:r>
    </w:p>
    <w:p>
      <w:pPr>
        <w:pStyle w:val="Heading1"/>
        <w:spacing w:before="360" w:after="200"/>
      </w:pPr>
      <w:r>
        <w:rPr>
          <w:rFonts w:ascii="Arial" w:cs="Arial" w:eastAsia="Arial" w:hAnsi="Arial"/>
          <w:b/>
          <w:bCs/>
          <w:color w:val="1A1A1A"/>
          <w:sz w:val="32"/>
          <w:szCs w:val="32"/>
        </w:rPr>
        <w:t xml:space="preserve">13. Competitive Positioning</w:t>
      </w:r>
    </w:p>
    <w:p>
      <w:pPr>
        <w:spacing w:after="120" w:line="276"/>
        <w:jc w:val="left"/>
      </w:pPr>
      <w:r>
        <w:rPr>
          <w:rFonts w:ascii="Arial" w:cs="Arial" w:eastAsia="Arial" w:hAnsi="Arial"/>
          <w:color w:val="333333"/>
          <w:sz w:val="22"/>
          <w:szCs w:val="22"/>
        </w:rPr>
        <w:t xml:space="preserve">Every product decision — content, feature, pricing, messaging — must be informed by where AIC sits relative to alternatives. This competitive map is not just analysis. It is a strategic constraint on every requirement.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200"/>
        <w:gridCol w:w="2100"/>
        <w:gridCol w:w="2526"/>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Competitor</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What They Offer</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Price</w:t>
            </w:r>
          </w:p>
        </w:tc>
        <w:tc>
          <w:tcPr>
            <w:tcW w:type="dxa" w:w="21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AIC's Defensibility</w:t>
            </w:r>
          </w:p>
        </w:tc>
        <w:tc>
          <w:tcPr>
            <w:tcW w:type="dxa" w:w="2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AIC's Strategy</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ISO 42001 (via Bureau Veritas, SGS)</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Generic AI management system certification</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250-500K</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Strong — complementary positioning. AIC certifies decision accountability; ISO 42001 certifies organisational governance.</w:t>
            </w:r>
          </w:p>
        </w:tc>
        <w:tc>
          <w:tcPr>
            <w:tcW w:type="dxa" w:w="2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Partner. Position AIC as the granular, POPIA-native layer that sits alongside ISO 42001.</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Big 4 Consultancies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 ethics advisory and risk assessment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1M+</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Strong — fundamentally different value proposition. Consulting produces advice. AIC produces a displayable, third-party-validated seal.</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Partner as implementation consultants. They prepare clients; AIC audits them.</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 Governance Platforms (Credo AI, Fiddler)</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Technical bias detection and model monitoring software</w:t>
            </w:r>
          </w:p>
        </w:tc>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60-120K/yr</w:t>
            </w:r>
          </w:p>
        </w:tc>
        <w:tc>
          <w:tcPr>
            <w:tcW w:type="dxa" w:w="21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Complementary — AIC Pulse integrates with these tools as data sources.</w:t>
            </w:r>
          </w:p>
        </w:tc>
        <w:tc>
          <w:tcPr>
            <w:tcW w:type="dxa" w:w="2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Integrate. Certified organisations use both. AIC validates governance; tools provide continuous monitoring data.</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Existing SANAS Bodies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Traditional ISO certification (9001, 14001, etc.)</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200-400K</w:t>
            </w:r>
          </w:p>
        </w:tc>
        <w:tc>
          <w:tcPr>
            <w:tcW w:type="dxa" w:w="2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Moderate — first-mover advantage with purpose-built methodology. They have not entered AI despite ISO 42001 existing for 2 years.</w:t>
            </w:r>
          </w:p>
        </w:tc>
        <w:tc>
          <w:tcPr>
            <w:tcW w:type="dxa" w:w="2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Outrun. Lock in clients and methodology before they decide to enter. Become acquisition target.</w:t>
            </w:r>
          </w:p>
        </w:tc>
      </w:tr>
    </w:tbl>
    <w:p>
      <w:r>
        <w:br w:type="page"/>
      </w:r>
    </w:p>
    <w:p>
      <w:pPr>
        <w:pStyle w:val="Heading1"/>
        <w:spacing w:before="360" w:after="200"/>
      </w:pPr>
      <w:r>
        <w:rPr>
          <w:rFonts w:ascii="Arial" w:cs="Arial" w:eastAsia="Arial" w:hAnsi="Arial"/>
          <w:b/>
          <w:bCs/>
          <w:color w:val="1A1A1A"/>
          <w:sz w:val="32"/>
          <w:szCs w:val="32"/>
        </w:rPr>
        <w:t xml:space="preserve">14. Analytics &amp; Measurement Framework</w:t>
      </w:r>
    </w:p>
    <w:p>
      <w:pPr>
        <w:pStyle w:val="Heading2"/>
        <w:spacing w:before="280" w:after="160"/>
      </w:pPr>
      <w:r>
        <w:rPr>
          <w:rFonts w:ascii="Arial" w:cs="Arial" w:eastAsia="Arial" w:hAnsi="Arial"/>
          <w:b/>
          <w:bCs/>
          <w:color w:val="1A1A1A"/>
          <w:sz w:val="26"/>
          <w:szCs w:val="26"/>
        </w:rPr>
        <w:t xml:space="preserve">14.1 Phase 1 Success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700"/>
        <w:gridCol w:w="1700"/>
        <w:gridCol w:w="2826"/>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(30 Days)</w:t>
            </w:r>
          </w:p>
        </w:tc>
        <w:tc>
          <w:tcPr>
            <w:tcW w:type="dxa" w:w="17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Target (90 Days)</w:t>
            </w:r>
          </w:p>
        </w:tc>
        <w:tc>
          <w:tcPr>
            <w:tcW w:type="dxa" w:w="2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Measurement Tool</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Unique Visitors</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200+</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500+</w:t>
            </w:r>
          </w:p>
        </w:tc>
        <w:tc>
          <w:tcPr>
            <w:tcW w:type="dxa" w:w="2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Analytics 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Homepage Bounce Rate</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&lt; 65%</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&lt; 55%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Average Session Duration</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&gt; 1.5 min</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&gt; 2.5 min</w:t>
            </w:r>
          </w:p>
        </w:tc>
        <w:tc>
          <w:tcPr>
            <w:tcW w:type="dxa" w:w="2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Starts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60+</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Events</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Completions</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40+</w:t>
            </w:r>
          </w:p>
        </w:tc>
        <w:tc>
          <w:tcPr>
            <w:tcW w:type="dxa" w:w="2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Events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Captures (Assessment)</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25+</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 Email Platform</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 Form Submissions</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30+</w:t>
            </w:r>
          </w:p>
        </w:tc>
        <w:tc>
          <w:tcPr>
            <w:tcW w:type="dxa" w:w="2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 Forms Platform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 Program Applications</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8+</w:t>
            </w:r>
          </w:p>
        </w:tc>
        <w:tc>
          <w:tcPr>
            <w:tcW w:type="dxa" w:w="2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GA4 + Forms Platform</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 Post Organic Traffic</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50+</w:t>
            </w:r>
          </w:p>
        </w:tc>
        <w:tc>
          <w:tcPr>
            <w:tcW w:type="dxa" w:w="17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200+</w:t>
            </w:r>
          </w:p>
        </w:tc>
        <w:tc>
          <w:tcPr>
            <w:tcW w:type="dxa" w:w="2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Search Console</w:t>
            </w:r>
          </w:p>
        </w:tc>
      </w:tr>
    </w:tbl>
    <w:p>
      <w:pPr>
        <w:pStyle w:val="Heading2"/>
        <w:spacing w:before="280" w:after="160"/>
      </w:pPr>
      <w:r>
        <w:rPr>
          <w:rFonts w:ascii="Arial" w:cs="Arial" w:eastAsia="Arial" w:hAnsi="Arial"/>
          <w:b/>
          <w:bCs/>
          <w:color w:val="1A1A1A"/>
          <w:sz w:val="26"/>
          <w:szCs w:val="26"/>
        </w:rPr>
        <w:t xml:space="preserve">14.2 Key Events to Track</w:t>
      </w:r>
    </w:p>
    <w:p>
      <w:pPr>
        <w:pStyle w:val="ListParagraph"/>
        <w:numPr>
          <w:ilvl w:val="0"/>
          <w:numId w:val="2"/>
        </w:numPr>
        <w:spacing w:after="80" w:line="260"/>
      </w:pPr>
      <w:r>
        <w:rPr>
          <w:rFonts w:ascii="Arial" w:cs="Arial" w:eastAsia="Arial" w:hAnsi="Arial"/>
          <w:color w:val="333333"/>
          <w:sz w:val="21"/>
          <w:szCs w:val="21"/>
        </w:rPr>
        <w:t xml:space="preserve">assessment_started — user begins the self-assessment quiz</w:t>
      </w:r>
    </w:p>
    <w:p>
      <w:pPr>
        <w:pStyle w:val="ListParagraph"/>
        <w:numPr>
          <w:ilvl w:val="0"/>
          <w:numId w:val="2"/>
        </w:numPr>
        <w:spacing w:after="80" w:line="260"/>
      </w:pPr>
      <w:r>
        <w:rPr>
          <w:rFonts w:ascii="Arial" w:cs="Arial" w:eastAsia="Arial" w:hAnsi="Arial"/>
          <w:color w:val="333333"/>
          <w:sz w:val="21"/>
          <w:szCs w:val="21"/>
        </w:rPr>
        <w:t xml:space="preserve">assessment_question_answered — tracks which questions are answered (identifies drop-off points)</w:t>
      </w:r>
    </w:p>
    <w:p>
      <w:pPr>
        <w:pStyle w:val="ListParagraph"/>
        <w:numPr>
          <w:ilvl w:val="0"/>
          <w:numId w:val="2"/>
        </w:numPr>
        <w:spacing w:after="80" w:line="260"/>
      </w:pPr>
      <w:r>
        <w:rPr>
          <w:rFonts w:ascii="Arial" w:cs="Arial" w:eastAsia="Arial" w:hAnsi="Arial"/>
          <w:color w:val="333333"/>
          <w:sz w:val="21"/>
          <w:szCs w:val="21"/>
        </w:rPr>
        <w:t xml:space="preserve">assessment_email_captured — user provides email at the gate</w:t>
      </w:r>
    </w:p>
    <w:p>
      <w:pPr>
        <w:pStyle w:val="ListParagraph"/>
        <w:numPr>
          <w:ilvl w:val="0"/>
          <w:numId w:val="2"/>
        </w:numPr>
        <w:spacing w:after="80" w:line="260"/>
      </w:pPr>
      <w:r>
        <w:rPr>
          <w:rFonts w:ascii="Arial" w:cs="Arial" w:eastAsia="Arial" w:hAnsi="Arial"/>
          <w:color w:val="333333"/>
          <w:sz w:val="21"/>
          <w:szCs w:val="21"/>
        </w:rPr>
        <w:t xml:space="preserve">assessment_completed — user finishes all 20 questions</w:t>
      </w:r>
    </w:p>
    <w:p>
      <w:pPr>
        <w:pStyle w:val="ListParagraph"/>
        <w:numPr>
          <w:ilvl w:val="0"/>
          <w:numId w:val="2"/>
        </w:numPr>
        <w:spacing w:after="80" w:line="260"/>
      </w:pPr>
      <w:r>
        <w:rPr>
          <w:rFonts w:ascii="Arial" w:cs="Arial" w:eastAsia="Arial" w:hAnsi="Arial"/>
          <w:color w:val="333333"/>
          <w:sz w:val="21"/>
          <w:szCs w:val="21"/>
        </w:rPr>
        <w:t xml:space="preserve">assessment_report_downloaded — user downloads PDF report</w:t>
      </w:r>
    </w:p>
    <w:p>
      <w:pPr>
        <w:pStyle w:val="ListParagraph"/>
        <w:numPr>
          <w:ilvl w:val="0"/>
          <w:numId w:val="2"/>
        </w:numPr>
        <w:spacing w:after="80" w:line="260"/>
      </w:pPr>
      <w:r>
        <w:rPr>
          <w:rFonts w:ascii="Arial" w:cs="Arial" w:eastAsia="Arial" w:hAnsi="Arial"/>
          <w:color w:val="333333"/>
          <w:sz w:val="21"/>
          <w:szCs w:val="21"/>
        </w:rPr>
        <w:t xml:space="preserve">alpha_application_submitted — user completes Alpha Program application</w:t>
      </w:r>
    </w:p>
    <w:p>
      <w:pPr>
        <w:pStyle w:val="ListParagraph"/>
        <w:numPr>
          <w:ilvl w:val="0"/>
          <w:numId w:val="2"/>
        </w:numPr>
        <w:spacing w:after="80" w:line="260"/>
      </w:pPr>
      <w:r>
        <w:rPr>
          <w:rFonts w:ascii="Arial" w:cs="Arial" w:eastAsia="Arial" w:hAnsi="Arial"/>
          <w:color w:val="333333"/>
          <w:sz w:val="21"/>
          <w:szCs w:val="21"/>
        </w:rPr>
        <w:t xml:space="preserve">contact_form_submitted — any contact form submission (with form type)</w:t>
      </w:r>
    </w:p>
    <w:p>
      <w:pPr>
        <w:pStyle w:val="ListParagraph"/>
        <w:numPr>
          <w:ilvl w:val="0"/>
          <w:numId w:val="2"/>
        </w:numPr>
        <w:spacing w:after="80" w:line="260"/>
      </w:pPr>
      <w:r>
        <w:rPr>
          <w:rFonts w:ascii="Arial" w:cs="Arial" w:eastAsia="Arial" w:hAnsi="Arial"/>
          <w:color w:val="333333"/>
          <w:sz w:val="21"/>
          <w:szCs w:val="21"/>
        </w:rPr>
        <w:t xml:space="preserve">blog_post_read — user reads a full blog post (scroll depth &gt; 75%)</w:t>
      </w:r>
    </w:p>
    <w:p>
      <w:pPr>
        <w:pStyle w:val="ListParagraph"/>
        <w:numPr>
          <w:ilvl w:val="0"/>
          <w:numId w:val="2"/>
        </w:numPr>
        <w:spacing w:after="80" w:line="260"/>
      </w:pPr>
      <w:r>
        <w:rPr>
          <w:rFonts w:ascii="Arial" w:cs="Arial" w:eastAsia="Arial" w:hAnsi="Arial"/>
          <w:color w:val="333333"/>
          <w:sz w:val="21"/>
          <w:szCs w:val="21"/>
        </w:rPr>
        <w:t xml:space="preserve">cta_clicked — tracks all CTA button clicks with destination</w:t>
      </w:r>
    </w:p>
    <w:p>
      <w:pPr>
        <w:pStyle w:val="Heading2"/>
        <w:spacing w:before="280" w:after="160"/>
      </w:pPr>
      <w:r>
        <w:rPr>
          <w:rFonts w:ascii="Arial" w:cs="Arial" w:eastAsia="Arial" w:hAnsi="Arial"/>
          <w:b/>
          <w:bCs/>
          <w:color w:val="1A1A1A"/>
          <w:sz w:val="26"/>
          <w:szCs w:val="26"/>
        </w:rPr>
        <w:t xml:space="preserve">14.3 Conversion Funnel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4013"/>
        <w:gridCol w:w="3013"/>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Stage</w:t>
            </w:r>
          </w:p>
        </w:tc>
        <w:tc>
          <w:tcPr>
            <w:tcW w:type="dxa" w:w="40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Action</w:t>
            </w:r>
          </w:p>
        </w:tc>
        <w:tc>
          <w:tcPr>
            <w:tcW w:type="dxa" w:w="3013"/>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Expected Conversion</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Visitor</w:t>
            </w:r>
          </w:p>
        </w:tc>
        <w:tc>
          <w:tcPr>
            <w:tcW w:type="dxa" w:w="4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Lands on any page</w:t>
            </w:r>
          </w:p>
        </w:tc>
        <w:tc>
          <w:tcPr>
            <w:tcW w:type="dxa" w:w="3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100% (baseline)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Engaged</w:t>
            </w:r>
          </w:p>
        </w:tc>
        <w:tc>
          <w:tcPr>
            <w:tcW w:type="dxa" w:w="4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Views 2+ pages or stays &gt; 2 min</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40-50%</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Interested</w:t>
            </w:r>
          </w:p>
        </w:tc>
        <w:tc>
          <w:tcPr>
            <w:tcW w:type="dxa" w:w="4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Starts self-assessment or reads blog</w:t>
            </w:r>
          </w:p>
        </w:tc>
        <w:tc>
          <w:tcPr>
            <w:tcW w:type="dxa" w:w="3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15-25%</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Qualified</w:t>
            </w:r>
          </w:p>
        </w:tc>
        <w:tc>
          <w:tcPr>
            <w:tcW w:type="dxa" w:w="4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Completes self-assessment or submits contact form</w:t>
            </w:r>
          </w:p>
        </w:tc>
        <w:tc>
          <w:tcPr>
            <w:tcW w:type="dxa" w:w="3013"/>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8-12%</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Intent</w:t>
            </w:r>
          </w:p>
        </w:tc>
        <w:tc>
          <w:tcPr>
            <w:tcW w:type="dxa" w:w="4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Submits Alpha Program application</w:t>
            </w:r>
          </w:p>
        </w:tc>
        <w:tc>
          <w:tcPr>
            <w:tcW w:type="dxa" w:w="3013"/>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2-5%</w:t>
            </w:r>
          </w:p>
        </w:tc>
      </w:tr>
    </w:tbl>
    <w:p>
      <w:r>
        <w:br w:type="page"/>
      </w:r>
    </w:p>
    <w:p>
      <w:pPr>
        <w:pStyle w:val="Heading1"/>
        <w:spacing w:before="360" w:after="200"/>
      </w:pPr>
      <w:r>
        <w:rPr>
          <w:rFonts w:ascii="Arial" w:cs="Arial" w:eastAsia="Arial" w:hAnsi="Arial"/>
          <w:b/>
          <w:bCs/>
          <w:color w:val="1A1A1A"/>
          <w:sz w:val="32"/>
          <w:szCs w:val="32"/>
        </w:rPr>
        <w:t xml:space="preserve">15. Risks &amp; Mitigations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228"/>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Likelihood</w:t>
            </w:r>
          </w:p>
        </w:tc>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Impact</w:t>
            </w:r>
          </w:p>
        </w:tc>
        <w:tc>
          <w:tcPr>
            <w:tcW w:type="dxa" w:w="4228"/>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website traffic — SEO takes time to build</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42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Supplement with paid LinkedIn campaigns targeting CROs/CCOs. Publish high-value content early. Leverage any existing networks for initial traffic.</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tool has high abandonment rate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42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A/B test question length and format. Reduce to 15 questions if completion rate &lt; 40%. Make email gate optional (partial results shown).</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Competitors launch similar product before AIC launches</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42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First-mover advantage is already established through documentation, framework design, and Alpha Program planning. Speed of execution is the defence.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POPIA enforcement remains weak — no urgency to certify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42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Position certification as proactive risk management, not just compliance. Insurance premium discounts create financial incentive independent of enforcement.</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Technical debt accumulates — Phase 1 shortcuts block Phase 2</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42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Architecture designed for extensibility from day one. API endpoints stubbed. No hardcoded dependencies. Component library reusable across all phases.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 Program fails to attract participants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type="dxa" w:w="4228"/>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Validate messaging with 20 outreach conversations before building the application page. Adjust positioning based on feedback.</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Website performance degrades as content grows</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w:t>
            </w:r>
          </w:p>
        </w:tc>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type="dxa" w:w="4228"/>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static generation handles this at scale. Image optimisation and code splitting built in from the start.</w:t>
            </w:r>
          </w:p>
        </w:tc>
      </w:tr>
    </w:tbl>
    <w:p>
      <w:r>
        <w:br w:type="page"/>
      </w:r>
    </w:p>
    <w:p>
      <w:pPr>
        <w:pStyle w:val="Heading1"/>
        <w:spacing w:before="360" w:after="200"/>
      </w:pPr>
      <w:r>
        <w:rPr>
          <w:rFonts w:ascii="Arial" w:cs="Arial" w:eastAsia="Arial" w:hAnsi="Arial"/>
          <w:b/>
          <w:bCs/>
          <w:color w:val="1A1A1A"/>
          <w:sz w:val="32"/>
          <w:szCs w:val="32"/>
        </w:rPr>
        <w:t xml:space="preserve">16. Roadmap</w:t>
      </w:r>
    </w:p>
    <w:p>
      <w:pPr>
        <w:pStyle w:val="Heading2"/>
        <w:spacing w:before="280" w:after="160"/>
      </w:pPr>
      <w:r>
        <w:rPr>
          <w:rFonts w:ascii="Arial" w:cs="Arial" w:eastAsia="Arial" w:hAnsi="Arial"/>
          <w:b/>
          <w:bCs/>
          <w:color w:val="1A1A1A"/>
          <w:sz w:val="26"/>
          <w:szCs w:val="26"/>
        </w:rPr>
        <w:t xml:space="preserve">Phase 1: The Website (Weeks 1–10)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5526"/>
      </w:tblGrid>
      <w:tr>
        <w:tc>
          <w:tcPr>
            <w:tcW w:type="dxa" w:w="1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Week</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Focus</w:t>
            </w:r>
          </w:p>
        </w:tc>
        <w:tc>
          <w:tcPr>
            <w:tcW w:type="dxa" w:w="5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Deliverables</w:t>
            </w:r>
          </w:p>
        </w:tc>
      </w:tr>
      <w:tr>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1–2</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Foundation</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Project scaffold, design system, component library, layout components (COMPLETE)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3–4</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Core Pages</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Homepage (complete), Tier Framework page, About page</w:t>
            </w:r>
          </w:p>
        </w:tc>
      </w:tr>
      <w:tr>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5–6</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Conversion Pages</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Self-Assessment tool (quiz engine + results), Alpha Program page, Contact page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7–8</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Content &amp; Polish</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Process page, Resources/Blog (3 posts), SEO optimisation across all pages</w:t>
            </w:r>
          </w:p>
        </w:tc>
      </w:tr>
      <w:tr>
        <w:tc>
          <w:tcPr>
            <w:tcW w:type="dxa" w:w="1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9–10</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Testing &amp; Launch</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Cross-browser QA, accessibility audit, performance optimisation, staging review, production deployment</w:t>
            </w:r>
          </w:p>
        </w:tc>
      </w:tr>
    </w:tbl>
    <w:p>
      <w:pPr>
        <w:pStyle w:val="Heading2"/>
        <w:spacing w:before="280" w:after="160"/>
      </w:pPr>
      <w:r>
        <w:rPr>
          <w:rFonts w:ascii="Arial" w:cs="Arial" w:eastAsia="Arial" w:hAnsi="Arial"/>
          <w:b/>
          <w:bCs/>
          <w:color w:val="1A1A1A"/>
          <w:sz w:val="26"/>
          <w:szCs w:val="26"/>
        </w:rPr>
        <w:t xml:space="preserve">Phase 2: The Platform (Months 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2300"/>
        <w:gridCol w:w="5526"/>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Month</w:t>
            </w:r>
          </w:p>
        </w:tc>
        <w:tc>
          <w:tcPr>
            <w:tcW w:type="dxa" w:w="23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Focus</w:t>
            </w:r>
          </w:p>
        </w:tc>
        <w:tc>
          <w:tcPr>
            <w:tcW w:type="dxa" w:w="5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3–4</w:t>
            </w:r>
          </w:p>
        </w:tc>
        <w:tc>
          <w:tcPr>
            <w:tcW w:type="dxa" w:w="23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Backend API</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Proprietary API layer. Lead management. Assessment data storage. Authentication infrastructure.</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 Portal</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Authenticated dashboard for Alpha participants. Evidence upload. Audit status tracking. Integrity Score view.</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5–6</w:t>
            </w:r>
          </w:p>
        </w:tc>
        <w:tc>
          <w:tcPr>
            <w:tcW w:type="dxa" w:w="23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Pulse (MVP)</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Basic AI system health monitoring. Monthly governance reports. Integration with one third-party AI tool.</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Integration</w:t>
            </w:r>
          </w:p>
        </w:tc>
        <w:tc>
          <w:tcPr>
            <w:tcW w:type="dxa" w:w="5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layer for insurance partner verification. First partnership agreement activated.</w:t>
            </w:r>
          </w:p>
        </w:tc>
      </w:tr>
      <w:tr>
        <w:tc>
          <w:tcPr>
            <w:tcW w:type="dxa" w:w="1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7–9</w:t>
            </w:r>
          </w:p>
        </w:tc>
        <w:tc>
          <w:tcPr>
            <w:tcW w:type="dxa" w:w="23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Scale &amp; Iterate</w:t>
            </w:r>
          </w:p>
        </w:tc>
        <w:tc>
          <w:tcPr>
            <w:tcW w:type="dxa" w:w="5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Full Pulse platform. Training programme launch. SADC expansion planning. Series A preparation.</w:t>
            </w:r>
          </w:p>
        </w:tc>
      </w:tr>
    </w:tbl>
    <w:p>
      <w:pPr>
        <w:pStyle w:val="Heading2"/>
        <w:spacing w:before="280" w:after="160"/>
      </w:pPr>
      <w:r>
        <w:rPr>
          <w:rFonts w:ascii="Arial" w:cs="Arial" w:eastAsia="Arial" w:hAnsi="Arial"/>
          <w:b/>
          <w:bCs/>
          <w:color w:val="1A1A1A"/>
          <w:sz w:val="26"/>
          <w:szCs w:val="26"/>
        </w:rPr>
        <w:t xml:space="preserve">Phase 3: Regional &amp; Product Expansion (Year 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426"/>
      </w:tblGrid>
      <w:tr>
        <w:tc>
          <w:tcPr>
            <w:tcW w:type="dxa" w:w="1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Timeline</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Focus</w:t>
            </w:r>
          </w:p>
        </w:tc>
        <w:tc>
          <w:tcPr>
            <w:tcW w:type="dxa" w:w="54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Deliverables</w:t>
            </w:r>
          </w:p>
        </w:tc>
      </w:tr>
      <w:tr>
        <w:tc>
          <w:tcPr>
            <w:tcW w:type="dxa" w:w="1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Q1 Year 2</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SADC Expansion</w:t>
            </w:r>
          </w:p>
        </w:tc>
        <w:tc>
          <w:tcPr>
            <w:tcW w:type="dxa" w:w="54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Country-specific regulatory mapping. SADCAS mutual recognition. Multi-language support (Afrikaans, Zulu).</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Q2 Year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Mobile App</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iOS and Android apps. Push notifications. Mobile dashboard.</w:t>
            </w:r>
          </w:p>
        </w:tc>
      </w:tr>
      <w:tr>
        <w:tc>
          <w:tcPr>
            <w:tcW w:type="dxa" w:w="14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Q3 Year 2</w:t>
            </w:r>
          </w:p>
        </w:tc>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Government Integration</w:t>
            </w:r>
          </w:p>
        </w:tc>
        <w:tc>
          <w:tcPr>
            <w:tcW w:type="dxa" w:w="54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Tender language templates. First government procurement requirement secured.</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Q4 Year 2</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Series A / Scale</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Series A raise with full platform metrics. Team scale to 20+ people. 100+ certified organisations.</w:t>
            </w:r>
          </w:p>
        </w:tc>
      </w:tr>
    </w:tbl>
    <w:p>
      <w:r>
        <w:br w:type="page"/>
      </w:r>
    </w:p>
    <w:p>
      <w:pPr>
        <w:pStyle w:val="Heading1"/>
        <w:spacing w:before="360" w:after="200"/>
      </w:pPr>
      <w:r>
        <w:rPr>
          <w:rFonts w:ascii="Arial" w:cs="Arial" w:eastAsia="Arial" w:hAnsi="Arial"/>
          <w:b/>
          <w:bCs/>
          <w:color w:val="1A1A1A"/>
          <w:sz w:val="32"/>
          <w:szCs w:val="32"/>
        </w:rPr>
        <w:t xml:space="preserve">17. Appendices</w:t>
      </w:r>
    </w:p>
    <w:p>
      <w:pPr>
        <w:pStyle w:val="Heading2"/>
        <w:spacing w:before="280" w:after="160"/>
      </w:pPr>
      <w:r>
        <w:rPr>
          <w:rFonts w:ascii="Arial" w:cs="Arial" w:eastAsia="Arial" w:hAnsi="Arial"/>
          <w:b/>
          <w:bCs/>
          <w:color w:val="1A1A1A"/>
          <w:sz w:val="26"/>
          <w:szCs w:val="26"/>
        </w:rPr>
        <w:t xml:space="preserve">A. Unit Economics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5"/>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Metric</w:t>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Small Org (&lt;50 emp)</w:t>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Medium Org (50-500)</w:t>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Large Org (&gt;500)</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Initial Certification</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120,000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240,000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360,000+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Annual Renewal</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60,000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120,000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180,000+</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Days Required</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2–3 days</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4–6 days</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7–10 days</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COGS (per certification)</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44,000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80,000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128,000</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Gross Profit</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76,000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160,000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232,000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Gross Margin</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63%</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67%</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64%</w:t>
            </w:r>
          </w:p>
        </w:tc>
      </w:tr>
    </w:tbl>
    <w:p>
      <w:pPr>
        <w:pStyle w:val="Heading2"/>
        <w:spacing w:before="280" w:after="160"/>
      </w:pPr>
      <w:r>
        <w:rPr>
          <w:rFonts w:ascii="Arial" w:cs="Arial" w:eastAsia="Arial" w:hAnsi="Arial"/>
          <w:b/>
          <w:bCs/>
          <w:color w:val="1A1A1A"/>
          <w:sz w:val="26"/>
          <w:szCs w:val="26"/>
        </w:rPr>
        <w:t xml:space="preserve">B. 3-Year Financial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175"/>
        <w:gridCol w:w="2175"/>
        <w:gridCol w:w="2175"/>
      </w:tblGrid>
      <w:tr>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Year 1</w:t>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Year 2</w:t>
            </w:r>
          </w:p>
        </w:tc>
        <w:tc>
          <w:tcPr>
            <w:tcW w:type="dxa" w:w="2175"/>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Year 3</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Certifications</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 (Alpha @ 50% discount)</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90 (full pricing)</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210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Total Revenue (ZAR '000)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19,100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45,600</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Total Expenses (ZAR '000)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7,100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13,300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20,000</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EBITDA (ZAR '000)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(6,100)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5,800</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25,600</w:t>
            </w:r>
          </w:p>
        </w:tc>
      </w:tr>
      <w:tr>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EBITDA Margin</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-610%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30%</w:t>
            </w:r>
          </w:p>
        </w:tc>
        <w:tc>
          <w:tcPr>
            <w:tcW w:type="dxa" w:w="2175"/>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56%</w:t>
            </w:r>
          </w:p>
        </w:tc>
      </w:tr>
      <w:tr>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Break-Even</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Month 18 (Q2)</w:t>
            </w:r>
          </w:p>
        </w:tc>
        <w:tc>
          <w:tcPr>
            <w:tcW w:type="dxa" w:w="2175"/>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r>
    </w:tbl>
    <w:p>
      <w:pPr>
        <w:pStyle w:val="Heading2"/>
        <w:spacing w:before="280" w:after="160"/>
      </w:pPr>
      <w:r>
        <w:rPr>
          <w:rFonts w:ascii="Arial" w:cs="Arial" w:eastAsia="Arial" w:hAnsi="Arial"/>
          <w:b/>
          <w:bCs/>
          <w:color w:val="1A1A1A"/>
          <w:sz w:val="26"/>
          <w:szCs w:val="26"/>
        </w:rPr>
        <w:t xml:space="preserve">C. Alpha Program Quick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Parameter</w:t>
            </w:r>
          </w:p>
        </w:tc>
        <w:tc>
          <w:tcPr>
            <w:tcW w:type="dxa" w:w="60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Duration</w:t>
            </w:r>
          </w:p>
        </w:tc>
        <w:tc>
          <w:tcPr>
            <w:tcW w:type="dxa" w:w="6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 months (January – June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Participants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5–10 early-adopter organisations</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Pricing</w:t>
            </w:r>
          </w:p>
        </w:tc>
        <w:tc>
          <w:tcPr>
            <w:tcW w:type="dxa" w:w="6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50% discount: ZAR 60K (small), ZAR 120K (medium)</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Total Budget</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470K</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Expected Revenue</w:t>
            </w:r>
          </w:p>
        </w:tc>
        <w:tc>
          <w:tcPr>
            <w:tcW w:type="dxa" w:w="6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420–600K</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Net Position</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Break-even to +ZAR 130K</w:t>
            </w:r>
          </w:p>
        </w:tc>
      </w:tr>
      <w:tr>
        <w:tc>
          <w:tcPr>
            <w:tcW w:type="dxa" w:w="3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Success Criteria</w:t>
            </w:r>
          </w:p>
        </w:tc>
        <w:tc>
          <w:tcPr>
            <w:tcW w:type="dxa" w:w="60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 paid participants, 3 industries, 15+ LOIs, SANAS application submitted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Target Industries</w:t>
            </w:r>
          </w:p>
        </w:tc>
        <w:tc>
          <w:tcPr>
            <w:tcW w:type="dxa" w:w="60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BFSI (3), Healthcare (2), Recruitment (2)</w:t>
            </w:r>
          </w:p>
        </w:tc>
      </w:tr>
    </w:tbl>
    <w:p>
      <w:pPr>
        <w:pStyle w:val="Heading2"/>
        <w:spacing w:before="280" w:after="160"/>
      </w:pPr>
      <w:r>
        <w:rPr>
          <w:rFonts w:ascii="Arial" w:cs="Arial" w:eastAsia="Arial" w:hAnsi="Arial"/>
          <w:b/>
          <w:bCs/>
          <w:color w:val="1A1A1A"/>
          <w:sz w:val="26"/>
          <w:szCs w:val="26"/>
        </w:rPr>
        <w:t xml:space="preserve">D. Technology Stack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Category</w:t>
            </w:r>
          </w:p>
        </w:tc>
        <w:tc>
          <w:tcPr>
            <w:tcW w:type="dxa" w:w="2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Technology</w:t>
            </w:r>
          </w:p>
        </w:tc>
        <w:tc>
          <w:tcPr>
            <w:tcW w:type="dxa" w:w="45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Framework</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14</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generation for SEO. React ecosystem. Built-in routing. Vercel-native.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Styling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Tailwind CSS 3.4</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Utility-first. Design system tokens map directly. Small production bundle.</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Language</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JavaScript (ES6+)</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Broadest developer pool. No TypeScript friction at MVP stage.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Hosting</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Zero-config deployment. Edge network. Free tier sufficient for Phase 1.</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Forms (Phase 1)</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Netlify Forms / FormSpree</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Zero backend. Reliable. Integrates with email platforms.</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Analytics</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Analytics 4</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standard. Free. Rich behavioural data.</w:t>
            </w:r>
          </w:p>
        </w:tc>
      </w:tr>
      <w:tr>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w:t>
            </w:r>
          </w:p>
        </w:tc>
        <w:tc>
          <w:tcPr>
            <w:tcW w:type="dxa" w:w="2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 or Mailchimp</w:t>
            </w:r>
          </w:p>
        </w:tc>
        <w:tc>
          <w:tcPr>
            <w:tcW w:type="dxa" w:w="45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Reliable delivery. Automation capabilities. Free tiers available.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Version Control</w:t>
            </w:r>
          </w:p>
        </w:tc>
        <w:tc>
          <w:tcPr>
            <w:tcW w:type="dxa" w:w="2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Git + GitHub</w:t>
            </w:r>
          </w:p>
        </w:tc>
        <w:tc>
          <w:tcPr>
            <w:tcW w:type="dxa" w:w="45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standard. Collaboration-ready. CI/CD integration.</w:t>
            </w:r>
          </w:p>
        </w:tc>
      </w:tr>
    </w:tbl>
    <w:p>
      <w:pPr>
        <w:pStyle w:val="Heading2"/>
        <w:spacing w:before="280" w:after="160"/>
      </w:pPr>
      <w:r>
        <w:rPr>
          <w:rFonts w:ascii="Arial" w:cs="Arial" w:eastAsia="Arial" w:hAnsi="Arial"/>
          <w:b/>
          <w:bCs/>
          <w:color w:val="1A1A1A"/>
          <w:sz w:val="26"/>
          <w:szCs w:val="26"/>
        </w:rPr>
        <w:t xml:space="preserve">E. Glossary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Term</w:t>
            </w:r>
          </w:p>
        </w:tc>
        <w:tc>
          <w:tcPr>
            <w:tcW w:type="dxa" w:w="6826"/>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 Integrity Certification — the organisation and certification standard defined in this PRD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POPIA</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Protection of Personal Information Act — South Africa's data protection law</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Section 71</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The specific clause of POPIA prohibiting automated decision-making without human oversight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SANAS</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South African National Accreditation System — the sole national accreditation body</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SADCAS</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SADC Accreditation Service — regional accreditation body enabling cross-border recognition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Integrity Score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AIC's 0–100 metric measuring an organisation's AI accountability infrastructure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ISO 42001</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International standard for AI management systems (published 2023)</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ISO 17021</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International standard for certification body requirements — the standard SANAS uses to accredit certification bodies</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XAI</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Explainable AI — the capability of an AI system to explain its decisions in human-understandable terms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Pulse</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AIC's continuous monitoring SaaS platform for ongoing AI governance</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 Program</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AIC's pre-investment pilot programme validating demand and methodology before Series A</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LTV</w:t>
            </w:r>
          </w:p>
        </w:tc>
        <w:tc>
          <w:tcPr>
            <w:tcW w:type="dxa" w:w="6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Lifetime Value — total revenue expected from a single customer over their relationship with AIC</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CAC</w:t>
            </w:r>
          </w:p>
        </w:tc>
        <w:tc>
          <w:tcPr>
            <w:tcW w:type="dxa" w:w="6826"/>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Customer Acquisition Cost — total cost to acquire a single paying customer</w:t>
            </w:r>
          </w:p>
        </w:tc>
      </w:tr>
    </w:tbl>
    <w:p>
      <w:r>
        <w:br w:type="page"/>
      </w:r>
    </w:p>
    <w:p>
      <w:pPr>
        <w:pStyle w:val="Heading1"/>
        <w:spacing w:before="360" w:after="200"/>
      </w:pPr>
      <w:r>
        <w:rPr>
          <w:rFonts w:ascii="Arial" w:cs="Arial" w:eastAsia="Arial" w:hAnsi="Arial"/>
          <w:b/>
          <w:color w:val="1A1A1A"/>
          <w:sz w:val="32"/>
          <w:szCs w:val="32"/>
        </w:rPr>
        <w:t xml:space="preserve">18. Frontend System Architecture</w:t>
      </w:r>
    </w:p>
    <w:p>
      <w:pPr>
        <w:spacing w:after="120" w:line="276"/>
      </w:pPr>
      <w:r>
        <w:rPr>
          <w:rFonts w:ascii="Arial" w:cs="Arial" w:eastAsia="Arial" w:hAnsi="Arial"/>
          <w:color w:val="333333"/>
          <w:sz w:val="22"/>
          <w:szCs w:val="22"/>
        </w:rPr>
        <w:t xml:space="preserve">This section defines every layer of the frontend system — how components are organised, how data flows, how state is managed, and how the self-assessment engine works under the hood. Everything here is designed to scale cleanly into Phase 2 without architectural surgery.</w:t>
      </w:r>
    </w:p>
    <w:p>
      <w:pPr>
        <w:pStyle w:val="Heading2"/>
        <w:spacing w:before="280" w:after="160"/>
      </w:pPr>
      <w:r>
        <w:rPr>
          <w:rFonts w:ascii="Arial" w:cs="Arial" w:eastAsia="Arial" w:hAnsi="Arial"/>
          <w:b/>
          <w:color w:val="1A1A1A"/>
          <w:sz w:val="26"/>
          <w:szCs w:val="26"/>
        </w:rPr>
        <w:t xml:space="preserve">18.1 Architecture Overview</w:t>
      </w:r>
    </w:p>
    <w:p>
      <w:pPr>
        <w:spacing w:after="120" w:line="276"/>
      </w:pPr>
      <w:r>
        <w:rPr>
          <w:rFonts w:ascii="Arial" w:cs="Arial" w:eastAsia="Arial" w:hAnsi="Arial"/>
          <w:color w:val="333333"/>
          <w:sz w:val="22"/>
          <w:szCs w:val="22"/>
        </w:rPr>
        <w:t xml:space="preserve">The frontend is a Next.js application using the Pages Router. It renders as static HTML at build time (Static Site Generation) for maximum SEO and performance, with client-side interactivity layered on top via React components. There is no server-side rendering of dynamic data in Phase 1 — all content is either static or generated client-side.</w:t>
      </w:r>
    </w:p>
    <w:tbl>
      <w:tblPr>
        <w:tblW w:w="100" w:type="pct"/>
      </w:tblPr>
      <w:tblGrid>
        <w:gridCol w:w="1400"/>
        <w:gridCol w:w="2400"/>
        <w:gridCol w:w="5226"/>
      </w:tblGrid>
      <w:tr>
        <w:tc>
          <w:tcPr>
            <w:tcW w:w="1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Layer</w:t>
            </w:r>
          </w:p>
        </w:tc>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Technology</w:t>
            </w:r>
          </w:p>
        </w:tc>
        <w:tc>
          <w:tcPr>
            <w:tcW w:w="52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Responsibility</w:t>
            </w:r>
          </w:p>
        </w:tc>
      </w:tr>
      <w:tr>
        <w:tc>
          <w:tcPr>
            <w:tcW w:w="1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Page Layer</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Pages (pages/)</w:t>
            </w:r>
          </w:p>
        </w:tc>
        <w:tc>
          <w:tcPr>
            <w:tcW w:w="5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Route definitions. One file per URL. Composes layout and page-specific components.</w:t>
            </w:r>
          </w:p>
        </w:tc>
      </w:tr>
      <w:tr>
        <w:tc>
          <w:tcPr>
            <w:tcW w:w="1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Layout Layer</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Layout.js (Header + Footer)</w:t>
            </w:r>
          </w:p>
        </w:tc>
        <w:tc>
          <w:tcPr>
            <w:tcW w:w="5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Consistent chrome around every page. Navigation state. Mobile menu.</w:t>
            </w:r>
          </w:p>
        </w:tc>
      </w:tr>
      <w:tr>
        <w:tc>
          <w:tcPr>
            <w:tcW w:w="1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Component Layer</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Reusable components (components/)</w:t>
            </w:r>
          </w:p>
        </w:tc>
        <w:tc>
          <w:tcPr>
            <w:tcW w:w="5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UI primitives and composed sections. Stateless where possible.</w:t>
            </w:r>
          </w:p>
        </w:tc>
      </w:tr>
      <w:tr>
        <w:tc>
          <w:tcPr>
            <w:tcW w:w="1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State Layer</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React useState / useEffect</w:t>
            </w:r>
          </w:p>
        </w:tc>
        <w:tc>
          <w:tcPr>
            <w:tcW w:w="5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Local component state only in Phase 1. Quiz progress, form state, menu toggle.</w:t>
            </w:r>
          </w:p>
        </w:tc>
      </w:tr>
      <w:tr>
        <w:tc>
          <w:tcPr>
            <w:tcW w:w="1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Style Layer</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Tailwind CSS + globals.css</w:t>
            </w:r>
          </w:p>
        </w:tc>
        <w:tc>
          <w:tcPr>
            <w:tcW w:w="5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Design system tokens, utility classes, component classes. Single source of truth for all styling.</w:t>
            </w:r>
          </w:p>
        </w:tc>
      </w:tr>
      <w:tr>
        <w:tc>
          <w:tcPr>
            <w:tcW w:w="1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 Layer</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JSON files + client-side logic</w:t>
            </w:r>
          </w:p>
        </w:tc>
        <w:tc>
          <w:tcPr>
            <w:tcW w:w="5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Quiz questions, blog posts, tier content. No API calls in Phase 1.</w:t>
            </w:r>
          </w:p>
        </w:tc>
      </w:tr>
      <w:tr>
        <w:tc>
          <w:tcPr>
            <w:tcW w:w="1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Service Layer</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submission functions</w:t>
            </w:r>
          </w:p>
        </w:tc>
        <w:tc>
          <w:tcPr>
            <w:tcW w:w="5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Abstraction over POST endpoints. Swap URL = swap backend. No frontend changes.</w:t>
            </w:r>
          </w:p>
        </w:tc>
      </w:tr>
      <w:tr>
        <w:tc>
          <w:tcPr>
            <w:tcW w:w="1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Analytics Layer</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Analytics 4 via custom hook</w:t>
            </w:r>
          </w:p>
        </w:tc>
        <w:tc>
          <w:tcPr>
            <w:tcW w:w="5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Event tracking, pageviews, conversion funnel measurement.</w:t>
            </w:r>
          </w:p>
        </w:tc>
      </w:tr>
    </w:tbl>
    <w:p>
      <w:pPr>
        <w:pStyle w:val="Heading2"/>
        <w:spacing w:before="280" w:after="160"/>
      </w:pPr>
      <w:r>
        <w:rPr>
          <w:rFonts w:ascii="Arial" w:cs="Arial" w:eastAsia="Arial" w:hAnsi="Arial"/>
          <w:b/>
          <w:color w:val="1A1A1A"/>
          <w:sz w:val="26"/>
          <w:szCs w:val="26"/>
        </w:rPr>
        <w:t xml:space="preserve">18.2 File System &amp; Code Organisation</w:t>
      </w:r>
    </w:p>
    <w:p>
      <w:pPr>
        <w:spacing w:after="120" w:line="276"/>
      </w:pPr>
      <w:r>
        <w:rPr>
          <w:rFonts w:ascii="Arial" w:cs="Arial" w:eastAsia="Arial" w:hAnsi="Arial"/>
          <w:color w:val="333333"/>
          <w:sz w:val="22"/>
          <w:szCs w:val="22"/>
        </w:rPr>
        <w:t xml:space="preserve">Every file lives in exactly one place for a reason. This structure scales to 50+ pages and 100+ components without becoming unnavigable.</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aic-website/
├── pages/                    ← Routes. One file = one URL.
│   ├── _app.js               ← Global wrapper. Analytics init. Font loading.
│   ├── _document.js          ← HTML shell. Preconnect hints. Favicon.
│   ├── index.js              ← Homepage (/)
│   ├── about.js              ← About (/about)
│   ├── tiers.js              ← Tier Framework (/tiers)
│   ├── certification.js      ← Certification Process (/certification)
│   ├── assessment.js         ← Self-Assessment Tool (/assessment)
│   ├── alpha.js              ← Alpha Program (/alpha)
│   ├── contact.js            ← Contact (/contact)
│   └── resources/
│       ├── index.js          ← Blog index (/resources)
│       └── [slug].js         ← Dynamic blog post (/resources/[slug])
├── components/               ← Reusable UI. Organised by scope.
│   ├── layout/               ← Header, Footer, Layout wrapper
│   ├── ui/                   ← Atoms: Button, Card, Input, Badge
│   ├── sections/             ← Organisms: HeroSection, TierCard, etc.
│   ├── forms/                ← Form components: ContactForm, AlphaForm
│   ├── assessment/           ← Self-assessment engine: QuizEngine, Results
│   └── SEOHead.js            ← Meta tag manager (used by every page)
├── data/                     ← Static content. No logic here.
│   ├── questions.js          ← Self-assessment questions (20 items)
│   ├── tiers.js              ← Tier definitions and examples
│   └── blog-posts.js         ← Blog post content
├── utils/                    ← Pure functions. No React. No side effects.
│   ├── scoring.js            ← Assessment scoring algorithm
│   ├── analytics.js          ← GA4 event helpers
│   └── forms.js              ← Form validation and submission helpers
├── styles/
│   └── globals.css           ← Tailwind directives + design system
├── public/                   ← Static files served at root
│   ├── images/               ← All images (optimised WebP)
│   └── favicon.ico
└── config/                   ← Environment and feature flags
    └── endpoints.js          ← All API endpoints in one place</w:t>
            </w:r>
          </w:p>
        </w:tc>
      </w:tr>
    </w:tbl>
    <w:p>
      <w:pPr>
        <w:pStyle w:val="Heading2"/>
        <w:spacing w:before="280" w:after="160"/>
      </w:pPr>
      <w:r>
        <w:rPr>
          <w:rFonts w:ascii="Arial" w:cs="Arial" w:eastAsia="Arial" w:hAnsi="Arial"/>
          <w:b/>
          <w:color w:val="1A1A1A"/>
          <w:sz w:val="26"/>
          <w:szCs w:val="26"/>
        </w:rPr>
        <w:t xml:space="preserve">18.3 Component Architecture</w:t>
      </w:r>
    </w:p>
    <w:p>
      <w:pPr>
        <w:spacing w:after="120" w:line="276"/>
      </w:pPr>
      <w:r>
        <w:rPr>
          <w:rFonts w:ascii="Arial" w:cs="Arial" w:eastAsia="Arial" w:hAnsi="Arial"/>
          <w:color w:val="333333"/>
          <w:sz w:val="22"/>
          <w:szCs w:val="22"/>
        </w:rPr>
        <w:t xml:space="preserve">Components follow atomic design principles. Atoms are the smallest indivisible units. Molecules compose atoms into functional groups. Organisms compose molecules into page sections. Pages compose organisms into full routes. This hierarchy means any component can be reused, tested, and styled independently.</w:t>
      </w:r>
    </w:p>
    <w:tbl>
      <w:tblPr>
        <w:tblW w:w="100" w:type="pct"/>
      </w:tblPr>
      <w:tblGrid>
        <w:gridCol w:w="1200"/>
        <w:gridCol w:w="2800"/>
        <w:gridCol w:w="5026"/>
      </w:tblGrid>
      <w:tr>
        <w:tc>
          <w:tcPr>
            <w:tcW w:w="1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Level</w:t>
            </w:r>
          </w:p>
        </w:tc>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Examples</w:t>
            </w:r>
          </w:p>
        </w:tc>
        <w:tc>
          <w:tcPr>
            <w:tcW w:w="50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Rule</w:t>
            </w:r>
          </w:p>
        </w:tc>
      </w:tr>
      <w:tr>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Atoms</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Button, Input, TierBadge, Label, Spacer</w:t>
            </w:r>
          </w:p>
        </w:tc>
        <w:tc>
          <w:tcPr>
            <w:tcW w:w="5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 internal state. Accept all behaviour via props. Styled purely from design system.</w:t>
            </w:r>
          </w:p>
        </w:tc>
      </w:tr>
      <w:tr>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Molecules</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FormField (Label + Input + Error), NavLink, BlogCard</w:t>
            </w:r>
          </w:p>
        </w:tc>
        <w:tc>
          <w:tcPr>
            <w:tcW w:w="5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May have simple local state (hover, focus). Compose 2-4 atoms. One clear purpose.</w:t>
            </w:r>
          </w:p>
        </w:tc>
      </w:tr>
      <w:tr>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Organisms</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HeroSection, TierCard, AssessmentQuiz, ContactForm</w:t>
            </w:r>
          </w:p>
        </w:tc>
        <w:tc>
          <w:tcPr>
            <w:tcW w:w="5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May fetch data or manage complex state. Compose molecules into a meaningful section.</w:t>
            </w:r>
          </w:p>
        </w:tc>
      </w:tr>
      <w:tr>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Templates</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Layout.js</w:t>
            </w:r>
          </w:p>
        </w:tc>
        <w:tc>
          <w:tcPr>
            <w:tcW w:w="5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Page structure only. Header + main content area + Footer. No business logic.</w:t>
            </w:r>
          </w:p>
        </w:tc>
      </w:tr>
      <w:tr>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Pages</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index.js, about.js, assessment.js</w:t>
            </w:r>
          </w:p>
        </w:tc>
        <w:tc>
          <w:tcPr>
            <w:tcW w:w="5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Route entry points. Compose organisms. Pass page-specific props. Wire up SEO.</w:t>
            </w:r>
          </w:p>
        </w:tc>
      </w:tr>
    </w:tbl>
    <w:p>
      <w:pPr>
        <w:pStyle w:val="Heading3"/>
        <w:spacing w:before="200" w:after="120"/>
      </w:pPr>
      <w:r>
        <w:rPr>
          <w:rFonts w:ascii="Arial" w:cs="Arial" w:eastAsia="Arial" w:hAnsi="Arial"/>
          <w:b/>
          <w:color w:val="333333"/>
          <w:sz w:val="22"/>
          <w:szCs w:val="22"/>
        </w:rPr>
        <w:t xml:space="preserve">Props Contract Pattern</w:t>
      </w:r>
    </w:p>
    <w:p>
      <w:pPr>
        <w:spacing w:after="120" w:line="276"/>
      </w:pPr>
      <w:r>
        <w:rPr>
          <w:rFonts w:ascii="Arial" w:cs="Arial" w:eastAsia="Arial" w:hAnsi="Arial"/>
          <w:color w:val="333333"/>
          <w:sz w:val="22"/>
          <w:szCs w:val="22"/>
        </w:rPr>
        <w:t xml:space="preserve">Every component documents its props interface as a JSDoc comment block. This is how AI agents and human developers both understand what a component expects without reading its implementation.</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 @param {Object} props
 * @param {string} props.variant       - "primary"|"secondary"|"tier-1"|"tier-2"|"tier-3"
 * @param {string} [props.href]        - If provided, renders as &lt;Link&gt;. Otherwise &lt;button&gt;.
 * @param {Function} [props.onClick]   - Click handler (only when href is not set).
 * @param {React.ReactNode} props.children
 * @param {boolean} [props.fullWidth]  - Stretches to fill parent container.
 * @param {string} [props.className]   - Additional Tailwind classes.
 */</w:t>
            </w:r>
          </w:p>
        </w:tc>
      </w:tr>
    </w:tbl>
    <w:p>
      <w:pPr>
        <w:pStyle w:val="Heading2"/>
        <w:spacing w:before="280" w:after="160"/>
      </w:pPr>
      <w:r>
        <w:rPr>
          <w:rFonts w:ascii="Arial" w:cs="Arial" w:eastAsia="Arial" w:hAnsi="Arial"/>
          <w:b/>
          <w:color w:val="1A1A1A"/>
          <w:sz w:val="26"/>
          <w:szCs w:val="26"/>
        </w:rPr>
        <w:t xml:space="preserve">18.4 State Management Strategy</w:t>
      </w:r>
    </w:p>
    <w:p>
      <w:pPr>
        <w:spacing w:after="120" w:line="276"/>
      </w:pPr>
      <w:r>
        <w:rPr>
          <w:rFonts w:ascii="Arial" w:cs="Arial" w:eastAsia="Arial" w:hAnsi="Arial"/>
          <w:color w:val="333333"/>
          <w:sz w:val="22"/>
          <w:szCs w:val="22"/>
        </w:rPr>
        <w:t xml:space="preserve">Phase 1 uses zero global state. Every piece of state lives in the component that owns it. This is deliberately simple — complexity is added only when the product demands it.</w:t>
      </w:r>
    </w:p>
    <w:tbl>
      <w:tblPr>
        <w:tblW w:w="100" w:type="pct"/>
      </w:tblPr>
      <w:tblGrid>
        <w:gridCol w:w="1800"/>
        <w:gridCol w:w="1800"/>
        <w:gridCol w:w="2400"/>
        <w:gridCol w:w="3026"/>
      </w:tblGrid>
      <w:tr>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State Type</w:t>
            </w:r>
          </w:p>
        </w:tc>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Location</w:t>
            </w:r>
          </w:p>
        </w:tc>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Example</w:t>
            </w:r>
          </w:p>
        </w:tc>
        <w:tc>
          <w:tcPr>
            <w:tcW w:w="30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Phase 2+ Evolution</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UI Toggle</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useState in component</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Mobile menu open/closed</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 change needed.</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Input</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useState in form component</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 form field values</w:t>
            </w:r>
          </w:p>
        </w:tc>
        <w:tc>
          <w:tcPr>
            <w:tcW w:w="3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 change needed.</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Quiz Progress</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useState in QuizEngine</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Current question, answers given</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Persist to backend on email capture.</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Quiz Results</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useState in QuizEngine</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Calculated tier, Integrity Score</w:t>
            </w:r>
          </w:p>
        </w:tc>
        <w:tc>
          <w:tcPr>
            <w:tcW w:w="3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Cache in backend for report retrieval.</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Auth State</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 needed in Phase 1</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React Context: AuthProvider wrapping app. Provides user, loading, logout.</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Profile</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 needed in Phase 1</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w="3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React Context or lightweight store (Zustand). Fetched once on login.</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Data</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 needed in Phase 1</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React Query or SWR for server-state caching. Handles refetch, stale-while-revalidate.</w:t>
            </w:r>
          </w:p>
        </w:tc>
      </w:tr>
    </w:tbl>
    <w:tbl>
      <w:tblPr>
        <w:tblW w:w="100" w:type="pct"/>
        <w:tblLook w:val="0400" w:firstRow="0" w:lastRow="0" w:firstColumn="0" w:lastColumn="0" w:noHBand="0" w:noVBand="1"/>
      </w:tblPr>
      <w:tblGrid>
        <w:gridCol w:w="9026"/>
      </w:tblGrid>
      <w:tr>
        <w:tc>
          <w:tcPr>
            <w:tcW w:w="9026" w:type="dxa"/>
            <w:tcBorders>
              <w:top w:val="single" w:color="D4AF37" w:sz="3"/>
              <w:left w:val="nil" w:color="00" w:sz="0"/>
              <w:bottom w:val="nil" w:color="00" w:sz="0"/>
              <w:right w:val="nil" w:color="00" w:sz="0"/>
            </w:tcBorders>
            <w:shd w:fill="FAFAF7" w:val="clear"/>
            <w:tcMar>
              <w:top w:type="dxa" w:w="120"/>
              <w:left w:type="dxa" w:w="240"/>
              <w:bottom w:type="dxa" w:w="120"/>
              <w:right w:type="dxa" w:w="240"/>
            </w:tcMar>
          </w:tcPr>
          <w:p>
            <w:pPr>
              <w:spacing w:after="0" w:line="260"/>
            </w:pPr>
            <w:r>
              <w:rPr>
                <w:rFonts w:ascii="Arial" w:cs="Arial" w:eastAsia="Arial" w:hAnsi="Arial"/>
                <w:i/>
                <w:color w:val="333333"/>
                <w:sz w:val="21"/>
                <w:szCs w:val="21"/>
              </w:rPr>
              <w:t xml:space="preserve">The pattern is: start with useState. When two sibling components need the same state, lift it to their parent. When that becomes unwieldy, introduce React Context. Only introduce a global store (Zustand/Redux) if Context performance becomes a problem. Do not over-engineer.</w:t>
            </w:r>
          </w:p>
        </w:tc>
      </w:tr>
    </w:tbl>
    <w:p>
      <w:pPr>
        <w:pStyle w:val="Heading2"/>
        <w:spacing w:before="280" w:after="160"/>
      </w:pPr>
      <w:r>
        <w:rPr>
          <w:rFonts w:ascii="Arial" w:cs="Arial" w:eastAsia="Arial" w:hAnsi="Arial"/>
          <w:b/>
          <w:color w:val="1A1A1A"/>
          <w:sz w:val="26"/>
          <w:szCs w:val="26"/>
        </w:rPr>
        <w:t xml:space="preserve">18.5 Routing &amp; Navigation</w:t>
      </w:r>
    </w:p>
    <w:tbl>
      <w:tblPr>
        <w:tblW w:w="100" w:type="pct"/>
      </w:tblPr>
      <w:tblGrid>
        <w:gridCol w:w="2200"/>
        <w:gridCol w:w="1800"/>
        <w:gridCol w:w="2800"/>
        <w:gridCol w:w="22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Route</w:t>
            </w:r>
          </w:p>
        </w:tc>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Type</w:t>
            </w:r>
          </w:p>
        </w:tc>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Code Splitting</w:t>
            </w:r>
          </w:p>
        </w:tc>
        <w:tc>
          <w:tcPr>
            <w:tcW w:w="22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Auth Required</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(Next.js)</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/about</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/tiers</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page + client-side engine</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Quiz engine lazy-loaded.</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/resources</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/resources/[slug]</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Dynamic route</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Blog content bundled at build.</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/portal/*</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 — Dynamic</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Lazy-loaded on first access</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Yes</w:t>
            </w:r>
          </w:p>
        </w:tc>
      </w:tr>
    </w:tbl>
    <w:p>
      <w:pPr>
        <w:pStyle w:val="Heading3"/>
        <w:spacing w:before="200" w:after="120"/>
      </w:pPr>
      <w:r>
        <w:rPr>
          <w:rFonts w:ascii="Arial" w:cs="Arial" w:eastAsia="Arial" w:hAnsi="Arial"/>
          <w:b/>
          <w:color w:val="333333"/>
          <w:sz w:val="22"/>
          <w:szCs w:val="22"/>
        </w:rPr>
        <w:t xml:space="preserve">Navigation Behaviour</w:t>
      </w:r>
    </w:p>
    <w:p>
      <w:pPr>
        <w:numPr>
          <w:ilvl w:val="0"/>
          <w:numId w:val="2"/>
        </w:numPr>
        <w:spacing w:after="80" w:line="260"/>
      </w:pPr>
      <w:r>
        <w:rPr>
          <w:rFonts w:ascii="Arial" w:cs="Arial" w:eastAsia="Arial" w:hAnsi="Arial"/>
          <w:color w:val="333333"/>
          <w:sz w:val="21"/>
          <w:szCs w:val="21"/>
        </w:rPr>
        <w:t xml:space="preserve">Scroll to top on every route change (implemented in _app.js via router.events).</w:t>
      </w:r>
    </w:p>
    <w:p>
      <w:pPr>
        <w:numPr>
          <w:ilvl w:val="0"/>
          <w:numId w:val="2"/>
        </w:numPr>
        <w:spacing w:after="80" w:line="260"/>
      </w:pPr>
      <w:r>
        <w:rPr>
          <w:rFonts w:ascii="Arial" w:cs="Arial" w:eastAsia="Arial" w:hAnsi="Arial"/>
          <w:color w:val="333333"/>
          <w:sz w:val="21"/>
          <w:szCs w:val="21"/>
        </w:rPr>
        <w:t xml:space="preserve">Active nav link highlighted based on current pathname (useRouter hook).</w:t>
      </w:r>
    </w:p>
    <w:p>
      <w:pPr>
        <w:numPr>
          <w:ilvl w:val="0"/>
          <w:numId w:val="2"/>
        </w:numPr>
        <w:spacing w:after="80" w:line="260"/>
      </w:pPr>
      <w:r>
        <w:rPr>
          <w:rFonts w:ascii="Arial" w:cs="Arial" w:eastAsia="Arial" w:hAnsi="Arial"/>
          <w:color w:val="333333"/>
          <w:sz w:val="21"/>
          <w:szCs w:val="21"/>
        </w:rPr>
        <w:t xml:space="preserve">Mobile menu closes on route change.</w:t>
      </w:r>
    </w:p>
    <w:p>
      <w:pPr>
        <w:numPr>
          <w:ilvl w:val="0"/>
          <w:numId w:val="2"/>
        </w:numPr>
        <w:spacing w:after="80" w:line="260"/>
      </w:pPr>
      <w:r>
        <w:rPr>
          <w:rFonts w:ascii="Arial" w:cs="Arial" w:eastAsia="Arial" w:hAnsi="Arial"/>
          <w:color w:val="333333"/>
          <w:sz w:val="21"/>
          <w:szCs w:val="21"/>
        </w:rPr>
        <w:t xml:space="preserve">All internal links use Next.js &lt;Link&gt; component for client-side navigation (no full page reload).</w:t>
      </w:r>
    </w:p>
    <w:p>
      <w:pPr>
        <w:numPr>
          <w:ilvl w:val="0"/>
          <w:numId w:val="2"/>
        </w:numPr>
        <w:spacing w:after="80" w:line="260"/>
      </w:pPr>
      <w:r>
        <w:rPr>
          <w:rFonts w:ascii="Arial" w:cs="Arial" w:eastAsia="Arial" w:hAnsi="Arial"/>
          <w:color w:val="333333"/>
          <w:sz w:val="21"/>
          <w:szCs w:val="21"/>
        </w:rPr>
        <w:t xml:space="preserve">External links (LinkedIn, Twitter, GitHub) open in new tab with rel="noopener noreferrer".</w:t>
      </w:r>
    </w:p>
    <w:p>
      <w:pPr>
        <w:numPr>
          <w:ilvl w:val="0"/>
          <w:numId w:val="2"/>
        </w:numPr>
        <w:spacing w:after="80" w:line="260"/>
      </w:pPr>
      <w:r>
        <w:rPr>
          <w:rFonts w:ascii="Arial" w:cs="Arial" w:eastAsia="Arial" w:hAnsi="Arial"/>
          <w:color w:val="333333"/>
          <w:sz w:val="21"/>
          <w:szCs w:val="21"/>
        </w:rPr>
        <w:t xml:space="preserve">404 page: custom branded page with link back to homepage.</w:t>
      </w:r>
    </w:p>
    <w:p>
      <w:pPr>
        <w:pStyle w:val="Heading2"/>
        <w:spacing w:before="280" w:after="160"/>
      </w:pPr>
      <w:r>
        <w:rPr>
          <w:rFonts w:ascii="Arial" w:cs="Arial" w:eastAsia="Arial" w:hAnsi="Arial"/>
          <w:b/>
          <w:color w:val="1A1A1A"/>
          <w:sz w:val="26"/>
          <w:szCs w:val="26"/>
        </w:rPr>
        <w:t xml:space="preserve">18.6 Form System Architecture</w:t>
      </w:r>
    </w:p>
    <w:p>
      <w:pPr>
        <w:spacing w:after="120" w:line="276"/>
      </w:pPr>
      <w:r>
        <w:rPr>
          <w:rFonts w:ascii="Arial" w:cs="Arial" w:eastAsia="Arial" w:hAnsi="Arial"/>
          <w:color w:val="333333"/>
          <w:sz w:val="22"/>
          <w:szCs w:val="22"/>
        </w:rPr>
        <w:t xml:space="preserve">All forms in the system follow an identical pattern. This means adding a new form (Alpha application, newsletter signup, partner inquiry) requires zero new architecture — just a new form component using the shared pipeline.</w:t>
      </w:r>
    </w:p>
    <w:p>
      <w:pPr>
        <w:pStyle w:val="Heading3"/>
        <w:spacing w:before="200" w:after="120"/>
      </w:pPr>
      <w:r>
        <w:rPr>
          <w:rFonts w:ascii="Arial" w:cs="Arial" w:eastAsia="Arial" w:hAnsi="Arial"/>
          <w:b/>
          <w:color w:val="333333"/>
          <w:sz w:val="22"/>
          <w:szCs w:val="22"/>
        </w:rPr>
        <w:t xml:space="preserve">Submission Pipeline</w:t>
      </w:r>
    </w:p>
    <w:tbl>
      <w:tblPr>
        <w:tblW w:w="100" w:type="pct"/>
      </w:tblPr>
      <w:tblGrid>
        <w:gridCol w:w="1000"/>
        <w:gridCol w:w="4513"/>
        <w:gridCol w:w="3513"/>
      </w:tblGrid>
      <w:tr>
        <w:tc>
          <w:tcPr>
            <w:tcW w:w="1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Step</w:t>
            </w:r>
          </w:p>
        </w:tc>
        <w:tc>
          <w:tcPr>
            <w:tcW w:w="4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Happens</w:t>
            </w:r>
          </w:p>
        </w:tc>
        <w:tc>
          <w:tcPr>
            <w:tcW w:w="3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Error Handling</w:t>
            </w:r>
          </w:p>
        </w:tc>
      </w:tr>
      <w:tr>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User Input</w:t>
            </w:r>
          </w:p>
        </w:tc>
        <w:tc>
          <w:tcPr>
            <w:tcW w:w="4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fills form fields. Real-time validation on blur.</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Show inline error below the field. Field border turns red.</w:t>
            </w:r>
          </w:p>
        </w:tc>
      </w:tr>
      <w:tr>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 Client Validation</w:t>
            </w:r>
          </w:p>
        </w:tc>
        <w:tc>
          <w:tcPr>
            <w:tcW w:w="4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On submit: validate all required fields, format checks (email regex), custom rules.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Prevent submission. Scroll to first error. Show summary at top.</w:t>
            </w:r>
          </w:p>
        </w:tc>
      </w:tr>
      <w:tr>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Honeypot Check</w:t>
            </w:r>
          </w:p>
        </w:tc>
        <w:tc>
          <w:tcPr>
            <w:tcW w:w="4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 hidden field must remain empty. Bots fill it; humans do not.</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If filled: silently reject (do not tell bot it failed).</w:t>
            </w:r>
          </w:p>
        </w:tc>
      </w:tr>
      <w:tr>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 Loading State</w:t>
            </w:r>
          </w:p>
        </w:tc>
        <w:tc>
          <w:tcPr>
            <w:tcW w:w="4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Button shows spinner. Form fields disabled. Prevents double-submit.</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N/A — UI feedback only.</w:t>
            </w:r>
          </w:p>
        </w:tc>
      </w:tr>
      <w:tr>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 POST Request</w:t>
            </w:r>
          </w:p>
        </w:tc>
        <w:tc>
          <w:tcPr>
            <w:tcW w:w="4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Fetch POST to configured endpoint (from config/endpoints.js). JSON body.</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Network failure: show retry button. Timeout after 10s.</w:t>
            </w:r>
          </w:p>
        </w:tc>
      </w:tr>
      <w:tr>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 Success State</w:t>
            </w:r>
          </w:p>
        </w:tc>
        <w:tc>
          <w:tcPr>
            <w:tcW w:w="4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Replace form with confirmation message. Log success event to analytics.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N/A — terminal success state.</w:t>
            </w:r>
          </w:p>
        </w:tc>
      </w:tr>
      <w:tr>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 Server Error</w:t>
            </w:r>
          </w:p>
        </w:tc>
        <w:tc>
          <w:tcPr>
            <w:tcW w:w="4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If endpoint returns 4xx/5xx: show generic error with retry option.</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Log error to analytics. Do not expose server error details to user.</w:t>
            </w:r>
          </w:p>
        </w:tc>
      </w:tr>
    </w:tbl>
    <w:p>
      <w:pPr>
        <w:pStyle w:val="Heading3"/>
        <w:spacing w:before="200" w:after="120"/>
      </w:pPr>
      <w:r>
        <w:rPr>
          <w:rFonts w:ascii="Arial" w:cs="Arial" w:eastAsia="Arial" w:hAnsi="Arial"/>
          <w:b/>
          <w:color w:val="333333"/>
          <w:sz w:val="22"/>
          <w:szCs w:val="22"/>
        </w:rPr>
        <w:t xml:space="preserve">Configurable Endpoint Pattern</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config/endpoints.js — single source of truth for all API targets
export const ENDPOINTS = {
  contactForm:      process.env.NEXT_PUBLIC_CONTACT_FORM_URL || '/api/contact',
  alphaApplication: process.env.NEXT_PUBLIC_ALPHA_FORM_URL  || '/api/alpha',
  assessment:       process.env.NEXT_PUBLIC_ASSESSMENT_URL   || '/api/assessment',
  emailCapture:     process.env.NEXT_PUBLIC_EMAIL_URL        || '/api/email',
};
// Phase 1: env vars point to Netlify Forms / FormSpree URLs
// Phase 2: env vars point to proprietary API (api.aic.co.za/v1/...)
// Zero frontend code changes required.</w:t>
            </w:r>
          </w:p>
        </w:tc>
      </w:tr>
    </w:tbl>
    <w:p>
      <w:pPr>
        <w:pStyle w:val="Heading2"/>
        <w:spacing w:before="280" w:after="160"/>
      </w:pPr>
      <w:r>
        <w:rPr>
          <w:rFonts w:ascii="Arial" w:cs="Arial" w:eastAsia="Arial" w:hAnsi="Arial"/>
          <w:b/>
          <w:color w:val="1A1A1A"/>
          <w:sz w:val="26"/>
          <w:szCs w:val="26"/>
        </w:rPr>
        <w:t xml:space="preserve">18.7 Self-Assessment Engine — Detailed Design</w:t>
      </w:r>
    </w:p>
    <w:p>
      <w:pPr>
        <w:spacing w:after="120" w:line="276"/>
      </w:pPr>
      <w:r>
        <w:rPr>
          <w:rFonts w:ascii="Arial" w:cs="Arial" w:eastAsia="Arial" w:hAnsi="Arial"/>
          <w:color w:val="333333"/>
          <w:sz w:val="22"/>
          <w:szCs w:val="22"/>
        </w:rPr>
        <w:t xml:space="preserve">The self-assessment tool is the highest-complexity frontend system in Phase 1. It is the primary lead generation mechanism. This section defines its architecture in full.</w:t>
      </w:r>
    </w:p>
    <w:p>
      <w:pPr>
        <w:pStyle w:val="Heading3"/>
        <w:spacing w:before="200" w:after="120"/>
      </w:pPr>
      <w:r>
        <w:rPr>
          <w:rFonts w:ascii="Arial" w:cs="Arial" w:eastAsia="Arial" w:hAnsi="Arial"/>
          <w:b/>
          <w:color w:val="333333"/>
          <w:sz w:val="22"/>
          <w:szCs w:val="22"/>
        </w:rPr>
        <w:t xml:space="preserve">State Machine</w:t>
      </w:r>
    </w:p>
    <w:tbl>
      <w:tblPr>
        <w:tblW w:w="100" w:type="pct"/>
      </w:tblPr>
      <w:tblGrid>
        <w:gridCol w:w="2000"/>
        <w:gridCol w:w="3513"/>
        <w:gridCol w:w="3513"/>
      </w:tblGrid>
      <w:tr>
        <w:tc>
          <w:tcPr>
            <w:tcW w:w="2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State</w:t>
            </w:r>
          </w:p>
        </w:tc>
        <w:tc>
          <w:tcPr>
            <w:tcW w:w="3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the User Sees</w:t>
            </w:r>
          </w:p>
        </w:tc>
        <w:tc>
          <w:tcPr>
            <w:tcW w:w="3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Transitions To</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IDLE</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Landing screen: what the quiz does, estimated time (4 min), Start button.</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IN_PROGRESS (on Start)</w:t>
            </w:r>
          </w:p>
        </w:tc>
      </w:tr>
      <w:tr>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IN_PROGRESS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Current question (1 of 20). Progress bar. Answer options.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EMAIL_GATE (after Q15 answered) → RESULTS (after Q20 answered, if email already given)</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EMAIL_GATE</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Modal overlay: "See your full results". Email input + optional fields.</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IN_PROGRESS (on email submit, continues to Q16) → PARTIAL_RESULTS (on skip)</w:t>
            </w:r>
          </w:p>
        </w:tc>
      </w:tr>
      <w:tr>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CALCULATING</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Brief loading screen: "Analysing your responses..." (1.5s delay for perceived effort).</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RESULTS</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RESULTS</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Full results page: Integrity Score, tier recommendation, breakdown, recommendations, CTAs.</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REPORT (on download) → Terminal</w:t>
            </w:r>
          </w:p>
        </w:tc>
      </w:tr>
      <w:tr>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PARTIAL_RESULTS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recommendation only. No Integrity Score breakdown. CTA to provide email for full report.</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Terminal (or back to EMAIL_GATE)</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REPORT</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PDF downloads. Success message displayed.</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Terminal</w:t>
            </w:r>
          </w:p>
        </w:tc>
      </w:tr>
    </w:tbl>
    <w:p>
      <w:pPr>
        <w:pStyle w:val="Heading3"/>
        <w:spacing w:before="200" w:after="120"/>
      </w:pPr>
      <w:r>
        <w:rPr>
          <w:rFonts w:ascii="Arial" w:cs="Arial" w:eastAsia="Arial" w:hAnsi="Arial"/>
          <w:b/>
          <w:color w:val="333333"/>
          <w:sz w:val="22"/>
          <w:szCs w:val="22"/>
        </w:rPr>
        <w:t xml:space="preserve">Question Data Model</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data/questions.js — each question object
{
  id: 'q01',
  category: 'AI_USAGE_CONTEXT',      // 4 categories, 5 questions each
  question: 'How many AI-powered decision systems does your organisation currently operate?',
  options: [
    { value: 'none',    label: 'None — we are evaluating AI adoption',  score: 0 },
    { value: 'one',     label: '1–2 systems in production',              score: 2 },
    { value: 'several', label: '3–5 systems across departments',         score: 3 },
    { value: 'many',    label: '6+ systems, some in critical functions', score: 4 },
  ],
  weight: 1.0,  // Relative importance within category (1.0 = standard)
  tier_signal: { // Which tiers this question helps identify
    tier1: ['many'],
    tier2: ['several', 'many'],
    tier3: ['one', 'several', 'many']
  }
}</w:t>
            </w:r>
          </w:p>
        </w:tc>
      </w:tr>
    </w:tbl>
    <w:p>
      <w:pPr>
        <w:pStyle w:val="Heading3"/>
        <w:spacing w:before="200" w:after="120"/>
      </w:pPr>
      <w:r>
        <w:rPr>
          <w:rFonts w:ascii="Arial" w:cs="Arial" w:eastAsia="Arial" w:hAnsi="Arial"/>
          <w:b/>
          <w:color w:val="333333"/>
          <w:sz w:val="22"/>
          <w:szCs w:val="22"/>
        </w:rPr>
        <w:t xml:space="preserve">Scoring Algorithm</w:t>
      </w:r>
    </w:p>
    <w:p>
      <w:pPr>
        <w:spacing w:after="120" w:line="276"/>
      </w:pPr>
      <w:r>
        <w:rPr>
          <w:rFonts w:ascii="Arial" w:cs="Arial" w:eastAsia="Arial" w:hAnsi="Arial"/>
          <w:color w:val="333333"/>
          <w:sz w:val="22"/>
          <w:szCs w:val="22"/>
        </w:rPr>
        <w:t xml:space="preserve">The scoring engine runs entirely client-side in Phase 1. It produces two outputs: (1) a Tier Recommendation, and (2) an Integrity Score (0–100).</w:t>
      </w:r>
    </w:p>
    <w:tbl>
      <w:tblPr>
        <w:tblW w:w="100" w:type="pct"/>
      </w:tblPr>
      <w:tblGrid>
        <w:gridCol w:w="2600"/>
        <w:gridCol w:w="1000"/>
        <w:gridCol w:w="1200"/>
        <w:gridCol w:w="4226"/>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Category</w:t>
            </w:r>
          </w:p>
        </w:tc>
        <w:tc>
          <w:tcPr>
            <w:tcW w:w="1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Weight</w:t>
            </w:r>
          </w:p>
        </w:tc>
        <w:tc>
          <w:tcPr>
            <w:tcW w:w="1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Questions</w:t>
            </w:r>
          </w:p>
        </w:tc>
        <w:tc>
          <w:tcPr>
            <w:tcW w:w="42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It Measures</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 Usage Context</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Q1–Q5</w:t>
            </w:r>
          </w:p>
        </w:tc>
        <w:tc>
          <w:tcPr>
            <w:tcW w:w="4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How many AI systems, what decisions they make, how long they have been running. Establishes baseline complexity.</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Human Oversight</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35%</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Q6–Q10</w:t>
            </w:r>
          </w:p>
        </w:tc>
        <w:tc>
          <w:tcPr>
            <w:tcW w:w="4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Whether humans can intervene, override, and explain AI decisions. The core accountability dimension. Highest weight.</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Transparency &amp; Explainability</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25%</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Q11–Q15</w:t>
            </w:r>
          </w:p>
        </w:tc>
        <w:tc>
          <w:tcPr>
            <w:tcW w:w="4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Whether the organisation can explain WHY an AI made a decision. Regulatory requirement under POPIA Section 71.</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Accountability Infrastructure</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Q16–Q20</w:t>
            </w:r>
          </w:p>
        </w:tc>
        <w:tc>
          <w:tcPr>
            <w:tcW w:w="4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Governance structures: ethics boards, audit trails, incident response, training. Organisational readiness.</w:t>
            </w:r>
          </w:p>
        </w:tc>
      </w:tr>
    </w:tbl>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utils/scoring.js — simplified algorithm
function calculateScore(answers) {
  const categories = ['AI_USAGE_CONTEXT','HUMAN_OVERSIGHT','TRANSPARENCY','ACCOUNTABILITY'];
  const weights   = { AI_USAGE_CONTEXT: 0.20, HUMAN_OVERSIGHT: 0.35, TRANSPARENCY: 0.25, ACCOUNTABILITY: 0.20 };
  let categoryScores = {};
  categories.forEach(cat =&gt; {
    const catAnswers = answers.filter(a =&gt; a.category === cat);
    const maxScore   = catAnswers.length * 4; // max 4 per question
    const rawScore   = catAnswers.reduce((sum, a) =&gt; sum + a.score, 0);
    categoryScores[cat] = (rawScore / maxScore) * 100; // 0–100 per category
  });
  // Weighted aggregate = Integrity Score
  const integrityScore = categories.reduce(
    (sum, cat) =&gt; sum + (categoryScores[cat] * weights[cat]), 0
  );
  // Tier determination based on Human Oversight + Transparency scores
  const tier = determineTier(categoryScores, answers);
  return { integrityScore: Math.round(integrityScore), categoryScores, tier };
}</w:t>
            </w:r>
          </w:p>
        </w:tc>
      </w:tr>
    </w:tbl>
    <w:p>
      <w:pPr>
        <w:pStyle w:val="Heading3"/>
        <w:spacing w:before="200" w:after="120"/>
      </w:pPr>
      <w:r>
        <w:rPr>
          <w:rFonts w:ascii="Arial" w:cs="Arial" w:eastAsia="Arial" w:hAnsi="Arial"/>
          <w:b/>
          <w:color w:val="333333"/>
          <w:sz w:val="22"/>
          <w:szCs w:val="22"/>
        </w:rPr>
        <w:t xml:space="preserve">Tier Determination Logic</w:t>
      </w:r>
    </w:p>
    <w:tbl>
      <w:tblPr>
        <w:tblW w:w="100" w:type="pct"/>
      </w:tblPr>
      <w:tblGrid>
        <w:gridCol w:w="3000"/>
        <w:gridCol w:w="2200"/>
        <w:gridCol w:w="3826"/>
      </w:tblGrid>
      <w:tr>
        <w:tc>
          <w:tcPr>
            <w:tcW w:w="3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Condition</w:t>
            </w:r>
          </w:p>
        </w:tc>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Recommended Tier</w:t>
            </w:r>
          </w:p>
        </w:tc>
        <w:tc>
          <w:tcPr>
            <w:tcW w:w="38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Rationale</w:t>
            </w:r>
          </w:p>
        </w:tc>
      </w:tr>
      <w:tr>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 answer indicates irreversible decisions with legal effect AND Human Oversight score &lt; 80</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1 Audit Required</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High-stakes decisions without proven oversight = highest risk. Must certify at Tier 1.</w:t>
            </w:r>
          </w:p>
        </w:tc>
      </w:tr>
      <w:tr>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Decisions affect individuals financially/professionally AND Human Oversight score 60–100</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2 Certification</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Consequential but reversible decisions with some oversight infrastructure in place.</w:t>
            </w:r>
          </w:p>
        </w:tc>
      </w:tr>
      <w:tr>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decisions are low-stakes/reversible OR organisation is pre-AI</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3 Certification</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 risk profile. Periodic monitoring sufficient.</w:t>
            </w:r>
          </w:p>
        </w:tc>
      </w:tr>
      <w:tr>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Mix of high and low stakes decisions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Multi-Tier Certification</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Most real organisations. Tier 1 for critical, Tier 2 for consequential, Tier 3 for routine.</w:t>
            </w:r>
          </w:p>
        </w:tc>
      </w:tr>
    </w:tbl>
    <w:p>
      <w:pPr>
        <w:pStyle w:val="Heading2"/>
        <w:spacing w:before="280" w:after="160"/>
      </w:pPr>
      <w:r>
        <w:rPr>
          <w:rFonts w:ascii="Arial" w:cs="Arial" w:eastAsia="Arial" w:hAnsi="Arial"/>
          <w:b/>
          <w:color w:val="1A1A1A"/>
          <w:sz w:val="26"/>
          <w:szCs w:val="26"/>
        </w:rPr>
        <w:t xml:space="preserve">18.8 PDF Report Generation</w:t>
      </w:r>
    </w:p>
    <w:p>
      <w:pPr>
        <w:spacing w:after="120" w:line="276"/>
      </w:pPr>
      <w:r>
        <w:rPr>
          <w:rFonts w:ascii="Arial" w:cs="Arial" w:eastAsia="Arial" w:hAnsi="Arial"/>
          <w:color w:val="333333"/>
          <w:sz w:val="22"/>
          <w:szCs w:val="22"/>
        </w:rPr>
        <w:t xml:space="preserve">Full assessment reports are generated as branded PDFs client-side using jsPDF. This avoids a backend dependency for Phase 1 while producing a professional deliverable.</w:t>
      </w:r>
    </w:p>
    <w:tbl>
      <w:tblPr>
        <w:tblW w:w="100" w:type="pct"/>
      </w:tblPr>
      <w:tblGrid>
        <w:gridCol w:w="2200"/>
        <w:gridCol w:w="3413"/>
        <w:gridCol w:w="3413"/>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Report Section</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Content</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Source</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Cover Page</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logo, organisation name (if provided), date, report title</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input + system date</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Executive Summary</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2–3 sentence summary of findings and primary recommendation</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Template + tier determination result</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Integrity Score</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Visual gauge, numeric score, category breakdown bar chart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Scoring algorithm output</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Recommendation</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Primary tier with explanation. Multi-tier breakdown if applicable.</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Tier determination logic</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Gap Analysis</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Top 3 categories where score is below target. Specific questions flagged.</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Category scores vs benchmarks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Recommendations</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actionable next steps ranked by priority and implementation effort</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Rules engine based on lowest-scoring categories</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 Steps</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Schedule consultation CTA, Alpha Program information, contact details</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template</w:t>
            </w:r>
          </w:p>
        </w:tc>
      </w:tr>
    </w:tbl>
    <w:tbl>
      <w:tblPr>
        <w:tblW w:w="100" w:type="pct"/>
        <w:tblLook w:val="0400" w:firstRow="0" w:lastRow="0" w:firstColumn="0" w:lastColumn="0" w:noHBand="0" w:noVBand="1"/>
      </w:tblPr>
      <w:tblGrid>
        <w:gridCol w:w="9026"/>
      </w:tblGrid>
      <w:tr>
        <w:tc>
          <w:tcPr>
            <w:tcW w:w="9026" w:type="dxa"/>
            <w:tcBorders>
              <w:top w:val="single" w:color="D4AF37" w:sz="3"/>
              <w:left w:val="nil" w:color="00" w:sz="0"/>
              <w:bottom w:val="nil" w:color="00" w:sz="0"/>
              <w:right w:val="nil" w:color="00" w:sz="0"/>
            </w:tcBorders>
            <w:shd w:fill="FAFAF7" w:val="clear"/>
            <w:tcMar>
              <w:top w:type="dxa" w:w="120"/>
              <w:left w:type="dxa" w:w="240"/>
              <w:bottom w:type="dxa" w:w="120"/>
              <w:right w:type="dxa" w:w="240"/>
            </w:tcMar>
          </w:tcPr>
          <w:p>
            <w:pPr>
              <w:spacing w:after="0" w:line="260"/>
            </w:pPr>
            <w:r>
              <w:rPr>
                <w:rFonts w:ascii="Arial" w:cs="Arial" w:eastAsia="Arial" w:hAnsi="Arial"/>
                <w:i/>
                <w:color w:val="333333"/>
                <w:sz w:val="21"/>
                <w:szCs w:val="21"/>
              </w:rPr>
              <w:t xml:space="preserve">Phase 2 upgrade: move PDF generation server-side (Puppeteer rendering a styled HTML template). Server-side generation produces higher-fidelity output, supports complex charts, and enables cached report delivery. The client-side approach in Phase 1 is a pragmatic MVP — good enough to validate the product, replaceable when the backend exists.</w:t>
            </w:r>
          </w:p>
        </w:tc>
      </w:tr>
    </w:tbl>
    <w:p>
      <w:pPr>
        <w:pStyle w:val="Heading2"/>
        <w:spacing w:before="280" w:after="160"/>
      </w:pPr>
      <w:r>
        <w:rPr>
          <w:rFonts w:ascii="Arial" w:cs="Arial" w:eastAsia="Arial" w:hAnsi="Arial"/>
          <w:b/>
          <w:color w:val="1A1A1A"/>
          <w:sz w:val="26"/>
          <w:szCs w:val="26"/>
        </w:rPr>
        <w:t xml:space="preserve">18.9 Analytics Architecture</w:t>
      </w:r>
    </w:p>
    <w:p>
      <w:pPr>
        <w:spacing w:after="120" w:line="276"/>
      </w:pPr>
      <w:r>
        <w:rPr>
          <w:rFonts w:ascii="Arial" w:cs="Arial" w:eastAsia="Arial" w:hAnsi="Arial"/>
          <w:color w:val="333333"/>
          <w:sz w:val="22"/>
          <w:szCs w:val="22"/>
        </w:rPr>
        <w:t xml:space="preserve">Analytics is wired through a custom React hook that abstracts Google Analytics 4. This means if we ever switch analytics providers, we change one file — not every component.</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utils/analytics.js
export function trackEvent(eventName, parameters = {}) {
  if (typeof window === 'undefined') return; // SSR guard
  if (!window.gtag) return;                  // GA not loaded guard
  window.gtag('event', eventName, {
    event_category: parameters.category || 'General',
    event_label:    parameters.label    || '',
    value:          parameters.value    || 0,
    ...parameters
  });
}
// Usage in any component:
// import { trackEvent } from '@/utils/analytics';
// trackEvent('assessment_started', { category: 'Assessment' });</w:t>
            </w:r>
          </w:p>
        </w:tc>
      </w:tr>
    </w:tbl>
    <w:p>
      <w:pPr>
        <w:pStyle w:val="Heading3"/>
        <w:spacing w:before="200" w:after="120"/>
      </w:pPr>
      <w:r>
        <w:rPr>
          <w:rFonts w:ascii="Arial" w:cs="Arial" w:eastAsia="Arial" w:hAnsi="Arial"/>
          <w:b/>
          <w:color w:val="333333"/>
          <w:sz w:val="22"/>
          <w:szCs w:val="22"/>
        </w:rPr>
        <w:t xml:space="preserve">Event Taxonomy</w:t>
      </w:r>
    </w:p>
    <w:tbl>
      <w:tblPr>
        <w:tblW w:w="100" w:type="pct"/>
      </w:tblPr>
      <w:tblGrid>
        <w:gridCol w:w="2600"/>
        <w:gridCol w:w="3000"/>
        <w:gridCol w:w="3426"/>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Event Name</w:t>
            </w:r>
          </w:p>
        </w:tc>
        <w:tc>
          <w:tcPr>
            <w:tcW w:w="3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Fired When</w:t>
            </w:r>
          </w:p>
        </w:tc>
        <w:tc>
          <w:tcPr>
            <w:tcW w:w="3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Key Parameters</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assessment_started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clicks Start on assessment landing</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assessment_question_answered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selects an answer</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question_id, category, answer_value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assessment_email_captured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submits email at gate</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has_company, has_title</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assessment_completed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reaches results page</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integrity_score, tier_recommendation, is_multi_tier</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assessment_report_downloaded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downloads PDF</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integrity_score, tier_recommendation</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alpha_application_submitted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submits Alpha form</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org_size, tiers_selected</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contact_form_submitted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 contact form submitted</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form_type (general/partnership/media)</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blog_post_read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scrolls &gt; 75% of blog post</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post_slug, post_title, time_on_page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cta_clicked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clicks any CTA button</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button_label, destination_url, source_page</w:t>
            </w:r>
          </w:p>
        </w:tc>
      </w:tr>
    </w:tbl>
    <w:p>
      <w:pPr>
        <w:pStyle w:val="Heading2"/>
        <w:spacing w:before="280" w:after="160"/>
      </w:pPr>
      <w:r>
        <w:rPr>
          <w:rFonts w:ascii="Arial" w:cs="Arial" w:eastAsia="Arial" w:hAnsi="Arial"/>
          <w:b/>
          <w:color w:val="1A1A1A"/>
          <w:sz w:val="26"/>
          <w:szCs w:val="26"/>
        </w:rPr>
        <w:t xml:space="preserve">18.10 Performance Architecture</w:t>
      </w:r>
    </w:p>
    <w:tbl>
      <w:tblPr>
        <w:tblW w:w="100" w:type="pct"/>
      </w:tblPr>
      <w:tblGrid>
        <w:gridCol w:w="2200"/>
        <w:gridCol w:w="3413"/>
        <w:gridCol w:w="3413"/>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Technique</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How It Works</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Target Impact</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Static Site Generation</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pre-renders all pages at build time. Zero server compute per request.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LCP &lt; 1.5s. Time to First Byte &lt; 200ms.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Code Splitting</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splits each page into its own JS bundle. Users only download what they need.</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Homepage bundle &lt; 80KB. Assessment page loads quiz engine only when visited.</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Lazy Loading (Assessment)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Quiz engine and scoring logic imported via dynamic import(). Loaded only when user starts assessment.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Homepage unaffected by assessment complexity.</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Image Optimisation</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next/image component: automatic WebP conversion, responsive srcset, lazy load below fold.</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Image payload &lt; 200KB total on homepage.</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Font Loading Strategy</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Fonts preconnect in &lt;head&gt;. font-display: swap prevents invisible text.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Text visible within 100ms. No layout shift from fonts.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Critical CSS Inlining</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Tailwind CSS purges unused styles at build. Only referenced classes included.</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CSS payload &lt; 15KB.</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Edge Deployment</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deploys to 70+ edge locations globally. Content served from nearest CDN node.</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Latency &lt; 50ms for 90% of South African users.</w:t>
            </w:r>
          </w:p>
        </w:tc>
      </w:tr>
    </w:tbl>
    <w:p>
      <w:pPr>
        <w:pStyle w:val="Heading2"/>
        <w:spacing w:before="280" w:after="160"/>
      </w:pPr>
      <w:r>
        <w:rPr>
          <w:rFonts w:ascii="Arial" w:cs="Arial" w:eastAsia="Arial" w:hAnsi="Arial"/>
          <w:b/>
          <w:color w:val="1A1A1A"/>
          <w:sz w:val="26"/>
          <w:szCs w:val="26"/>
        </w:rPr>
        <w:t xml:space="preserve">18.11 Error Handling &amp; Resilience</w:t>
      </w:r>
    </w:p>
    <w:tbl>
      <w:tblPr>
        <w:tblW w:w="100" w:type="pct"/>
      </w:tblPr>
      <w:tblGrid>
        <w:gridCol w:w="2600"/>
        <w:gridCol w:w="2800"/>
        <w:gridCol w:w="3626"/>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Failure Scenario</w:t>
            </w:r>
          </w:p>
        </w:tc>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User Experience</w:t>
            </w:r>
          </w:p>
        </w:tc>
        <w:tc>
          <w:tcPr>
            <w:tcW w:w="36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Implementation</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Network failure during form submit</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stays filled. Error message appears: "Connection failed. Try again." Retry button shown.</w:t>
            </w:r>
          </w:p>
        </w:tc>
        <w:tc>
          <w:tcPr>
            <w:tcW w:w="3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Catch block on fetch. Preserve form state in component state.</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Analytics service unavailable</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sees nothing different. Tracking silently fails.</w:t>
            </w:r>
          </w:p>
        </w:tc>
        <w:tc>
          <w:tcPr>
            <w:tcW w:w="3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trackEvent() calls wrapped in try/catch. Failures logged to console only.</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Quiz engine JS fails to load</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sees: "Assessment temporarily unavailable. Contact us." with link to contact page.</w:t>
            </w:r>
          </w:p>
        </w:tc>
        <w:tc>
          <w:tcPr>
            <w:tcW w:w="3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Error boundary around QuizEngine component. Fallback renders contact CTA.</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PDF generation fails</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sees: "Download failed. Email us and we will send the report." with mailto link.</w:t>
            </w:r>
          </w:p>
        </w:tc>
        <w:tc>
          <w:tcPr>
            <w:tcW w:w="3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try/catch around jsPDF generation. Fallback to email option.</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Invalid blog post slug</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sees branded 404 page with search and popular posts.</w:t>
            </w:r>
          </w:p>
        </w:tc>
        <w:tc>
          <w:tcPr>
            <w:tcW w:w="3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getStaticPaths validates slugs. Unknown slugs return 404 page.</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Google Fonts fail to load</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Fallback fonts (Arial/Georgia) render immediately. No blank text.</w:t>
            </w:r>
          </w:p>
        </w:tc>
        <w:tc>
          <w:tcPr>
            <w:tcW w:w="3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font-display: swap + system font fallbacks in CSS.</w:t>
            </w:r>
          </w:p>
        </w:tc>
      </w:tr>
    </w:tbl>
    <w:p>
      <w:pPr>
        <w:pStyle w:val="Heading2"/>
        <w:spacing w:before="280" w:after="160"/>
      </w:pPr>
      <w:r>
        <w:rPr>
          <w:rFonts w:ascii="Arial" w:cs="Arial" w:eastAsia="Arial" w:hAnsi="Arial"/>
          <w:b/>
          <w:color w:val="1A1A1A"/>
          <w:sz w:val="26"/>
          <w:szCs w:val="26"/>
        </w:rPr>
        <w:t xml:space="preserve">18.12 Frontend Security</w:t>
      </w:r>
    </w:p>
    <w:p>
      <w:pPr>
        <w:numPr>
          <w:ilvl w:val="0"/>
          <w:numId w:val="2"/>
        </w:numPr>
        <w:spacing w:after="80" w:line="260"/>
      </w:pPr>
      <w:r>
        <w:rPr>
          <w:rFonts w:ascii="Arial" w:cs="Arial" w:eastAsia="Arial" w:hAnsi="Arial"/>
          <w:color w:val="333333"/>
          <w:sz w:val="21"/>
          <w:szCs w:val="21"/>
        </w:rPr>
        <w:t xml:space="preserve">No API keys, tokens, or secrets exist in frontend code. All secrets are server-side environment variables prefixed NEXT_PUBLIC_ only if they are safe to expose (e.g., GA Measurement ID).</w:t>
      </w:r>
    </w:p>
    <w:p>
      <w:pPr>
        <w:numPr>
          <w:ilvl w:val="0"/>
          <w:numId w:val="2"/>
        </w:numPr>
        <w:spacing w:after="80" w:line="260"/>
      </w:pPr>
      <w:r>
        <w:rPr>
          <w:rFonts w:ascii="Arial" w:cs="Arial" w:eastAsia="Arial" w:hAnsi="Arial"/>
          <w:color w:val="333333"/>
          <w:sz w:val="21"/>
          <w:szCs w:val="21"/>
        </w:rPr>
        <w:t xml:space="preserve">All user input is sanitised before display. React auto-escapes JSX expressions, preventing XSS by default.</w:t>
      </w:r>
    </w:p>
    <w:p>
      <w:pPr>
        <w:numPr>
          <w:ilvl w:val="0"/>
          <w:numId w:val="2"/>
        </w:numPr>
        <w:spacing w:after="80" w:line="260"/>
      </w:pPr>
      <w:r>
        <w:rPr>
          <w:rFonts w:ascii="Arial" w:cs="Arial" w:eastAsia="Arial" w:hAnsi="Arial"/>
          <w:color w:val="333333"/>
          <w:sz w:val="21"/>
          <w:szCs w:val="21"/>
        </w:rPr>
        <w:t xml:space="preserve">Content Security Policy (CSP) headers restrict script sources to self and Google (Fonts + Analytics only).</w:t>
      </w:r>
    </w:p>
    <w:p>
      <w:pPr>
        <w:numPr>
          <w:ilvl w:val="0"/>
          <w:numId w:val="2"/>
        </w:numPr>
        <w:spacing w:after="80" w:line="260"/>
      </w:pPr>
      <w:r>
        <w:rPr>
          <w:rFonts w:ascii="Arial" w:cs="Arial" w:eastAsia="Arial" w:hAnsi="Arial"/>
          <w:color w:val="333333"/>
          <w:sz w:val="21"/>
          <w:szCs w:val="21"/>
        </w:rPr>
        <w:t xml:space="preserve">Cookie consent banner implemented before any tracking cookies are set. POPIA-compliant: user must opt in before GA fires.</w:t>
      </w:r>
    </w:p>
    <w:p>
      <w:pPr>
        <w:numPr>
          <w:ilvl w:val="0"/>
          <w:numId w:val="2"/>
        </w:numPr>
        <w:spacing w:after="80" w:line="260"/>
      </w:pPr>
      <w:r>
        <w:rPr>
          <w:rFonts w:ascii="Arial" w:cs="Arial" w:eastAsia="Arial" w:hAnsi="Arial"/>
          <w:color w:val="333333"/>
          <w:sz w:val="21"/>
          <w:szCs w:val="21"/>
        </w:rPr>
        <w:t xml:space="preserve">Form honeypot field is a visually hidden input that must remain empty. CSS hides it; screen readers skip it via aria-hidden.</w:t>
      </w:r>
    </w:p>
    <w:p>
      <w:pPr>
        <w:numPr>
          <w:ilvl w:val="0"/>
          <w:numId w:val="2"/>
        </w:numPr>
        <w:spacing w:after="80" w:line="260"/>
      </w:pPr>
      <w:r>
        <w:rPr>
          <w:rFonts w:ascii="Arial" w:cs="Arial" w:eastAsia="Arial" w:hAnsi="Arial"/>
          <w:color w:val="333333"/>
          <w:sz w:val="21"/>
          <w:szCs w:val="21"/>
        </w:rPr>
        <w:t xml:space="preserve">Sensitive form data (email, company name) is transmitted over HTTPS only. Never logged to browser console.</w:t>
      </w:r>
    </w:p>
    <w:p>
      <w:r>
        <w:br w:type="page"/>
      </w:r>
    </w:p>
    <w:p>
      <w:pPr>
        <w:pStyle w:val="Heading1"/>
        <w:spacing w:before="360" w:after="200"/>
      </w:pPr>
      <w:r>
        <w:rPr>
          <w:rFonts w:ascii="Arial" w:cs="Arial" w:eastAsia="Arial" w:hAnsi="Arial"/>
          <w:b/>
          <w:color w:val="1A1A1A"/>
          <w:sz w:val="32"/>
          <w:szCs w:val="32"/>
        </w:rPr>
        <w:t xml:space="preserve">19. Backend System Architecture</w:t>
      </w:r>
    </w:p>
    <w:p>
      <w:pPr>
        <w:spacing w:after="120" w:line="276"/>
      </w:pPr>
      <w:r>
        <w:rPr>
          <w:rFonts w:ascii="Arial" w:cs="Arial" w:eastAsia="Arial" w:hAnsi="Arial"/>
          <w:color w:val="333333"/>
          <w:sz w:val="22"/>
          <w:szCs w:val="22"/>
        </w:rPr>
        <w:t xml:space="preserve">The backend does not exist in Phase 1. The website launches as a pure frontend product. This section defines the complete backend system that connects in Phase 2 — architected now so that every frontend decision is compatible. Nothing here is speculative: each system maps directly to a frontend capability that currently uses a third-party workaround.</w:t>
      </w:r>
    </w:p>
    <w:p>
      <w:pPr>
        <w:pStyle w:val="Heading2"/>
        <w:spacing w:before="280" w:after="160"/>
      </w:pPr>
      <w:r>
        <w:rPr>
          <w:rFonts w:ascii="Arial" w:cs="Arial" w:eastAsia="Arial" w:hAnsi="Arial"/>
          <w:b/>
          <w:color w:val="1A1A1A"/>
          <w:sz w:val="26"/>
          <w:szCs w:val="26"/>
        </w:rPr>
        <w:t xml:space="preserve">19.1 Architecture Decision: Start Monolithic, Decompose Later</w:t>
      </w:r>
    </w:p>
    <w:p>
      <w:pPr>
        <w:spacing w:after="120" w:line="276"/>
      </w:pPr>
      <w:r>
        <w:rPr>
          <w:rFonts w:ascii="Arial" w:cs="Arial" w:eastAsia="Arial" w:hAnsi="Arial"/>
          <w:color w:val="333333"/>
          <w:sz w:val="22"/>
          <w:szCs w:val="22"/>
        </w:rPr>
        <w:t xml:space="preserve">The backend launches as a single monolithic API service. This is deliberate. Microservices add operational complexity (service discovery, distributed tracing, independent deployments) that is unjustified at AIC's scale in Phase 2. The monolith is organised into clearly bounded modules — Lead Management, Assessment, Certification, Pulse — that can be extracted into independent services when traffic and team size demand it.</w:t>
      </w:r>
    </w:p>
    <w:tbl>
      <w:tblPr>
        <w:tblW w:w="100" w:type="pct"/>
      </w:tblPr>
      <w:tblGrid>
        <w:gridCol w:w="2400"/>
        <w:gridCol w:w="2800"/>
        <w:gridCol w:w="3826"/>
      </w:tblGrid>
      <w:tr>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Module</w:t>
            </w:r>
          </w:p>
        </w:tc>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Extracts To (Phase 3+)</w:t>
            </w:r>
          </w:p>
        </w:tc>
        <w:tc>
          <w:tcPr>
            <w:tcW w:w="38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Trigger for Extraction</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Management</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Service</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volume &gt; 1,000/month or CRM sync complexity grows</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Service</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traffic &gt; 500/day or ML scoring model needed</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Workflow</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Service</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Workflow complexity requires independent deployment cadence</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Pulse Monitoring</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Pulse Service</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Real-time monitoring requires independent scaling (WebSocket connections)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Integration</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Integration Service</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Partner count &gt; 5 or partner SLAs require independent uptime</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Notification</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Notification Service</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volume &gt; 10,000/day or multi-channel complexity grows</w:t>
            </w:r>
          </w:p>
        </w:tc>
      </w:tr>
    </w:tbl>
    <w:p>
      <w:pPr>
        <w:pStyle w:val="Heading2"/>
        <w:spacing w:before="280" w:after="160"/>
      </w:pPr>
      <w:r>
        <w:rPr>
          <w:rFonts w:ascii="Arial" w:cs="Arial" w:eastAsia="Arial" w:hAnsi="Arial"/>
          <w:b/>
          <w:color w:val="1A1A1A"/>
          <w:sz w:val="26"/>
          <w:szCs w:val="26"/>
        </w:rPr>
        <w:t xml:space="preserve">19.2 Technology Stack</w:t>
      </w:r>
    </w:p>
    <w:tbl>
      <w:tblPr>
        <w:tblW w:w="100" w:type="pct"/>
      </w:tblPr>
      <w:tblGrid>
        <w:gridCol w:w="1800"/>
        <w:gridCol w:w="2000"/>
        <w:gridCol w:w="5228"/>
      </w:tblGrid>
      <w:tr>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Component</w:t>
            </w:r>
          </w:p>
        </w:tc>
        <w:tc>
          <w:tcPr>
            <w:tcW w:w="2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Technology</w:t>
            </w:r>
          </w:p>
        </w:tc>
        <w:tc>
          <w:tcPr>
            <w:tcW w:w="5228"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Rationale</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Runtime</w:t>
            </w:r>
          </w:p>
        </w:tc>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Node.js 20 LTS</w:t>
            </w:r>
          </w:p>
        </w:tc>
        <w:tc>
          <w:tcPr>
            <w:tcW w:w="5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Same language as frontend (JavaScript/TypeScript). Largest talent pool. Non-blocking I/O ideal for API workloads.</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Language</w:t>
            </w:r>
          </w:p>
        </w:tc>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TypeScript</w:t>
            </w:r>
          </w:p>
        </w:tc>
        <w:tc>
          <w:tcPr>
            <w:tcW w:w="5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Type safety catches bugs at compile time. Essential for a backend that handles certification data and financial transactions.</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Framework</w:t>
            </w:r>
          </w:p>
        </w:tc>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Express.js</w:t>
            </w:r>
          </w:p>
        </w:tc>
        <w:tc>
          <w:tcPr>
            <w:tcW w:w="5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Minimal, well-understood, massive ecosystem. Avoids opinionated frameworks that constrain architecture decisions.</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ORM</w:t>
            </w:r>
          </w:p>
        </w:tc>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Prisma</w:t>
            </w:r>
          </w:p>
        </w:tc>
        <w:tc>
          <w:tcPr>
            <w:tcW w:w="5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Type-safe database queries. Automatic migration management. Excellent developer experience. Prevents SQL injection by design.</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Database</w:t>
            </w:r>
          </w:p>
        </w:tc>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PostgreSQL</w:t>
            </w:r>
          </w:p>
        </w:tc>
        <w:tc>
          <w:tcPr>
            <w:tcW w:w="5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ACID compliance critical for certification records. Rich indexing. Row-level security for multi-tenancy. Managed options available (Supabase, Neon).</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Cache / Sessions</w:t>
            </w:r>
          </w:p>
        </w:tc>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Redis</w:t>
            </w:r>
          </w:p>
        </w:tc>
        <w:tc>
          <w:tcPr>
            <w:tcW w:w="5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Sub-millisecond read for session data and API response caching. Pub/sub for real-time features (Phase 3).</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Job Queue</w:t>
            </w:r>
          </w:p>
        </w:tc>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BullMQ</w:t>
            </w:r>
          </w:p>
        </w:tc>
        <w:tc>
          <w:tcPr>
            <w:tcW w:w="5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Redis-backed. Reliable job processing with retry, dead-letter, and monitoring. Handles PDF generation, email sending, bias analysis.</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Search</w:t>
            </w:r>
          </w:p>
        </w:tc>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Elasticsearch (or Algolia)</w:t>
            </w:r>
          </w:p>
        </w:tc>
        <w:tc>
          <w:tcPr>
            <w:tcW w:w="5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Full-text search for blog and resource content. Faceted search for organisation directory in client portal.</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File Storage</w:t>
            </w:r>
          </w:p>
        </w:tc>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AWS S3 (or equivalent)</w:t>
            </w:r>
          </w:p>
        </w:tc>
        <w:tc>
          <w:tcPr>
            <w:tcW w:w="5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standard for document storage. Signed URLs for secure access. Lifecycle policies for cost management.</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w:t>
            </w:r>
          </w:p>
        </w:tc>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w:t>
            </w:r>
          </w:p>
        </w:tc>
        <w:tc>
          <w:tcPr>
            <w:tcW w:w="5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Reliable transactional delivery. Template management. Delivery analytics. Webhook for bounce/open tracking.</w:t>
            </w:r>
          </w:p>
        </w:tc>
      </w:tr>
    </w:tbl>
    <w:p>
      <w:pPr>
        <w:pStyle w:val="Heading2"/>
        <w:spacing w:before="280" w:after="160"/>
      </w:pPr>
      <w:r>
        <w:rPr>
          <w:rFonts w:ascii="Arial" w:cs="Arial" w:eastAsia="Arial" w:hAnsi="Arial"/>
          <w:b/>
          <w:color w:val="1A1A1A"/>
          <w:sz w:val="26"/>
          <w:szCs w:val="26"/>
        </w:rPr>
        <w:t xml:space="preserve">19.3 API Design Conventions</w:t>
      </w:r>
    </w:p>
    <w:p>
      <w:pPr>
        <w:pStyle w:val="Heading3"/>
        <w:spacing w:before="200" w:after="120"/>
      </w:pPr>
      <w:r>
        <w:rPr>
          <w:rFonts w:ascii="Arial" w:cs="Arial" w:eastAsia="Arial" w:hAnsi="Arial"/>
          <w:b/>
          <w:color w:val="333333"/>
          <w:sz w:val="22"/>
          <w:szCs w:val="22"/>
        </w:rPr>
        <w:t xml:space="preserve">Resource Naming &amp; Versioning</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Base URL:    https://api.aic.co.za/v1/
Auth Header: Authorization: Bearer &lt;JWT_TOKEN&gt;
Resource endpoints follow RESTful conventions:
  GET    /v1/leads              — List leads (admin)
  POST   /v1/leads              — Create lead (from website form)
  GET    /v1/leads/:id          — Get single lead
  POST   /v1/assessments        — Submit assessment responses
  GET    /v1/assessments/:id    — Get assessment results
  GET    /v1/assessments/:id/report — Download PDF report
  GET    /v1/organisations/:id/certifications  — List certifications
  POST   /v1/organisations/:id/certifications  — Initiate certification
  GET    /v1/certifications/:id                — Get certification status
  PUT    /v1/certifications/:id/evidence       — Upload evidence
  GET    /v1/pulse/:orgId/health               — Current health score
  POST   /v1/pulse/:orgId/data                 — Ingest AI system data
  GET    /v1/insurance/status/:orgId           — Certification verification (for insurers)</w:t>
            </w:r>
          </w:p>
        </w:tc>
      </w:tr>
    </w:tbl>
    <w:p>
      <w:pPr>
        <w:pStyle w:val="Heading3"/>
        <w:spacing w:before="200" w:after="120"/>
      </w:pPr>
      <w:r>
        <w:rPr>
          <w:rFonts w:ascii="Arial" w:cs="Arial" w:eastAsia="Arial" w:hAnsi="Arial"/>
          <w:b/>
          <w:color w:val="333333"/>
          <w:sz w:val="22"/>
          <w:szCs w:val="22"/>
        </w:rPr>
        <w:t xml:space="preserve">Response Envelope</w:t>
      </w:r>
    </w:p>
    <w:tbl>
      <w:tblPr>
        <w:tblW w:w="100" w:type="pct"/>
      </w:tblPr>
      <w:tblGrid>
        <w:gridCol w:w="9026"/>
      </w:tblGrid>
      <w:tr>
        <w:tc>
          <w:tcPr>
            <w:tcW w:w="9026" w:type="dxa"/>
            <w:tcBorders>
              <w:top w:val="single" w:color="E0E0E0" w:sz="1"/>
              <w:left w:val="single" w:color="E0E0E0" w:sz="1"/>
              <w:bottom w:val="single" w:color="E0E0E0" w:sz="1"/>
              <w:right w:val="single" w:color="E0E0E0" w:sz="1"/>
            </w:tcBorders>
            <w:shd w:fill="F5F5F5" w:val="clear"/>
            <w:tcMar>
              <w:top w:type="dxa" w:w="100"/>
              <w:left w:type="dxa" w:w="200"/>
              <w:bottom w:type="dxa" w:w="100"/>
              <w:right w:type="dxa" w:w="200"/>
            </w:tcMar>
          </w:tcPr>
          <w:p>
            <w:pPr>
              <w:spacing w:after="0" w:line="240"/>
            </w:pPr>
            <w:r>
              <w:rPr>
                <w:rFonts w:ascii="Courier New" w:cs="Courier New" w:eastAsia="Courier New" w:hAnsi="Courier New"/>
                <w:color w:val="2C5F2D"/>
                <w:sz w:val="18"/>
                <w:szCs w:val="18"/>
              </w:rPr>
              <w:t xml:space="preserve">// Success response
{
  "status": "success",
  "data": { ... },           // The actual payload
  "meta": {
    "requestId": "req_abc123",
    "timestamp": "2026-01-31T12:00:00Z",
    "version": "v1"
  }
}
// Error response
{
  "status": "error",
  "error": {
    "code": "VALIDATION_ERROR",  // Machine-readable code
    "message": "Email is required",  // Human-readable message
    "details": [                     // Optional: field-level errors
      { "field": "email", "message": "Required" }
    ]
  },
  "meta": { ... }
}</w:t>
            </w:r>
          </w:p>
        </w:tc>
      </w:tr>
    </w:tbl>
    <w:p>
      <w:pPr>
        <w:pStyle w:val="Heading3"/>
        <w:spacing w:before="200" w:after="120"/>
      </w:pPr>
      <w:r>
        <w:rPr>
          <w:rFonts w:ascii="Arial" w:cs="Arial" w:eastAsia="Arial" w:hAnsi="Arial"/>
          <w:b/>
          <w:color w:val="333333"/>
          <w:sz w:val="22"/>
          <w:szCs w:val="22"/>
        </w:rPr>
        <w:t xml:space="preserve">Rate Limiting</w:t>
      </w:r>
    </w:p>
    <w:tbl>
      <w:tblPr>
        <w:tblW w:w="100" w:type="pct"/>
      </w:tblPr>
      <w:tblGrid>
        <w:gridCol w:w="2800"/>
        <w:gridCol w:w="2400"/>
        <w:gridCol w:w="3826"/>
      </w:tblGrid>
      <w:tr>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Endpoint Category</w:t>
            </w:r>
          </w:p>
        </w:tc>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Rate Limit</w:t>
            </w:r>
          </w:p>
        </w:tc>
        <w:tc>
          <w:tcPr>
            <w:tcW w:w="38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Strategy</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Public forms (contact, alpha)</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 requests / IP / hour</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Redis-based sliding window. Returns 429 with Retry-After header.</w:t>
            </w:r>
          </w:p>
        </w:tc>
      </w:tr>
      <w:tr>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submission</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 requests / IP / hour</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Prevents automated quiz farming. Legitimate users rarely submit more than once.</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verification (partner API)</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100 requests / API key / hour</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key required. Higher limit for trusted partners.</w:t>
            </w:r>
          </w:p>
        </w:tc>
      </w:tr>
      <w:tr>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Authenticated endpoints (portal)</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60 requests / user / minute</w:t>
            </w:r>
          </w:p>
        </w:tc>
        <w:tc>
          <w:tcPr>
            <w:tcW w:w="3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Per-user token bucket. Prevents portal scraping.</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Health check</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Unlimited</w:t>
            </w:r>
          </w:p>
        </w:tc>
        <w:tc>
          <w:tcPr>
            <w:tcW w:w="3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Used by load balancers. No auth required.</w:t>
            </w:r>
          </w:p>
        </w:tc>
      </w:tr>
    </w:tbl>
    <w:p>
      <w:pPr>
        <w:pStyle w:val="Heading2"/>
        <w:spacing w:before="280" w:after="160"/>
      </w:pPr>
      <w:r>
        <w:rPr>
          <w:rFonts w:ascii="Arial" w:cs="Arial" w:eastAsia="Arial" w:hAnsi="Arial"/>
          <w:b/>
          <w:color w:val="1A1A1A"/>
          <w:sz w:val="26"/>
          <w:szCs w:val="26"/>
        </w:rPr>
        <w:t xml:space="preserve">19.4 Database Schema</w:t>
      </w:r>
    </w:p>
    <w:p>
      <w:pPr>
        <w:spacing w:after="120" w:line="276"/>
      </w:pPr>
      <w:r>
        <w:rPr>
          <w:rFonts w:ascii="Arial" w:cs="Arial" w:eastAsia="Arial" w:hAnsi="Arial"/>
          <w:color w:val="333333"/>
          <w:sz w:val="22"/>
          <w:szCs w:val="22"/>
        </w:rPr>
        <w:t xml:space="preserve">The schema is designed around AIC's core entities: organisations that deploy AI, the leads that become those organisations, the assessments that qualify them, and the certifications that validate them. Every table has created_at and updated_at timestamps. Every mutation is logged to audit_logs.</w:t>
      </w:r>
    </w:p>
    <w:p>
      <w:pPr>
        <w:pStyle w:val="Heading3"/>
        <w:spacing w:before="200" w:after="120"/>
      </w:pPr>
      <w:r>
        <w:rPr>
          <w:rFonts w:ascii="Arial" w:cs="Arial" w:eastAsia="Arial" w:hAnsi="Arial"/>
          <w:b/>
          <w:color w:val="333333"/>
          <w:sz w:val="22"/>
          <w:szCs w:val="22"/>
        </w:rPr>
        <w:t xml:space="preserve">Core Entity Tables</w:t>
      </w:r>
    </w:p>
    <w:tbl>
      <w:tblPr>
        <w:tblW w:w="100" w:type="pct"/>
      </w:tblPr>
      <w:tblGrid>
        <w:gridCol w:w="2200"/>
        <w:gridCol w:w="1200"/>
        <w:gridCol w:w="3000"/>
        <w:gridCol w:w="26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Table</w:t>
            </w:r>
          </w:p>
        </w:tc>
        <w:tc>
          <w:tcPr>
            <w:tcW w:w="1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Primary Key</w:t>
            </w:r>
          </w:p>
        </w:tc>
        <w:tc>
          <w:tcPr>
            <w:tcW w:w="3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Key Columns</w:t>
            </w:r>
          </w:p>
        </w:tc>
        <w:tc>
          <w:tcPr>
            <w:tcW w:w="26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Relationships</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organisations</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name, industry, size_band, contact_email, created_at</w:t>
            </w:r>
          </w:p>
        </w:tc>
        <w:tc>
          <w:tcPr>
            <w:tcW w:w="2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Has many: users, certifications, assessments, pulse_data</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users</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organisation_id, email, role, first_name, last_name, is_active</w:t>
            </w:r>
          </w:p>
        </w:tc>
        <w:tc>
          <w:tcPr>
            <w:tcW w:w="2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organisation. Role determines access scope.</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leads</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email, company_name, job_title, source, status, score, assessment_id</w:t>
            </w:r>
          </w:p>
        </w:tc>
        <w:tc>
          <w:tcPr>
            <w:tcW w:w="2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May promote to: organisation (on qualification). Links to: assessment.</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assessments</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lead_id, organisation_id, status, integrity_score, tier_recommendation, responses (JSONB), completed_at</w:t>
            </w:r>
          </w:p>
        </w:tc>
        <w:tc>
          <w:tcPr>
            <w:tcW w:w="2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lead or organisation. Stores all 20 answers as JSONB.</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certifications</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organisation_id, tier, status, auditor_id, start_date, target_date, certified_at, expires_at</w:t>
            </w:r>
          </w:p>
        </w:tc>
        <w:tc>
          <w:tcPr>
            <w:tcW w:w="2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organisation. Has many: evidence_documents, findings, audit_logs.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evidence_documents</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certification_id, file_key (S3), document_type, uploaded_by, status, reviewed_at</w:t>
            </w:r>
          </w:p>
        </w:tc>
        <w:tc>
          <w:tcPr>
            <w:tcW w:w="2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certification. File stored in S3; this table is the metadata layer.</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findings</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certification_id, severity, description, corrective_action, status, resolved_at</w:t>
            </w:r>
          </w:p>
        </w:tc>
        <w:tc>
          <w:tcPr>
            <w:tcW w:w="2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certification. Tracks audit findings and their resolution.</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pulse_data</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id (UUID)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organisation_id, system_name, health_score, bias_indicators (JSONB), checked_at</w:t>
            </w:r>
          </w:p>
        </w:tc>
        <w:tc>
          <w:tcPr>
            <w:tcW w:w="2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Belongs to: organisation. One row per health check per AI system.</w:t>
            </w:r>
          </w:p>
        </w:tc>
      </w:tr>
    </w:tbl>
    <w:p>
      <w:pPr>
        <w:pStyle w:val="Heading3"/>
        <w:spacing w:before="200" w:after="120"/>
      </w:pPr>
      <w:r>
        <w:rPr>
          <w:rFonts w:ascii="Arial" w:cs="Arial" w:eastAsia="Arial" w:hAnsi="Arial"/>
          <w:b/>
          <w:color w:val="333333"/>
          <w:sz w:val="22"/>
          <w:szCs w:val="22"/>
        </w:rPr>
        <w:t xml:space="preserve">Supporting Tables</w:t>
      </w:r>
    </w:p>
    <w:tbl>
      <w:tblPr>
        <w:tblW w:w="100" w:type="pct"/>
      </w:tblPr>
      <w:tblGrid>
        <w:gridCol w:w="2200"/>
        <w:gridCol w:w="68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Table</w:t>
            </w:r>
          </w:p>
        </w:tc>
        <w:tc>
          <w:tcPr>
            <w:tcW w:w="68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Purpose</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audit_logs</w:t>
            </w:r>
          </w:p>
        </w:tc>
        <w:tc>
          <w:tcPr>
            <w:tcW w:w="6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Append-only log of every data mutation. Stores: user_id, action, entity_type, entity_id, before/after snapshot, timestamp. Required for POPIA compliance and certification audit trail.</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notifications</w:t>
            </w:r>
          </w:p>
        </w:tc>
        <w:tc>
          <w:tcPr>
            <w:tcW w:w="6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Every notification sent or queued. Stores: user_id, type, channel (email/in-app), template, status, sent_at. Enables delivery tracking and retry.</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insurance_partners</w:t>
            </w:r>
          </w:p>
        </w:tc>
        <w:tc>
          <w:tcPr>
            <w:tcW w:w="6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Configuration for each insurance integration. Stores: partner name, API credentials, webhook URLs, discount rules, active status.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blog_posts</w:t>
            </w:r>
          </w:p>
        </w:tc>
        <w:tc>
          <w:tcPr>
            <w:tcW w:w="6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 content for Phase 2+ CMS. Stores: slug, title, body (markdown), author, tags, published_at, seo_description. Phase 1 uses static files; this table enables dynamic CMS.</w:t>
            </w:r>
          </w:p>
        </w:tc>
      </w:tr>
    </w:tbl>
    <w:p>
      <w:pPr>
        <w:pStyle w:val="Heading2"/>
        <w:spacing w:before="280" w:after="160"/>
      </w:pPr>
      <w:r>
        <w:rPr>
          <w:rFonts w:ascii="Arial" w:cs="Arial" w:eastAsia="Arial" w:hAnsi="Arial"/>
          <w:b/>
          <w:color w:val="1A1A1A"/>
          <w:sz w:val="26"/>
          <w:szCs w:val="26"/>
        </w:rPr>
        <w:t xml:space="preserve">19.5 Authentication &amp; Authorisation</w:t>
      </w:r>
    </w:p>
    <w:p>
      <w:pPr>
        <w:pStyle w:val="Heading3"/>
        <w:spacing w:before="200" w:after="120"/>
      </w:pPr>
      <w:r>
        <w:rPr>
          <w:rFonts w:ascii="Arial" w:cs="Arial" w:eastAsia="Arial" w:hAnsi="Arial"/>
          <w:b/>
          <w:color w:val="333333"/>
          <w:sz w:val="22"/>
          <w:szCs w:val="22"/>
        </w:rPr>
        <w:t xml:space="preserve">Phase 1: No Authentication</w:t>
      </w:r>
    </w:p>
    <w:p>
      <w:pPr>
        <w:spacing w:after="120" w:line="276"/>
      </w:pPr>
      <w:r>
        <w:rPr>
          <w:rFonts w:ascii="Arial" w:cs="Arial" w:eastAsia="Arial" w:hAnsi="Arial"/>
          <w:color w:val="333333"/>
          <w:sz w:val="22"/>
          <w:szCs w:val="22"/>
        </w:rPr>
        <w:t xml:space="preserve">The website is fully public. No login, no session, no token. All forms POST anonymously.</w:t>
      </w:r>
    </w:p>
    <w:p>
      <w:pPr>
        <w:pStyle w:val="Heading3"/>
        <w:spacing w:before="200" w:after="120"/>
      </w:pPr>
      <w:r>
        <w:rPr>
          <w:rFonts w:ascii="Arial" w:cs="Arial" w:eastAsia="Arial" w:hAnsi="Arial"/>
          <w:b/>
          <w:color w:val="333333"/>
          <w:sz w:val="22"/>
          <w:szCs w:val="22"/>
        </w:rPr>
        <w:t xml:space="preserve">Phase 2: JWT-Based Authentication</w:t>
      </w:r>
    </w:p>
    <w:tbl>
      <w:tblPr>
        <w:tblW w:w="100" w:type="pct"/>
      </w:tblPr>
      <w:tblGrid>
        <w:gridCol w:w="2200"/>
        <w:gridCol w:w="68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Flow Step</w:t>
            </w:r>
          </w:p>
        </w:tc>
        <w:tc>
          <w:tcPr>
            <w:tcW w:w="68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Happens</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Login Request</w:t>
            </w:r>
          </w:p>
        </w:tc>
        <w:tc>
          <w:tcPr>
            <w:tcW w:w="6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submits email + password to POST /v1/auth/login. Or OAuth via LinkedIn/Google.</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 Credential Verification</w:t>
            </w:r>
          </w:p>
        </w:tc>
        <w:tc>
          <w:tcPr>
            <w:tcW w:w="6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Server verifies credentials against users table (password hashed with bcrypt, cost factor 12).</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Token Issuance</w:t>
            </w:r>
          </w:p>
        </w:tc>
        <w:tc>
          <w:tcPr>
            <w:tcW w:w="6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Server issues: access token (JWT, 15-minute expiry) + refresh token (opaque, 30-day expiry, stored in httpOnly cookie).</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4. Authenticated Request</w:t>
            </w:r>
          </w:p>
        </w:tc>
        <w:tc>
          <w:tcPr>
            <w:tcW w:w="6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 sends access token in Authorization: Bearer header. Server validates signature and expiry.</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 Token Refresh</w:t>
            </w:r>
          </w:p>
        </w:tc>
        <w:tc>
          <w:tcPr>
            <w:tcW w:w="68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When access token expires, client sends refresh token (via cookie). Server issues new access token if refresh token is valid.</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 Logout</w:t>
            </w:r>
          </w:p>
        </w:tc>
        <w:tc>
          <w:tcPr>
            <w:tcW w:w="68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Server invalidates refresh token (adds to blocklist in Redis). Client clears local tokens.</w:t>
            </w:r>
          </w:p>
        </w:tc>
      </w:tr>
    </w:tbl>
    <w:p>
      <w:pPr>
        <w:pStyle w:val="Heading3"/>
        <w:spacing w:before="200" w:after="120"/>
      </w:pPr>
      <w:r>
        <w:rPr>
          <w:rFonts w:ascii="Arial" w:cs="Arial" w:eastAsia="Arial" w:hAnsi="Arial"/>
          <w:b/>
          <w:color w:val="333333"/>
          <w:sz w:val="22"/>
          <w:szCs w:val="22"/>
        </w:rPr>
        <w:t xml:space="preserve">Role-Based Access Control</w:t>
      </w:r>
    </w:p>
    <w:tbl>
      <w:tblPr>
        <w:tblW w:w="100" w:type="pct"/>
      </w:tblPr>
      <w:tblGrid>
        <w:gridCol w:w="2000"/>
        <w:gridCol w:w="3513"/>
        <w:gridCol w:w="3513"/>
      </w:tblGrid>
      <w:tr>
        <w:tc>
          <w:tcPr>
            <w:tcW w:w="2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Role</w:t>
            </w:r>
          </w:p>
        </w:tc>
        <w:tc>
          <w:tcPr>
            <w:tcW w:w="3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Can Do</w:t>
            </w:r>
          </w:p>
        </w:tc>
        <w:tc>
          <w:tcPr>
            <w:tcW w:w="35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Cannot Do</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ADMIN</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Everything. Full platform access. User management. Partner configuration.</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Nothing restricted.</w:t>
            </w:r>
          </w:p>
        </w:tc>
      </w:tr>
      <w:tr>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AUDITOR</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View and manage assigned certifications. Upload findings. Access evidence.</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Create organisations. Manage billing. Access other auditors' assignments.</w:t>
            </w:r>
          </w:p>
        </w:tc>
      </w:tr>
      <w:tr>
        <w:tc>
          <w:tcPr>
            <w:tcW w:w="2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CLIENT_ADMIN</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Manage own organisation's certification. Upload evidence. View Pulse dashboard. Manage org users.</w:t>
            </w:r>
          </w:p>
        </w:tc>
        <w:tc>
          <w:tcPr>
            <w:tcW w:w="35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Access other organisations' data. Modify certification status.</w:t>
            </w:r>
          </w:p>
        </w:tc>
      </w:tr>
      <w:tr>
        <w:tc>
          <w:tcPr>
            <w:tcW w:w="2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CLIENT_USER</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View own organisation's certification status and Pulse dashboard. Upload evidence for active audits.</w:t>
            </w:r>
          </w:p>
        </w:tc>
        <w:tc>
          <w:tcPr>
            <w:tcW w:w="35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Manage organisation settings. Initiate new certifications. View billing.</w:t>
            </w:r>
          </w:p>
        </w:tc>
      </w:tr>
    </w:tbl>
    <w:p>
      <w:pPr>
        <w:pStyle w:val="Heading2"/>
        <w:spacing w:before="280" w:after="160"/>
      </w:pPr>
      <w:r>
        <w:rPr>
          <w:rFonts w:ascii="Arial" w:cs="Arial" w:eastAsia="Arial" w:hAnsi="Arial"/>
          <w:b/>
          <w:color w:val="1A1A1A"/>
          <w:sz w:val="26"/>
          <w:szCs w:val="26"/>
        </w:rPr>
        <w:t xml:space="preserve">19.6 Lead Management Service</w:t>
      </w:r>
    </w:p>
    <w:p>
      <w:pPr>
        <w:spacing w:after="120" w:line="276"/>
      </w:pPr>
      <w:r>
        <w:rPr>
          <w:rFonts w:ascii="Arial" w:cs="Arial" w:eastAsia="Arial" w:hAnsi="Arial"/>
          <w:color w:val="333333"/>
          <w:sz w:val="22"/>
          <w:szCs w:val="22"/>
        </w:rPr>
        <w:t xml:space="preserve">Every form submission on the website creates a lead. The lead management system captures, scores, enriches, and routes these leads to the sales process.</w:t>
      </w:r>
    </w:p>
    <w:p>
      <w:pPr>
        <w:pStyle w:val="Heading3"/>
        <w:spacing w:before="200" w:after="120"/>
      </w:pPr>
      <w:r>
        <w:rPr>
          <w:rFonts w:ascii="Arial" w:cs="Arial" w:eastAsia="Arial" w:hAnsi="Arial"/>
          <w:b/>
          <w:color w:val="333333"/>
          <w:sz w:val="22"/>
          <w:szCs w:val="22"/>
        </w:rPr>
        <w:t xml:space="preserve">Lead Lifecycle</w:t>
      </w:r>
    </w:p>
    <w:tbl>
      <w:tblPr>
        <w:tblW w:w="100" w:type="pct"/>
      </w:tblPr>
      <w:tblGrid>
        <w:gridCol w:w="1800"/>
        <w:gridCol w:w="3000"/>
        <w:gridCol w:w="4228"/>
      </w:tblGrid>
      <w:tr>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State</w:t>
            </w:r>
          </w:p>
        </w:tc>
        <w:tc>
          <w:tcPr>
            <w:tcW w:w="3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Description</w:t>
            </w:r>
          </w:p>
        </w:tc>
        <w:tc>
          <w:tcPr>
            <w:tcW w:w="4228"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Trigger to Next State</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NEW</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just submitted via website form. Raw data only.</w:t>
            </w:r>
          </w:p>
        </w:tc>
        <w:tc>
          <w:tcPr>
            <w:tcW w:w="4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enrichment job runs within 60 seconds.</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ENRICHED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Company data added (industry, size, funding stage) via third-party enrichment API.</w:t>
            </w:r>
          </w:p>
        </w:tc>
        <w:tc>
          <w:tcPr>
            <w:tcW w:w="4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scoring algorithm runs.</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SCORED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score calculated (0–100) based on: company size, industry relevance, form responses, assessment completion.</w:t>
            </w:r>
          </w:p>
        </w:tc>
        <w:tc>
          <w:tcPr>
            <w:tcW w:w="4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Score &gt; 70: auto-route to sales. Score &lt; 30: enters nurture sequence.</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CONTACTED</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Sales team has reached out. Manual status update.</w:t>
            </w:r>
          </w:p>
        </w:tc>
        <w:tc>
          <w:tcPr>
            <w:tcW w:w="4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responds positively.</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QUALIFIED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Sales confirms lead is a genuine prospect. Converts to Organisation record.</w:t>
            </w:r>
          </w:p>
        </w:tc>
        <w:tc>
          <w:tcPr>
            <w:tcW w:w="4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record created in DB.</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NURTURING</w:t>
            </w:r>
          </w:p>
        </w:tc>
        <w:tc>
          <w:tcPr>
            <w:tcW w:w="3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Low-score lead in automated email sequence. Receives educational content.</w:t>
            </w:r>
          </w:p>
        </w:tc>
        <w:tc>
          <w:tcPr>
            <w:tcW w:w="4228"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re-engages (clicks link, completes assessment).</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DISQUALIFIED</w:t>
            </w:r>
          </w:p>
        </w:tc>
        <w:tc>
          <w:tcPr>
            <w:tcW w:w="3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determined to not be a fit (wrong industry, wrong stage, no budget).</w:t>
            </w:r>
          </w:p>
        </w:tc>
        <w:tc>
          <w:tcPr>
            <w:tcW w:w="4228"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Terminal state.</w:t>
            </w:r>
          </w:p>
        </w:tc>
      </w:tr>
    </w:tbl>
    <w:p>
      <w:pPr>
        <w:pStyle w:val="Heading3"/>
        <w:spacing w:before="200" w:after="120"/>
      </w:pPr>
      <w:r>
        <w:rPr>
          <w:rFonts w:ascii="Arial" w:cs="Arial" w:eastAsia="Arial" w:hAnsi="Arial"/>
          <w:b/>
          <w:color w:val="333333"/>
          <w:sz w:val="22"/>
          <w:szCs w:val="22"/>
        </w:rPr>
        <w:t xml:space="preserve">Lead Scoring Algorithm</w:t>
      </w:r>
    </w:p>
    <w:tbl>
      <w:tblPr>
        <w:tblW w:w="100" w:type="pct"/>
      </w:tblPr>
      <w:tblGrid>
        <w:gridCol w:w="3500"/>
        <w:gridCol w:w="1200"/>
        <w:gridCol w:w="4326"/>
      </w:tblGrid>
      <w:tr>
        <w:tc>
          <w:tcPr>
            <w:tcW w:w="35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Signal</w:t>
            </w:r>
          </w:p>
        </w:tc>
        <w:tc>
          <w:tcPr>
            <w:tcW w:w="1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Points</w:t>
            </w:r>
          </w:p>
        </w:tc>
        <w:tc>
          <w:tcPr>
            <w:tcW w:w="43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Rationale</w:t>
            </w:r>
          </w:p>
        </w:tc>
      </w:tr>
      <w:tr>
        <w:tc>
          <w:tcPr>
            <w:tcW w:w="35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Completed full self-assessment</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+30</w:t>
            </w:r>
          </w:p>
        </w:tc>
        <w:tc>
          <w:tcPr>
            <w:tcW w:w="43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Highest intent signal. Invested 4+ minutes.</w:t>
            </w:r>
          </w:p>
        </w:tc>
      </w:tr>
      <w:tr>
        <w:tc>
          <w:tcPr>
            <w:tcW w:w="35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Provided email voluntarily</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w:t>
            </w:r>
          </w:p>
        </w:tc>
        <w:tc>
          <w:tcPr>
            <w:tcW w:w="43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Willingness to be contacted.</w:t>
            </w:r>
          </w:p>
        </w:tc>
      </w:tr>
      <w:tr>
        <w:tc>
          <w:tcPr>
            <w:tcW w:w="35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size &gt; 500</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w:t>
            </w:r>
          </w:p>
        </w:tc>
        <w:tc>
          <w:tcPr>
            <w:tcW w:w="43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Larger organisations = larger deal value.</w:t>
            </w:r>
          </w:p>
        </w:tc>
      </w:tr>
      <w:tr>
        <w:tc>
          <w:tcPr>
            <w:tcW w:w="35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Industry: BFSI or Healthcare</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w:t>
            </w:r>
          </w:p>
        </w:tc>
        <w:tc>
          <w:tcPr>
            <w:tcW w:w="43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Primary target industries.</w:t>
            </w:r>
          </w:p>
        </w:tc>
      </w:tr>
      <w:tr>
        <w:tc>
          <w:tcPr>
            <w:tcW w:w="35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Applied to Alpha Program</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+25</w:t>
            </w:r>
          </w:p>
        </w:tc>
        <w:tc>
          <w:tcPr>
            <w:tcW w:w="43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Strongest purchase signal possible.</w:t>
            </w:r>
          </w:p>
        </w:tc>
      </w:tr>
      <w:tr>
        <w:tc>
          <w:tcPr>
            <w:tcW w:w="35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Integrity Score &lt; 50</w:t>
            </w:r>
          </w:p>
        </w:tc>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w:t>
            </w:r>
          </w:p>
        </w:tc>
        <w:tc>
          <w:tcPr>
            <w:tcW w:w="43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Lower score = more need for certification = higher likelihood to buy.</w:t>
            </w:r>
          </w:p>
        </w:tc>
      </w:tr>
      <w:tr>
        <w:tc>
          <w:tcPr>
            <w:tcW w:w="35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Referred by existing client</w:t>
            </w:r>
          </w:p>
        </w:tc>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+20</w:t>
            </w:r>
          </w:p>
        </w:tc>
        <w:tc>
          <w:tcPr>
            <w:tcW w:w="43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Warm lead. Higher conversion probability.</w:t>
            </w:r>
          </w:p>
        </w:tc>
      </w:tr>
    </w:tbl>
    <w:p>
      <w:pPr>
        <w:pStyle w:val="Heading2"/>
        <w:spacing w:before="280" w:after="160"/>
      </w:pPr>
      <w:r>
        <w:rPr>
          <w:rFonts w:ascii="Arial" w:cs="Arial" w:eastAsia="Arial" w:hAnsi="Arial"/>
          <w:b/>
          <w:color w:val="1A1A1A"/>
          <w:sz w:val="26"/>
          <w:szCs w:val="26"/>
        </w:rPr>
        <w:t xml:space="preserve">19.7 Assessment Service</w:t>
      </w:r>
    </w:p>
    <w:p>
      <w:pPr>
        <w:spacing w:after="120" w:line="276"/>
      </w:pPr>
      <w:r>
        <w:rPr>
          <w:rFonts w:ascii="Arial" w:cs="Arial" w:eastAsia="Arial" w:hAnsi="Arial"/>
          <w:color w:val="333333"/>
          <w:sz w:val="22"/>
          <w:szCs w:val="22"/>
        </w:rPr>
        <w:t xml:space="preserve">In Phase 2, the scoring engine moves server-side. This ensures consistency (no client-side tampering), enables ML-based scoring improvements, and allows server-side PDF generation with higher fidelity.</w:t>
      </w:r>
    </w:p>
    <w:tbl>
      <w:tblPr>
        <w:tblW w:w="100" w:type="pct"/>
      </w:tblPr>
      <w:tblGrid>
        <w:gridCol w:w="2600"/>
        <w:gridCol w:w="6426"/>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Responsibility</w:t>
            </w:r>
          </w:p>
        </w:tc>
        <w:tc>
          <w:tcPr>
            <w:tcW w:w="6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Implementation</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Response Ingestion</w:t>
            </w:r>
          </w:p>
        </w:tc>
        <w:tc>
          <w:tcPr>
            <w:tcW w:w="6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 /v1/assessments receives all 20 answers as a JSON array. Validates question IDs and answer values against the authoritative question schema.</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Server-Side Scoring</w:t>
            </w:r>
          </w:p>
        </w:tc>
        <w:tc>
          <w:tcPr>
            <w:tcW w:w="6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Same algorithm as Phase 1 client-side (utils/scoring.js) but runs on server. Single source of truth. Results stored in assessments table.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Report Generation</w:t>
            </w:r>
          </w:p>
        </w:tc>
        <w:tc>
          <w:tcPr>
            <w:tcW w:w="6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Puppeteer renders a styled HTML template with the results data. Outputs branded PDF. Stored in S3. Link returned to client.</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Creation</w:t>
            </w:r>
          </w:p>
        </w:tc>
        <w:tc>
          <w:tcPr>
            <w:tcW w:w="6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On email capture, assessment service creates a lead record and triggers the enrichment + scoring pipeline.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Caching</w:t>
            </w:r>
          </w:p>
        </w:tc>
        <w:tc>
          <w:tcPr>
            <w:tcW w:w="6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results cached in Redis for 24 hours. Subsequent GET requests return cached result. Avoids recalculation.</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Analytics Emission</w:t>
            </w:r>
          </w:p>
        </w:tc>
        <w:tc>
          <w:tcPr>
            <w:tcW w:w="6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service emits events to an internal analytics bus on completion. Enables server-side funnel analysis independent of client-side GA.</w:t>
            </w:r>
          </w:p>
        </w:tc>
      </w:tr>
    </w:tbl>
    <w:p>
      <w:pPr>
        <w:pStyle w:val="Heading2"/>
        <w:spacing w:before="280" w:after="160"/>
      </w:pPr>
      <w:r>
        <w:rPr>
          <w:rFonts w:ascii="Arial" w:cs="Arial" w:eastAsia="Arial" w:hAnsi="Arial"/>
          <w:b/>
          <w:color w:val="1A1A1A"/>
          <w:sz w:val="26"/>
          <w:szCs w:val="26"/>
        </w:rPr>
        <w:t xml:space="preserve">19.8 Certification Workflow Engine</w:t>
      </w:r>
    </w:p>
    <w:p>
      <w:pPr>
        <w:spacing w:after="120" w:line="276"/>
      </w:pPr>
      <w:r>
        <w:rPr>
          <w:rFonts w:ascii="Arial" w:cs="Arial" w:eastAsia="Arial" w:hAnsi="Arial"/>
          <w:color w:val="333333"/>
          <w:sz w:val="22"/>
          <w:szCs w:val="22"/>
        </w:rPr>
        <w:t xml:space="preserve">The certification workflow is the core business logic of AIC. It manages the entire journey from application to certified status, including evidence management, auditor assignment, finding tracking, and renewal scheduling.</w:t>
      </w:r>
    </w:p>
    <w:p>
      <w:pPr>
        <w:pStyle w:val="Heading3"/>
        <w:spacing w:before="200" w:after="120"/>
      </w:pPr>
      <w:r>
        <w:rPr>
          <w:rFonts w:ascii="Arial" w:cs="Arial" w:eastAsia="Arial" w:hAnsi="Arial"/>
          <w:b/>
          <w:color w:val="333333"/>
          <w:sz w:val="22"/>
          <w:szCs w:val="22"/>
        </w:rPr>
        <w:t xml:space="preserve">Workflow State Machine</w:t>
      </w:r>
    </w:p>
    <w:tbl>
      <w:tblPr>
        <w:tblW w:w="100" w:type="pct"/>
      </w:tblPr>
      <w:tblGrid>
        <w:gridCol w:w="2400"/>
        <w:gridCol w:w="3200"/>
        <w:gridCol w:w="3426"/>
      </w:tblGrid>
      <w:tr>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State</w:t>
            </w:r>
          </w:p>
        </w:tc>
        <w:tc>
          <w:tcPr>
            <w:tcW w:w="3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Description</w:t>
            </w:r>
          </w:p>
        </w:tc>
        <w:tc>
          <w:tcPr>
            <w:tcW w:w="3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Transitions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APPLICATION</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has applied. Initial information collected.</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REVIEW (auto, after 24h) or → REJECTED</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REVIEW</w:t>
            </w:r>
          </w:p>
        </w:tc>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reviews application for completeness and eligibility.</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APPROVED → SCHEDULED, or → REJECTED (with reason)</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SCHEDULED</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dates confirmed with organisation. Auditor assigned.</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PRE_AUDIT (organisation uploads evidence)</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PRE_AUDIT</w:t>
            </w:r>
          </w:p>
        </w:tc>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uploads evidence documents. Auditor reviews pre-audit.</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IN_PROGRESS (on audit start date)</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IN_PROGRESS</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is actively underway (on-site or remote assessment).</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FINDINGS (audit complete, findings documented)</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FINDINGS</w:t>
            </w:r>
          </w:p>
        </w:tc>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findings issued. Organisation must respond with corrective actions.</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CORRECTIVE_ACTION (org responds) or → CERTIFIED (if no major findings)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CORRECTIVE_ACTION</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implements corrective actions. Evidence submitted.</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VERIFIED (auditor confirms resolution) or → REJECTED (unresolved)</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VERIFIED</w:t>
            </w:r>
          </w:p>
        </w:tc>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findings resolved. Certification decision pending.</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CERTIFIED</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CERTIFIED</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is certified. Certificate issued. Expiry date set (12 months).</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RENEWAL_DUE (90 days before expiry) or → SUSPENDED</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RENEWAL_DUE</w:t>
            </w:r>
          </w:p>
        </w:tc>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Renewal process initiated. Organisation contacted.</w:t>
            </w:r>
          </w:p>
        </w:tc>
        <w:tc>
          <w:tcPr>
            <w:tcW w:w="3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RENEWED (payment + surveillance audit) or → LAPSED</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SUSPENDED</w:t>
            </w:r>
          </w:p>
        </w:tc>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suspended due to reported incident or non-compliance.</w:t>
            </w:r>
          </w:p>
        </w:tc>
        <w:tc>
          <w:tcPr>
            <w:tcW w:w="3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 REINSTATED (after investigation) or → REVOKED</w:t>
            </w:r>
          </w:p>
        </w:tc>
      </w:tr>
    </w:tbl>
    <w:p>
      <w:pPr>
        <w:pStyle w:val="Heading3"/>
        <w:spacing w:before="200" w:after="120"/>
      </w:pPr>
      <w:r>
        <w:rPr>
          <w:rFonts w:ascii="Arial" w:cs="Arial" w:eastAsia="Arial" w:hAnsi="Arial"/>
          <w:b/>
          <w:color w:val="333333"/>
          <w:sz w:val="22"/>
          <w:szCs w:val="22"/>
        </w:rPr>
        <w:t xml:space="preserve">Notification Triggers</w:t>
      </w:r>
    </w:p>
    <w:p>
      <w:pPr>
        <w:numPr>
          <w:ilvl w:val="0"/>
          <w:numId w:val="2"/>
        </w:numPr>
        <w:spacing w:after="80" w:line="260"/>
      </w:pPr>
      <w:r>
        <w:rPr>
          <w:rFonts w:ascii="Arial" w:cs="Arial" w:eastAsia="Arial" w:hAnsi="Arial"/>
          <w:color w:val="333333"/>
          <w:sz w:val="21"/>
          <w:szCs w:val="21"/>
        </w:rPr>
        <w:t xml:space="preserve">Application submitted → confirmation email to applicant + internal notification to AIC team.</w:t>
      </w:r>
    </w:p>
    <w:p>
      <w:pPr>
        <w:numPr>
          <w:ilvl w:val="0"/>
          <w:numId w:val="2"/>
        </w:numPr>
        <w:spacing w:after="80" w:line="260"/>
      </w:pPr>
      <w:r>
        <w:rPr>
          <w:rFonts w:ascii="Arial" w:cs="Arial" w:eastAsia="Arial" w:hAnsi="Arial"/>
          <w:color w:val="333333"/>
          <w:sz w:val="21"/>
          <w:szCs w:val="21"/>
        </w:rPr>
        <w:t xml:space="preserve">Application approved → email with audit timeline and evidence upload instructions.</w:t>
      </w:r>
    </w:p>
    <w:p>
      <w:pPr>
        <w:numPr>
          <w:ilvl w:val="0"/>
          <w:numId w:val="2"/>
        </w:numPr>
        <w:spacing w:after="80" w:line="260"/>
      </w:pPr>
      <w:r>
        <w:rPr>
          <w:rFonts w:ascii="Arial" w:cs="Arial" w:eastAsia="Arial" w:hAnsi="Arial"/>
          <w:color w:val="333333"/>
          <w:sz w:val="21"/>
          <w:szCs w:val="21"/>
        </w:rPr>
        <w:t xml:space="preserve">Audit scheduled → calendar invitation + pre-audit checklist.</w:t>
      </w:r>
    </w:p>
    <w:p>
      <w:pPr>
        <w:numPr>
          <w:ilvl w:val="0"/>
          <w:numId w:val="2"/>
        </w:numPr>
        <w:spacing w:after="80" w:line="260"/>
      </w:pPr>
      <w:r>
        <w:rPr>
          <w:rFonts w:ascii="Arial" w:cs="Arial" w:eastAsia="Arial" w:hAnsi="Arial"/>
          <w:color w:val="333333"/>
          <w:sz w:val="21"/>
          <w:szCs w:val="21"/>
        </w:rPr>
        <w:t xml:space="preserve">Findings issued → email with finding details and corrective action deadline.</w:t>
      </w:r>
    </w:p>
    <w:p>
      <w:pPr>
        <w:numPr>
          <w:ilvl w:val="0"/>
          <w:numId w:val="2"/>
        </w:numPr>
        <w:spacing w:after="80" w:line="260"/>
      </w:pPr>
      <w:r>
        <w:rPr>
          <w:rFonts w:ascii="Arial" w:cs="Arial" w:eastAsia="Arial" w:hAnsi="Arial"/>
          <w:color w:val="333333"/>
          <w:sz w:val="21"/>
          <w:szCs w:val="21"/>
        </w:rPr>
        <w:t xml:space="preserve">Certification granted → congratulations email with certificate attachment + marketing asset kit.</w:t>
      </w:r>
    </w:p>
    <w:p>
      <w:pPr>
        <w:numPr>
          <w:ilvl w:val="0"/>
          <w:numId w:val="2"/>
        </w:numPr>
        <w:spacing w:after="80" w:line="260"/>
      </w:pPr>
      <w:r>
        <w:rPr>
          <w:rFonts w:ascii="Arial" w:cs="Arial" w:eastAsia="Arial" w:hAnsi="Arial"/>
          <w:color w:val="333333"/>
          <w:sz w:val="21"/>
          <w:szCs w:val="21"/>
        </w:rPr>
        <w:t xml:space="preserve">Renewal 90 days out → reminder email with renewal pricing and scheduling link.</w:t>
      </w:r>
    </w:p>
    <w:p>
      <w:pPr>
        <w:numPr>
          <w:ilvl w:val="0"/>
          <w:numId w:val="2"/>
        </w:numPr>
        <w:spacing w:after="80" w:line="260"/>
      </w:pPr>
      <w:r>
        <w:rPr>
          <w:rFonts w:ascii="Arial" w:cs="Arial" w:eastAsia="Arial" w:hAnsi="Arial"/>
          <w:color w:val="333333"/>
          <w:sz w:val="21"/>
          <w:szCs w:val="21"/>
        </w:rPr>
        <w:t xml:space="preserve">Certification suspended → immediate notification to organisation admin + AIC legal team.</w:t>
      </w:r>
    </w:p>
    <w:p>
      <w:pPr>
        <w:pStyle w:val="Heading2"/>
        <w:spacing w:before="280" w:after="160"/>
      </w:pPr>
      <w:r>
        <w:rPr>
          <w:rFonts w:ascii="Arial" w:cs="Arial" w:eastAsia="Arial" w:hAnsi="Arial"/>
          <w:b/>
          <w:color w:val="1A1A1A"/>
          <w:sz w:val="26"/>
          <w:szCs w:val="26"/>
        </w:rPr>
        <w:t xml:space="preserve">19.9 AIC Pulse Monitoring Service</w:t>
      </w:r>
    </w:p>
    <w:p>
      <w:pPr>
        <w:spacing w:after="120" w:line="276"/>
      </w:pPr>
      <w:r>
        <w:rPr>
          <w:rFonts w:ascii="Arial" w:cs="Arial" w:eastAsia="Arial" w:hAnsi="Arial"/>
          <w:color w:val="333333"/>
          <w:sz w:val="22"/>
          <w:szCs w:val="22"/>
        </w:rPr>
        <w:t xml:space="preserve">Pulse is the continuous governance monitoring platform. It transforms one-time certification into ongoing accountability. Certified organisations integrate their AI systems with Pulse via API, and AIC monitors for bias drift, performance degradation, and governance gaps between annual audits.</w:t>
      </w:r>
    </w:p>
    <w:p>
      <w:pPr>
        <w:pStyle w:val="Heading3"/>
        <w:spacing w:before="200" w:after="120"/>
      </w:pPr>
      <w:r>
        <w:rPr>
          <w:rFonts w:ascii="Arial" w:cs="Arial" w:eastAsia="Arial" w:hAnsi="Arial"/>
          <w:b/>
          <w:color w:val="333333"/>
          <w:sz w:val="22"/>
          <w:szCs w:val="22"/>
        </w:rPr>
        <w:t xml:space="preserve">Data Ingestion</w:t>
      </w:r>
    </w:p>
    <w:tbl>
      <w:tblPr>
        <w:tblW w:w="100" w:type="pct"/>
      </w:tblPr>
      <w:tblGrid>
        <w:gridCol w:w="2600"/>
        <w:gridCol w:w="3413"/>
        <w:gridCol w:w="3013"/>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Data Type</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It Contains</w:t>
            </w:r>
          </w:p>
        </w:tc>
        <w:tc>
          <w:tcPr>
            <w:tcW w:w="30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Frequency</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Decision Distribution</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Aggregate counts of decisions by outcome (approved/denied) per demographic segment</w:t>
            </w:r>
          </w:p>
        </w:tc>
        <w:tc>
          <w:tcPr>
            <w:tcW w:w="30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Daily batch or real-time stream</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Model Performance Metrics</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Accuracy, precision, recall, F1 score across protected classes</w:t>
            </w:r>
          </w:p>
        </w:tc>
        <w:tc>
          <w:tcPr>
            <w:tcW w:w="30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Daily batch</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Human Override Rate</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Percentage of AI decisions that were overridden by a human</w:t>
            </w:r>
          </w:p>
        </w:tc>
        <w:tc>
          <w:tcPr>
            <w:tcW w:w="30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Daily batch</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Explanation Request Log</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Number and type of explanation requests from affected individuals</w:t>
            </w:r>
          </w:p>
        </w:tc>
        <w:tc>
          <w:tcPr>
            <w:tcW w:w="30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Real-time event</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System Availability</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Uptime and error rates for AI decision endpoints</w:t>
            </w:r>
          </w:p>
        </w:tc>
        <w:tc>
          <w:tcPr>
            <w:tcW w:w="30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Real-time (heartbeat every 60s)</w:t>
            </w:r>
          </w:p>
        </w:tc>
      </w:tr>
    </w:tbl>
    <w:p>
      <w:pPr>
        <w:pStyle w:val="Heading3"/>
        <w:spacing w:before="200" w:after="120"/>
      </w:pPr>
      <w:r>
        <w:rPr>
          <w:rFonts w:ascii="Arial" w:cs="Arial" w:eastAsia="Arial" w:hAnsi="Arial"/>
          <w:b/>
          <w:color w:val="333333"/>
          <w:sz w:val="22"/>
          <w:szCs w:val="22"/>
        </w:rPr>
        <w:t xml:space="preserve">Bias Drift Detection</w:t>
      </w:r>
    </w:p>
    <w:p>
      <w:pPr>
        <w:spacing w:after="120" w:line="276"/>
      </w:pPr>
      <w:r>
        <w:rPr>
          <w:rFonts w:ascii="Arial" w:cs="Arial" w:eastAsia="Arial" w:hAnsi="Arial"/>
          <w:color w:val="333333"/>
          <w:sz w:val="22"/>
          <w:szCs w:val="22"/>
        </w:rPr>
        <w:t xml:space="preserve">The core algorithm compares current decision distributions against the baseline established during certification. Statistical significance testing (chi-squared) determines whether observed differences exceed acceptable thresholds.</w:t>
      </w:r>
    </w:p>
    <w:tbl>
      <w:tblPr>
        <w:tblW w:w="100" w:type="pct"/>
      </w:tblPr>
      <w:tblGrid>
        <w:gridCol w:w="1800"/>
        <w:gridCol w:w="3413"/>
        <w:gridCol w:w="3815"/>
      </w:tblGrid>
      <w:tr>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Alert Level</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Condition</w:t>
            </w:r>
          </w:p>
        </w:tc>
        <w:tc>
          <w:tcPr>
            <w:tcW w:w="3815"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Action</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GREEN</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metrics within 2 standard deviations of baseline</w:t>
            </w:r>
          </w:p>
        </w:tc>
        <w:tc>
          <w:tcPr>
            <w:tcW w:w="3815"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 action. Monthly report shows stable governance.</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AMBER</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 metric drifts 2–3 standard deviations</w:t>
            </w:r>
          </w:p>
        </w:tc>
        <w:tc>
          <w:tcPr>
            <w:tcW w:w="3815"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Automated alert to organisation. Recommendation to investigate. Logged in Pulse dashboard.</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RED</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 metric drifts &gt; 3 standard deviations OR human override rate drops below threshold</w:t>
            </w:r>
          </w:p>
        </w:tc>
        <w:tc>
          <w:tcPr>
            <w:tcW w:w="3815"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Urgent alert to organisation AND AIC. Potential certification review triggered. Organisation must respond within 5 business days.</w:t>
            </w:r>
          </w:p>
        </w:tc>
      </w:tr>
    </w:tbl>
    <w:p>
      <w:pPr>
        <w:pStyle w:val="Heading2"/>
        <w:spacing w:before="280" w:after="160"/>
      </w:pPr>
      <w:r>
        <w:rPr>
          <w:rFonts w:ascii="Arial" w:cs="Arial" w:eastAsia="Arial" w:hAnsi="Arial"/>
          <w:b/>
          <w:color w:val="1A1A1A"/>
          <w:sz w:val="26"/>
          <w:szCs w:val="26"/>
        </w:rPr>
        <w:t xml:space="preserve">19.10 Insurance Integration Service</w:t>
      </w:r>
    </w:p>
    <w:p>
      <w:pPr>
        <w:spacing w:after="120" w:line="276"/>
      </w:pPr>
      <w:r>
        <w:rPr>
          <w:rFonts w:ascii="Arial" w:cs="Arial" w:eastAsia="Arial" w:hAnsi="Arial"/>
          <w:color w:val="333333"/>
          <w:sz w:val="22"/>
          <w:szCs w:val="22"/>
        </w:rPr>
        <w:t xml:space="preserve">Insurance integration is the financial incentive layer. When an organisation achieves AIC certification, their liability insurer is notified, and premium adjustments are applied. This service manages the API layer between AIC and insurance partners.</w:t>
      </w:r>
    </w:p>
    <w:tbl>
      <w:tblPr>
        <w:tblW w:w="100" w:type="pct"/>
      </w:tblPr>
      <w:tblGrid>
        <w:gridCol w:w="3200"/>
        <w:gridCol w:w="3413"/>
        <w:gridCol w:w="2413"/>
      </w:tblGrid>
      <w:tr>
        <w:tc>
          <w:tcPr>
            <w:tcW w:w="3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API Endpoint</w:t>
            </w:r>
          </w:p>
        </w:tc>
        <w:tc>
          <w:tcPr>
            <w:tcW w:w="3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Purpose</w:t>
            </w:r>
          </w:p>
        </w:tc>
        <w:tc>
          <w:tcPr>
            <w:tcW w:w="24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Who Calls It</w:t>
            </w:r>
          </w:p>
        </w:tc>
      </w:tr>
      <w:tr>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GET /v1/insurance/verify/:orgId</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Returns current certification status, tier, Integrity Score, expiry date</w:t>
            </w:r>
          </w:p>
        </w:tc>
        <w:tc>
          <w:tcPr>
            <w:tcW w:w="2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partner systems (during underwriting)</w:t>
            </w:r>
          </w:p>
        </w:tc>
      </w:tr>
      <w:tr>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 /v1/insurance/partners/:partnerId/webhook</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Receives webhook events from insurance partners (policy created, claim filed)</w:t>
            </w:r>
          </w:p>
        </w:tc>
        <w:tc>
          <w:tcPr>
            <w:tcW w:w="2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partner systems</w:t>
            </w:r>
          </w:p>
        </w:tc>
      </w:tr>
      <w:tr>
        <w:tc>
          <w:tcPr>
            <w:tcW w:w="3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GET /v1/insurance/discount/:orgId</w:t>
            </w:r>
          </w:p>
        </w:tc>
        <w:tc>
          <w:tcPr>
            <w:tcW w:w="3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Calculates eligible discount based on certification tier and Integrity Score</w:t>
            </w:r>
          </w:p>
        </w:tc>
        <w:tc>
          <w:tcPr>
            <w:tcW w:w="24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internal (for client portal display)</w:t>
            </w:r>
          </w:p>
        </w:tc>
      </w:tr>
      <w:tr>
        <w:tc>
          <w:tcPr>
            <w:tcW w:w="3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 /v1/insurance/notify</w:t>
            </w:r>
          </w:p>
        </w:tc>
        <w:tc>
          <w:tcPr>
            <w:tcW w:w="3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Notifies registered insurance partners when a certification status changes</w:t>
            </w:r>
          </w:p>
        </w:tc>
        <w:tc>
          <w:tcPr>
            <w:tcW w:w="24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AIC internal (triggered by certification workflow)</w:t>
            </w:r>
          </w:p>
        </w:tc>
      </w:tr>
    </w:tbl>
    <w:p>
      <w:pPr>
        <w:pStyle w:val="Heading3"/>
        <w:spacing w:before="200" w:after="120"/>
      </w:pPr>
      <w:r>
        <w:rPr>
          <w:rFonts w:ascii="Arial" w:cs="Arial" w:eastAsia="Arial" w:hAnsi="Arial"/>
          <w:b/>
          <w:color w:val="333333"/>
          <w:sz w:val="22"/>
          <w:szCs w:val="22"/>
        </w:rPr>
        <w:t xml:space="preserve">Discount Calculation Rules</w:t>
      </w:r>
    </w:p>
    <w:tbl>
      <w:tblPr>
        <w:tblW w:w="100" w:type="pct"/>
      </w:tblPr>
      <w:tblGrid>
        <w:gridCol w:w="2800"/>
        <w:gridCol w:w="2613"/>
        <w:gridCol w:w="3613"/>
      </w:tblGrid>
      <w:tr>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Certification Status</w:t>
            </w:r>
          </w:p>
        </w:tc>
        <w:tc>
          <w:tcPr>
            <w:tcW w:w="26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Integrity Score Range</w:t>
            </w:r>
          </w:p>
        </w:tc>
        <w:tc>
          <w:tcPr>
            <w:tcW w:w="36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Discount Band</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Certified (any tier)</w:t>
            </w:r>
          </w:p>
        </w:tc>
        <w:tc>
          <w:tcPr>
            <w:tcW w:w="2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90–100</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15–20% premium reduction</w:t>
            </w:r>
          </w:p>
        </w:tc>
      </w:tr>
      <w:tr>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Certified (any tier)</w:t>
            </w:r>
          </w:p>
        </w:tc>
        <w:tc>
          <w:tcPr>
            <w:tcW w:w="2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75–89</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10–15% premium reduction</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Certified (any tier)</w:t>
            </w:r>
          </w:p>
        </w:tc>
        <w:tc>
          <w:tcPr>
            <w:tcW w:w="2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60–74</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5–10% premium reduction</w:t>
            </w:r>
          </w:p>
        </w:tc>
      </w:tr>
      <w:tr>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Certified + Pulse Active</w:t>
            </w:r>
          </w:p>
        </w:tc>
        <w:tc>
          <w:tcPr>
            <w:tcW w:w="2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Additional 3–5% for continuous monitoring</w:t>
            </w:r>
          </w:p>
        </w:tc>
      </w:tr>
      <w:tr>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 Certified</w:t>
            </w:r>
          </w:p>
        </w:tc>
        <w:tc>
          <w:tcPr>
            <w:tcW w:w="2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N/A</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 discount. Standard premium.</w:t>
            </w:r>
          </w:p>
        </w:tc>
      </w:tr>
    </w:tbl>
    <w:p>
      <w:pPr>
        <w:pStyle w:val="Heading2"/>
        <w:spacing w:before="280" w:after="160"/>
      </w:pPr>
      <w:r>
        <w:rPr>
          <w:rFonts w:ascii="Arial" w:cs="Arial" w:eastAsia="Arial" w:hAnsi="Arial"/>
          <w:b/>
          <w:color w:val="1A1A1A"/>
          <w:sz w:val="26"/>
          <w:szCs w:val="26"/>
        </w:rPr>
        <w:t xml:space="preserve">19.11 File Storage &amp; Document Management</w:t>
      </w:r>
    </w:p>
    <w:tbl>
      <w:tblPr>
        <w:tblW w:w="100" w:type="pct"/>
      </w:tblPr>
      <w:tblGrid>
        <w:gridCol w:w="2400"/>
        <w:gridCol w:w="1800"/>
        <w:gridCol w:w="1800"/>
        <w:gridCol w:w="3026"/>
      </w:tblGrid>
      <w:tr>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Document Type</w:t>
            </w:r>
          </w:p>
        </w:tc>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Storage Tier</w:t>
            </w:r>
          </w:p>
        </w:tc>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Retention</w:t>
            </w:r>
          </w:p>
        </w:tc>
        <w:tc>
          <w:tcPr>
            <w:tcW w:w="30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Access Pattern</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Evidence (active)</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Standard</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 years (POPIA + legal)</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Frequent read during audit. Signed URL access.</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Certificates</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Standard</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Permanent</w:t>
            </w:r>
          </w:p>
        </w:tc>
        <w:tc>
          <w:tcPr>
            <w:tcW w:w="3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On-demand download. Public URL (certificate verification).</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PDF Assessment Reports</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Standard-IA</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years</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Downloaded once at generation. Accessed again if user requests.</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Artifacts (historical)</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Glacier</w:t>
            </w:r>
          </w:p>
        </w:tc>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7 years</w:t>
            </w:r>
          </w:p>
        </w:tc>
        <w:tc>
          <w:tcPr>
            <w:tcW w:w="30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Rare access. Restored on demand if needed for legal proceedings.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Pulse Monitoring Data</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Standard</w:t>
            </w:r>
          </w:p>
        </w:tc>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 years (rolling)</w:t>
            </w:r>
          </w:p>
        </w:tc>
        <w:tc>
          <w:tcPr>
            <w:tcW w:w="30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Queried for trend analysis. Older data archived to Glacier.</w:t>
            </w:r>
          </w:p>
        </w:tc>
      </w:tr>
    </w:tbl>
    <w:p>
      <w:pPr>
        <w:numPr>
          <w:ilvl w:val="0"/>
          <w:numId w:val="2"/>
        </w:numPr>
        <w:spacing w:after="80" w:line="260"/>
      </w:pPr>
      <w:r>
        <w:rPr>
          <w:rFonts w:ascii="Arial" w:cs="Arial" w:eastAsia="Arial" w:hAnsi="Arial"/>
          <w:color w:val="333333"/>
          <w:sz w:val="21"/>
          <w:szCs w:val="21"/>
        </w:rPr>
        <w:t xml:space="preserve">All files uploaded by users are virus-scanned before storage (ClamAV or equivalent). Infected files are quarantined and the user is notified.</w:t>
      </w:r>
    </w:p>
    <w:p>
      <w:pPr>
        <w:numPr>
          <w:ilvl w:val="0"/>
          <w:numId w:val="2"/>
        </w:numPr>
        <w:spacing w:after="80" w:line="260"/>
      </w:pPr>
      <w:r>
        <w:rPr>
          <w:rFonts w:ascii="Arial" w:cs="Arial" w:eastAsia="Arial" w:hAnsi="Arial"/>
          <w:color w:val="333333"/>
          <w:sz w:val="21"/>
          <w:szCs w:val="21"/>
        </w:rPr>
        <w:t xml:space="preserve">File access is controlled via pre-signed URLs with short expiry (15 minutes). No direct public access to the S3 bucket.</w:t>
      </w:r>
    </w:p>
    <w:p>
      <w:pPr>
        <w:numPr>
          <w:ilvl w:val="0"/>
          <w:numId w:val="2"/>
        </w:numPr>
        <w:spacing w:after="80" w:line="260"/>
      </w:pPr>
      <w:r>
        <w:rPr>
          <w:rFonts w:ascii="Arial" w:cs="Arial" w:eastAsia="Arial" w:hAnsi="Arial"/>
          <w:color w:val="333333"/>
          <w:sz w:val="21"/>
          <w:szCs w:val="21"/>
        </w:rPr>
        <w:t xml:space="preserve">POPIA Right to Erasure: when a user requests data deletion, all their associated files are flagged for deletion. Legal hold exceptions are documented.</w:t>
      </w:r>
    </w:p>
    <w:p>
      <w:pPr>
        <w:pStyle w:val="Heading2"/>
        <w:spacing w:before="280" w:after="160"/>
      </w:pPr>
      <w:r>
        <w:rPr>
          <w:rFonts w:ascii="Arial" w:cs="Arial" w:eastAsia="Arial" w:hAnsi="Arial"/>
          <w:b/>
          <w:color w:val="1A1A1A"/>
          <w:sz w:val="26"/>
          <w:szCs w:val="26"/>
        </w:rPr>
        <w:t xml:space="preserve">19.12 Notification Service</w:t>
      </w:r>
    </w:p>
    <w:tbl>
      <w:tblPr>
        <w:tblW w:w="100" w:type="pct"/>
      </w:tblPr>
      <w:tblGrid>
        <w:gridCol w:w="2200"/>
        <w:gridCol w:w="2400"/>
        <w:gridCol w:w="44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Channel</w:t>
            </w:r>
          </w:p>
        </w:tc>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Technology</w:t>
            </w:r>
          </w:p>
        </w:tc>
        <w:tc>
          <w:tcPr>
            <w:tcW w:w="4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Use Cases</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Transactional Email</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Form confirmation, assessment report ready, certification status updates, audit findings, renewal reminders.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Marketing Email</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SendGrid (or Mailchimp)</w:t>
            </w:r>
          </w:p>
        </w:tc>
        <w:tc>
          <w:tcPr>
            <w:tcW w:w="4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 digests, industry news, Alpha Program updates. Requires explicit opt-in (POPIA).</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In-App Notifications</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WebSocket (Phase 3) or polling (Phase 2)</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Real-time alerts in client portal: new finding, evidence review status, Pulse alerts.</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Webhook</w:t>
            </w:r>
          </w:p>
        </w:tc>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HTTP POST to partner URLs</w:t>
            </w:r>
          </w:p>
        </w:tc>
        <w:tc>
          <w:tcPr>
            <w:tcW w:w="4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Insurance partner notifications on certification events. Configurable per partner.</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SMS (Phase 3+)</w:t>
            </w:r>
          </w:p>
        </w:tc>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Twilio or equivalent</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Critical alerts only: certification suspension, security breach notification.</w:t>
            </w:r>
          </w:p>
        </w:tc>
      </w:tr>
    </w:tbl>
    <w:p>
      <w:pPr>
        <w:pStyle w:val="Heading3"/>
        <w:spacing w:before="200" w:after="120"/>
      </w:pPr>
      <w:r>
        <w:rPr>
          <w:rFonts w:ascii="Arial" w:cs="Arial" w:eastAsia="Arial" w:hAnsi="Arial"/>
          <w:b/>
          <w:color w:val="333333"/>
          <w:sz w:val="22"/>
          <w:szCs w:val="22"/>
        </w:rPr>
        <w:t xml:space="preserve">Notification Reliability</w:t>
      </w:r>
    </w:p>
    <w:p>
      <w:pPr>
        <w:numPr>
          <w:ilvl w:val="0"/>
          <w:numId w:val="2"/>
        </w:numPr>
        <w:spacing w:after="80" w:line="260"/>
      </w:pPr>
      <w:r>
        <w:rPr>
          <w:rFonts w:ascii="Arial" w:cs="Arial" w:eastAsia="Arial" w:hAnsi="Arial"/>
          <w:color w:val="333333"/>
          <w:sz w:val="21"/>
          <w:szCs w:val="21"/>
        </w:rPr>
        <w:t xml:space="preserve">All notifications are queued via BullMQ before sending. If the send fails, the job retries with exponential backoff (1s, 5s, 30s, 5min).</w:t>
      </w:r>
    </w:p>
    <w:p>
      <w:pPr>
        <w:numPr>
          <w:ilvl w:val="0"/>
          <w:numId w:val="2"/>
        </w:numPr>
        <w:spacing w:after="80" w:line="260"/>
      </w:pPr>
      <w:r>
        <w:rPr>
          <w:rFonts w:ascii="Arial" w:cs="Arial" w:eastAsia="Arial" w:hAnsi="Arial"/>
          <w:color w:val="333333"/>
          <w:sz w:val="21"/>
          <w:szCs w:val="21"/>
        </w:rPr>
        <w:t xml:space="preserve">After 3 failed retries, the job moves to a dead letter queue. An alert fires to the AIC operations team.</w:t>
      </w:r>
    </w:p>
    <w:p>
      <w:pPr>
        <w:numPr>
          <w:ilvl w:val="0"/>
          <w:numId w:val="2"/>
        </w:numPr>
        <w:spacing w:after="80" w:line="260"/>
      </w:pPr>
      <w:r>
        <w:rPr>
          <w:rFonts w:ascii="Arial" w:cs="Arial" w:eastAsia="Arial" w:hAnsi="Arial"/>
          <w:color w:val="333333"/>
          <w:sz w:val="21"/>
          <w:szCs w:val="21"/>
        </w:rPr>
        <w:t xml:space="preserve">Every notification record is stored in the notifications table with status (queued, sent, failed, bounced). Enables full delivery audit trail.</w:t>
      </w:r>
    </w:p>
    <w:p>
      <w:pPr>
        <w:pStyle w:val="Heading2"/>
        <w:spacing w:before="280" w:after="160"/>
      </w:pPr>
      <w:r>
        <w:rPr>
          <w:rFonts w:ascii="Arial" w:cs="Arial" w:eastAsia="Arial" w:hAnsi="Arial"/>
          <w:b/>
          <w:color w:val="1A1A1A"/>
          <w:sz w:val="26"/>
          <w:szCs w:val="26"/>
        </w:rPr>
        <w:t xml:space="preserve">19.13 Background Job Queue</w:t>
      </w:r>
    </w:p>
    <w:p>
      <w:pPr>
        <w:spacing w:after="120" w:line="276"/>
      </w:pPr>
      <w:r>
        <w:rPr>
          <w:rFonts w:ascii="Arial" w:cs="Arial" w:eastAsia="Arial" w:hAnsi="Arial"/>
          <w:color w:val="333333"/>
          <w:sz w:val="22"/>
          <w:szCs w:val="22"/>
        </w:rPr>
        <w:t xml:space="preserve">BullMQ (Redis-backed) processes all asynchronous work. Jobs are defined with priority levels, retry policies, and timeout limits. The queue is monitored via a dashboard (Bull Monitor or equivalent).</w:t>
      </w:r>
    </w:p>
    <w:tbl>
      <w:tblPr>
        <w:tblW w:w="100" w:type="pct"/>
      </w:tblPr>
      <w:tblGrid>
        <w:gridCol w:w="2600"/>
        <w:gridCol w:w="1000"/>
        <w:gridCol w:w="1000"/>
        <w:gridCol w:w="2200"/>
        <w:gridCol w:w="2226"/>
      </w:tblGrid>
      <w:tr>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Job Type</w:t>
            </w:r>
          </w:p>
        </w:tc>
        <w:tc>
          <w:tcPr>
            <w:tcW w:w="1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Priority</w:t>
            </w:r>
          </w:p>
        </w:tc>
        <w:tc>
          <w:tcPr>
            <w:tcW w:w="10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Timeout</w:t>
            </w:r>
          </w:p>
        </w:tc>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Retry Policy</w:t>
            </w:r>
          </w:p>
        </w:tc>
        <w:tc>
          <w:tcPr>
            <w:tcW w:w="22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Triggered By</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Send Email</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30s</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retries, exponential backoff</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Any notification event</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Generate PDF Report</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60s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 retries</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Assessment completion</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Enrich Lead</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15s</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2 retries</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New lead created</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Score Lead</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Medium</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5s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retry</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Lead enrichment complete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Run Bias Drift Analysis</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300s</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retry</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Daily scheduled job (midnight)</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Notify Insurance Partner</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High</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15s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3 retries</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Certification status change</w:t>
            </w:r>
          </w:p>
        </w:tc>
      </w:tr>
      <w:tr>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Archive Old Pulse Data</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w:t>
            </w:r>
          </w:p>
        </w:tc>
        <w:tc>
          <w:tcPr>
            <w:tcW w:w="10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600s</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retry</w:t>
            </w:r>
          </w:p>
        </w:tc>
        <w:tc>
          <w:tcPr>
            <w:tcW w:w="2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Weekly scheduled job</w:t>
            </w:r>
          </w:p>
        </w:tc>
      </w:tr>
      <w:tr>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Generate Monthly Governance Report</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Low</w:t>
            </w:r>
          </w:p>
        </w:tc>
        <w:tc>
          <w:tcPr>
            <w:tcW w:w="10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120s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1 retry</w:t>
            </w:r>
          </w:p>
        </w:tc>
        <w:tc>
          <w:tcPr>
            <w:tcW w:w="2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Monthly scheduled job</w:t>
            </w:r>
          </w:p>
        </w:tc>
      </w:tr>
    </w:tbl>
    <w:p>
      <w:pPr>
        <w:pStyle w:val="Heading2"/>
        <w:spacing w:before="280" w:after="160"/>
      </w:pPr>
      <w:r>
        <w:rPr>
          <w:rFonts w:ascii="Arial" w:cs="Arial" w:eastAsia="Arial" w:hAnsi="Arial"/>
          <w:b/>
          <w:color w:val="1A1A1A"/>
          <w:sz w:val="26"/>
          <w:szCs w:val="26"/>
        </w:rPr>
        <w:t xml:space="preserve">19.14 Search Service</w:t>
      </w:r>
    </w:p>
    <w:tbl>
      <w:tblPr>
        <w:tblW w:w="100" w:type="pct"/>
      </w:tblPr>
      <w:tblGrid>
        <w:gridCol w:w="2400"/>
        <w:gridCol w:w="2800"/>
        <w:gridCol w:w="2200"/>
        <w:gridCol w:w="1626"/>
      </w:tblGrid>
      <w:tr>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Search Context</w:t>
            </w:r>
          </w:p>
        </w:tc>
        <w:tc>
          <w:tcPr>
            <w:tcW w:w="2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Indexed Content</w:t>
            </w:r>
          </w:p>
        </w:tc>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Technology</w:t>
            </w:r>
          </w:p>
        </w:tc>
        <w:tc>
          <w:tcPr>
            <w:tcW w:w="16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Phase</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Blog / Resources</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 title, body, tags, author</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Elasticsearch or Algolia</w:t>
            </w:r>
          </w:p>
        </w:tc>
        <w:tc>
          <w:tcPr>
            <w:tcW w:w="1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Directory</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Organisation name, industry, certification status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PostgreSQL full-text (initially)</w:t>
            </w:r>
          </w:p>
        </w:tc>
        <w:tc>
          <w:tcPr>
            <w:tcW w:w="1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Evidence Documents</w:t>
            </w:r>
          </w:p>
        </w:tc>
        <w:tc>
          <w:tcPr>
            <w:tcW w:w="2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Document title, description, type</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Elasticsearch</w:t>
            </w:r>
          </w:p>
        </w:tc>
        <w:tc>
          <w:tcPr>
            <w:tcW w:w="16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FAQ</w:t>
            </w:r>
          </w:p>
        </w:tc>
        <w:tc>
          <w:tcPr>
            <w:tcW w:w="2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Question, answer, tags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Algolia (simple, fast)</w:t>
            </w:r>
          </w:p>
        </w:tc>
        <w:tc>
          <w:tcPr>
            <w:tcW w:w="16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1 (if FAQ page added)</w:t>
            </w:r>
          </w:p>
        </w:tc>
      </w:tr>
    </w:tbl>
    <w:p>
      <w:pPr>
        <w:pStyle w:val="Heading2"/>
        <w:spacing w:before="280" w:after="160"/>
      </w:pPr>
      <w:r>
        <w:rPr>
          <w:rFonts w:ascii="Arial" w:cs="Arial" w:eastAsia="Arial" w:hAnsi="Arial"/>
          <w:b/>
          <w:color w:val="1A1A1A"/>
          <w:sz w:val="26"/>
          <w:szCs w:val="26"/>
        </w:rPr>
        <w:t xml:space="preserve">19.15 Multi-Tenancy &amp; Data Isolation</w:t>
      </w:r>
    </w:p>
    <w:p>
      <w:pPr>
        <w:spacing w:after="120" w:line="276"/>
      </w:pPr>
      <w:r>
        <w:rPr>
          <w:rFonts w:ascii="Arial" w:cs="Arial" w:eastAsia="Arial" w:hAnsi="Arial"/>
          <w:color w:val="333333"/>
          <w:sz w:val="22"/>
          <w:szCs w:val="22"/>
        </w:rPr>
        <w:t xml:space="preserve">AIC serves multiple organisations simultaneously. Data isolation is critical: Organisation A must never see Organisation B's certification data, evidence, or Pulse metrics. This is enforced at multiple layers.</w:t>
      </w:r>
    </w:p>
    <w:tbl>
      <w:tblPr>
        <w:tblW w:w="100" w:type="pct"/>
      </w:tblPr>
      <w:tblGrid>
        <w:gridCol w:w="1800"/>
        <w:gridCol w:w="3613"/>
        <w:gridCol w:w="3613"/>
      </w:tblGrid>
      <w:tr>
        <w:tc>
          <w:tcPr>
            <w:tcW w:w="18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Layer</w:t>
            </w:r>
          </w:p>
        </w:tc>
        <w:tc>
          <w:tcPr>
            <w:tcW w:w="36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Mechanism</w:t>
            </w:r>
          </w:p>
        </w:tc>
        <w:tc>
          <w:tcPr>
            <w:tcW w:w="3613"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It Prevents</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Layer</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Every authenticated request extracts organisation_id from JWT. All queries automatically scoped to that organisation.</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User from Org A cannot access Org B's endpoints even if they guess the ID.</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Database Layer</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PostgreSQL Row-Level Security (RLS) policies on all organisation-scoped tables.</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Even if application code has a bug, RLS prevents cross-organisation data leakage.</w:t>
            </w:r>
          </w:p>
        </w:tc>
      </w:tr>
      <w:tr>
        <w:tc>
          <w:tcPr>
            <w:tcW w:w="18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File Storage</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S3 path includes organisation_id (/orgs/{org_id}/evidence/...). Signed URLs are scoped to organisation.</w:t>
            </w:r>
          </w:p>
        </w:tc>
        <w:tc>
          <w:tcPr>
            <w:tcW w:w="3613"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Direct S3 access without valid signed URL returns 403.</w:t>
            </w:r>
          </w:p>
        </w:tc>
      </w:tr>
      <w:tr>
        <w:tc>
          <w:tcPr>
            <w:tcW w:w="18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Audit Logs</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Every data access (read and write) logged with organisation_id and user_id.</w:t>
            </w:r>
          </w:p>
        </w:tc>
        <w:tc>
          <w:tcPr>
            <w:tcW w:w="3613"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Full forensic trail if a breach is suspected.</w:t>
            </w:r>
          </w:p>
        </w:tc>
      </w:tr>
    </w:tbl>
    <w:tbl>
      <w:tblPr>
        <w:tblW w:w="100" w:type="pct"/>
        <w:tblLook w:val="0400" w:firstRow="0" w:lastRow="0" w:firstColumn="0" w:lastColumn="0" w:noHBand="0" w:noVBand="1"/>
      </w:tblPr>
      <w:tblGrid>
        <w:gridCol w:w="9026"/>
      </w:tblGrid>
      <w:tr>
        <w:tc>
          <w:tcPr>
            <w:tcW w:w="9026" w:type="dxa"/>
            <w:tcBorders>
              <w:top w:val="single" w:color="D4AF37" w:sz="3"/>
              <w:left w:val="nil" w:color="00" w:sz="0"/>
              <w:bottom w:val="nil" w:color="00" w:sz="0"/>
              <w:right w:val="nil" w:color="00" w:sz="0"/>
            </w:tcBorders>
            <w:shd w:fill="FAFAF7" w:val="clear"/>
            <w:tcMar>
              <w:top w:type="dxa" w:w="120"/>
              <w:left w:type="dxa" w:w="240"/>
              <w:bottom w:type="dxa" w:w="120"/>
              <w:right w:type="dxa" w:w="240"/>
            </w:tcMar>
          </w:tcPr>
          <w:p>
            <w:pPr>
              <w:spacing w:after="0" w:line="260"/>
            </w:pPr>
            <w:r>
              <w:rPr>
                <w:rFonts w:ascii="Arial" w:cs="Arial" w:eastAsia="Arial" w:hAnsi="Arial"/>
                <w:i/>
                <w:color w:val="333333"/>
                <w:sz w:val="21"/>
                <w:szCs w:val="21"/>
              </w:rPr>
              <w:t xml:space="preserve">Shared content (blog posts, public tier framework, FAQ) is organisation-independent and served without auth. Only organisation-specific data (certifications, evidence, Pulse, portal) requires tenant isolation.</w:t>
            </w:r>
          </w:p>
        </w:tc>
      </w:tr>
    </w:tbl>
    <w:p>
      <w:pPr>
        <w:pStyle w:val="Heading2"/>
        <w:spacing w:before="280" w:after="160"/>
      </w:pPr>
      <w:r>
        <w:rPr>
          <w:rFonts w:ascii="Arial" w:cs="Arial" w:eastAsia="Arial" w:hAnsi="Arial"/>
          <w:b/>
          <w:color w:val="1A1A1A"/>
          <w:sz w:val="26"/>
          <w:szCs w:val="26"/>
        </w:rPr>
        <w:t xml:space="preserve">19.16 Security Architecture</w:t>
      </w:r>
    </w:p>
    <w:p>
      <w:pPr>
        <w:pStyle w:val="Heading3"/>
        <w:spacing w:before="200" w:after="120"/>
      </w:pPr>
      <w:r>
        <w:rPr>
          <w:rFonts w:ascii="Arial" w:cs="Arial" w:eastAsia="Arial" w:hAnsi="Arial"/>
          <w:b/>
          <w:color w:val="333333"/>
          <w:sz w:val="22"/>
          <w:szCs w:val="22"/>
        </w:rPr>
        <w:t xml:space="preserve">Input &amp; Data Security</w:t>
      </w:r>
    </w:p>
    <w:p>
      <w:pPr>
        <w:numPr>
          <w:ilvl w:val="0"/>
          <w:numId w:val="2"/>
        </w:numPr>
        <w:spacing w:after="80" w:line="260"/>
      </w:pPr>
      <w:r>
        <w:rPr>
          <w:rFonts w:ascii="Arial" w:cs="Arial" w:eastAsia="Arial" w:hAnsi="Arial"/>
          <w:color w:val="333333"/>
          <w:sz w:val="21"/>
          <w:szCs w:val="21"/>
        </w:rPr>
        <w:t xml:space="preserve">All API inputs validated using Zod schemas before any business logic runs. Invalid requests rejected at the middleware layer with a 400 response.</w:t>
      </w:r>
    </w:p>
    <w:p>
      <w:pPr>
        <w:numPr>
          <w:ilvl w:val="0"/>
          <w:numId w:val="2"/>
        </w:numPr>
        <w:spacing w:after="80" w:line="260"/>
      </w:pPr>
      <w:r>
        <w:rPr>
          <w:rFonts w:ascii="Arial" w:cs="Arial" w:eastAsia="Arial" w:hAnsi="Arial"/>
          <w:color w:val="333333"/>
          <w:sz w:val="21"/>
          <w:szCs w:val="21"/>
        </w:rPr>
        <w:t xml:space="preserve">Prisma ORM uses parameterised queries exclusively. SQL injection is structurally impossible.</w:t>
      </w:r>
    </w:p>
    <w:p>
      <w:pPr>
        <w:numPr>
          <w:ilvl w:val="0"/>
          <w:numId w:val="2"/>
        </w:numPr>
        <w:spacing w:after="80" w:line="260"/>
      </w:pPr>
      <w:r>
        <w:rPr>
          <w:rFonts w:ascii="Arial" w:cs="Arial" w:eastAsia="Arial" w:hAnsi="Arial"/>
          <w:color w:val="333333"/>
          <w:sz w:val="21"/>
          <w:szCs w:val="21"/>
        </w:rPr>
        <w:t xml:space="preserve">Passwords hashed with bcrypt (cost factor 12). Never stored in plaintext or logged.</w:t>
      </w:r>
    </w:p>
    <w:p>
      <w:pPr>
        <w:numPr>
          <w:ilvl w:val="0"/>
          <w:numId w:val="2"/>
        </w:numPr>
        <w:spacing w:after="80" w:line="260"/>
      </w:pPr>
      <w:r>
        <w:rPr>
          <w:rFonts w:ascii="Arial" w:cs="Arial" w:eastAsia="Arial" w:hAnsi="Arial"/>
          <w:color w:val="333333"/>
          <w:sz w:val="21"/>
          <w:szCs w:val="21"/>
        </w:rPr>
        <w:t xml:space="preserve">All API responses stripped of internal fields (database IDs, internal status codes) before returning to client.</w:t>
      </w:r>
    </w:p>
    <w:p>
      <w:pPr>
        <w:pStyle w:val="Heading3"/>
        <w:spacing w:before="200" w:after="120"/>
      </w:pPr>
      <w:r>
        <w:rPr>
          <w:rFonts w:ascii="Arial" w:cs="Arial" w:eastAsia="Arial" w:hAnsi="Arial"/>
          <w:b/>
          <w:color w:val="333333"/>
          <w:sz w:val="22"/>
          <w:szCs w:val="22"/>
        </w:rPr>
        <w:t xml:space="preserve">Secret Management</w:t>
      </w:r>
    </w:p>
    <w:p>
      <w:pPr>
        <w:numPr>
          <w:ilvl w:val="0"/>
          <w:numId w:val="2"/>
        </w:numPr>
        <w:spacing w:after="80" w:line="260"/>
      </w:pPr>
      <w:r>
        <w:rPr>
          <w:rFonts w:ascii="Arial" w:cs="Arial" w:eastAsia="Arial" w:hAnsi="Arial"/>
          <w:color w:val="333333"/>
          <w:sz w:val="21"/>
          <w:szCs w:val="21"/>
        </w:rPr>
        <w:t xml:space="preserve">Phase 2: environment variables managed via hosting platform (Railway/Render). Never in source code.</w:t>
      </w:r>
    </w:p>
    <w:p>
      <w:pPr>
        <w:numPr>
          <w:ilvl w:val="0"/>
          <w:numId w:val="2"/>
        </w:numPr>
        <w:spacing w:after="80" w:line="260"/>
      </w:pPr>
      <w:r>
        <w:rPr>
          <w:rFonts w:ascii="Arial" w:cs="Arial" w:eastAsia="Arial" w:hAnsi="Arial"/>
          <w:color w:val="333333"/>
          <w:sz w:val="21"/>
          <w:szCs w:val="21"/>
        </w:rPr>
        <w:t xml:space="preserve">Phase 3: HashiCorp Vault or AWS Secrets Manager for dynamic secret rotation.</w:t>
      </w:r>
    </w:p>
    <w:p>
      <w:pPr>
        <w:numPr>
          <w:ilvl w:val="0"/>
          <w:numId w:val="2"/>
        </w:numPr>
        <w:spacing w:after="80" w:line="260"/>
      </w:pPr>
      <w:r>
        <w:rPr>
          <w:rFonts w:ascii="Arial" w:cs="Arial" w:eastAsia="Arial" w:hAnsi="Arial"/>
          <w:color w:val="333333"/>
          <w:sz w:val="21"/>
          <w:szCs w:val="21"/>
        </w:rPr>
        <w:t xml:space="preserve">API keys for third-party services (SendGrid, S3, enrichment API) rotated quarterly.</w:t>
      </w:r>
    </w:p>
    <w:p>
      <w:pPr>
        <w:pStyle w:val="Heading3"/>
        <w:spacing w:before="200" w:after="120"/>
      </w:pPr>
      <w:r>
        <w:rPr>
          <w:rFonts w:ascii="Arial" w:cs="Arial" w:eastAsia="Arial" w:hAnsi="Arial"/>
          <w:b/>
          <w:color w:val="333333"/>
          <w:sz w:val="22"/>
          <w:szCs w:val="22"/>
        </w:rPr>
        <w:t xml:space="preserve">POPIA Compliance</w:t>
      </w:r>
    </w:p>
    <w:p>
      <w:pPr>
        <w:numPr>
          <w:ilvl w:val="0"/>
          <w:numId w:val="2"/>
        </w:numPr>
        <w:spacing w:after="80" w:line="260"/>
      </w:pPr>
      <w:r>
        <w:rPr>
          <w:rFonts w:ascii="Arial" w:cs="Arial" w:eastAsia="Arial" w:hAnsi="Arial"/>
          <w:color w:val="333333"/>
          <w:sz w:val="21"/>
          <w:szCs w:val="21"/>
        </w:rPr>
        <w:t xml:space="preserve">Data retention policy enforced via scheduled jobs: assessment data deleted after 3 years unless legal hold. Lead data deleted after 2 years if not converted.</w:t>
      </w:r>
    </w:p>
    <w:p>
      <w:pPr>
        <w:numPr>
          <w:ilvl w:val="0"/>
          <w:numId w:val="2"/>
        </w:numPr>
        <w:spacing w:after="80" w:line="260"/>
      </w:pPr>
      <w:r>
        <w:rPr>
          <w:rFonts w:ascii="Arial" w:cs="Arial" w:eastAsia="Arial" w:hAnsi="Arial"/>
          <w:color w:val="333333"/>
          <w:sz w:val="21"/>
          <w:szCs w:val="21"/>
        </w:rPr>
        <w:t xml:space="preserve">Right to Erasure: DELETE /v1/users/:id/data endpoint. Cascades across all tables. Audit log entry preserved (legal requirement) but personal data nullified.</w:t>
      </w:r>
    </w:p>
    <w:p>
      <w:pPr>
        <w:numPr>
          <w:ilvl w:val="0"/>
          <w:numId w:val="2"/>
        </w:numPr>
        <w:spacing w:after="80" w:line="260"/>
      </w:pPr>
      <w:r>
        <w:rPr>
          <w:rFonts w:ascii="Arial" w:cs="Arial" w:eastAsia="Arial" w:hAnsi="Arial"/>
          <w:color w:val="333333"/>
          <w:sz w:val="21"/>
          <w:szCs w:val="21"/>
        </w:rPr>
        <w:t xml:space="preserve">Cookie consent tracked per user. Analytics events suppressed if consent not given.</w:t>
      </w:r>
    </w:p>
    <w:p>
      <w:pPr>
        <w:numPr>
          <w:ilvl w:val="0"/>
          <w:numId w:val="2"/>
        </w:numPr>
        <w:spacing w:after="80" w:line="260"/>
      </w:pPr>
      <w:r>
        <w:rPr>
          <w:rFonts w:ascii="Arial" w:cs="Arial" w:eastAsia="Arial" w:hAnsi="Arial"/>
          <w:color w:val="333333"/>
          <w:sz w:val="21"/>
          <w:szCs w:val="21"/>
        </w:rPr>
        <w:t xml:space="preserve">Data Processing Agreement (DPA) template available for enterprise clients.</w:t>
      </w:r>
    </w:p>
    <w:p>
      <w:pPr>
        <w:pStyle w:val="Heading2"/>
        <w:spacing w:before="280" w:after="160"/>
      </w:pPr>
      <w:r>
        <w:rPr>
          <w:rFonts w:ascii="Arial" w:cs="Arial" w:eastAsia="Arial" w:hAnsi="Arial"/>
          <w:b/>
          <w:color w:val="1A1A1A"/>
          <w:sz w:val="26"/>
          <w:szCs w:val="26"/>
        </w:rPr>
        <w:t xml:space="preserve">19.17 Observability &amp; Monitoring</w:t>
      </w:r>
    </w:p>
    <w:tbl>
      <w:tblPr>
        <w:tblW w:w="100" w:type="pct"/>
      </w:tblPr>
      <w:tblGrid>
        <w:gridCol w:w="2400"/>
        <w:gridCol w:w="2200"/>
        <w:gridCol w:w="4426"/>
      </w:tblGrid>
      <w:tr>
        <w:tc>
          <w:tcPr>
            <w:tcW w:w="24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Capability</w:t>
            </w:r>
          </w:p>
        </w:tc>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Tool</w:t>
            </w:r>
          </w:p>
        </w:tc>
        <w:tc>
          <w:tcPr>
            <w:tcW w:w="4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It Monitors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Structured Logging</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Pino (Node.js)</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All request/response cycles, errors, business events. JSON format for log aggregation.</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Error Tracking</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Sentry</w:t>
            </w:r>
          </w:p>
        </w:tc>
        <w:tc>
          <w:tcPr>
            <w:tcW w:w="4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Unhandled exceptions, API errors, frontend errors. Grouped by error type. Alerting on new error types.</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Performance Monitoring</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Datadog or New Relic</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API response times (p50, p95, p99). Database query performance. Queue depth and processing time.</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Health Checks</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Custom endpoint: GET /v1/health</w:t>
            </w:r>
          </w:p>
        </w:tc>
        <w:tc>
          <w:tcPr>
            <w:tcW w:w="4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Returns DB connection status, Redis status, queue status. Used by load balancers for routing.</w:t>
            </w:r>
          </w:p>
        </w:tc>
      </w:tr>
      <w:tr>
        <w:tc>
          <w:tcPr>
            <w:tcW w:w="24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Uptime Monitoring</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Statuspage or UptimeRobot</w:t>
            </w:r>
          </w:p>
        </w:tc>
        <w:tc>
          <w:tcPr>
            <w:tcW w:w="4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External HTTP check every 60 seconds. Alerts on downtime. Public status page for clients.</w:t>
            </w:r>
          </w:p>
        </w:tc>
      </w:tr>
      <w:tr>
        <w:tc>
          <w:tcPr>
            <w:tcW w:w="24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Database Monitoring</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pganalyze or Datadog</w:t>
            </w:r>
          </w:p>
        </w:tc>
        <w:tc>
          <w:tcPr>
            <w:tcW w:w="4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Query performance, connection pool utilisation, replication lag, storage growth.</w:t>
            </w:r>
          </w:p>
        </w:tc>
      </w:tr>
    </w:tbl>
    <w:p>
      <w:pPr>
        <w:pStyle w:val="Heading2"/>
        <w:spacing w:before="280" w:after="160"/>
      </w:pPr>
      <w:r>
        <w:rPr>
          <w:rFonts w:ascii="Arial" w:cs="Arial" w:eastAsia="Arial" w:hAnsi="Arial"/>
          <w:b/>
          <w:color w:val="1A1A1A"/>
          <w:sz w:val="26"/>
          <w:szCs w:val="26"/>
        </w:rPr>
        <w:t xml:space="preserve">19.18 CI/CD Pipeline</w:t>
      </w:r>
    </w:p>
    <w:tbl>
      <w:tblPr>
        <w:tblW w:w="100" w:type="pct"/>
      </w:tblPr>
      <w:tblGrid>
        <w:gridCol w:w="2200"/>
        <w:gridCol w:w="3600"/>
        <w:gridCol w:w="3226"/>
      </w:tblGrid>
      <w:tr>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Stage</w:t>
            </w:r>
          </w:p>
        </w:tc>
        <w:tc>
          <w:tcPr>
            <w:tcW w:w="3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What Happens</w:t>
            </w:r>
          </w:p>
        </w:tc>
        <w:tc>
          <w:tcPr>
            <w:tcW w:w="32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Environment</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Developer Push</w:t>
            </w:r>
          </w:p>
        </w:tc>
        <w:tc>
          <w:tcPr>
            <w:tcW w:w="3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Code pushed to feature/* branch. GitHub Actions triggered.</w:t>
            </w:r>
          </w:p>
        </w:tc>
        <w:tc>
          <w:tcPr>
            <w:tcW w:w="3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Local</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Lint &amp; Format</w:t>
            </w:r>
          </w:p>
        </w:tc>
        <w:tc>
          <w:tcPr>
            <w:tcW w:w="3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ESLint + Prettier check. Fails if code style violations detected.</w:t>
            </w:r>
          </w:p>
        </w:tc>
        <w:tc>
          <w:tcPr>
            <w:tcW w:w="3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CI (GitHub Actions)</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Unit Tests</w:t>
            </w:r>
          </w:p>
        </w:tc>
        <w:tc>
          <w:tcPr>
            <w:tcW w:w="3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Jest runs all unit tests. Scoring algorithm, form validation, API handlers.</w:t>
            </w:r>
          </w:p>
        </w:tc>
        <w:tc>
          <w:tcPr>
            <w:tcW w:w="3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CI</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Integration Tests</w:t>
            </w:r>
          </w:p>
        </w:tc>
        <w:tc>
          <w:tcPr>
            <w:tcW w:w="3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Tests run against a test database (spun up fresh per pipeline run). Verifies API endpoints, database operations, workflow transitions.</w:t>
            </w:r>
          </w:p>
        </w:tc>
        <w:tc>
          <w:tcPr>
            <w:tcW w:w="3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CI</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Build</w:t>
            </w:r>
          </w:p>
        </w:tc>
        <w:tc>
          <w:tcPr>
            <w:tcW w:w="3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Next.js build (frontend). TypeScript compilation (backend). Docker image built.</w:t>
            </w:r>
          </w:p>
        </w:tc>
        <w:tc>
          <w:tcPr>
            <w:tcW w:w="3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CI</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Deploy to Staging</w:t>
            </w:r>
          </w:p>
        </w:tc>
        <w:tc>
          <w:tcPr>
            <w:tcW w:w="3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Automatic deployment on merge to develop branch. Staging environment mirrors production.</w:t>
            </w:r>
          </w:p>
        </w:tc>
        <w:tc>
          <w:tcPr>
            <w:tcW w:w="3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Staging (Railway/Render)</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E2E Tests</w:t>
            </w:r>
          </w:p>
        </w:tc>
        <w:tc>
          <w:tcPr>
            <w:tcW w:w="3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Playwright runs end-to-end tests against staging. Full user journeys: assessment flow, form submission, login.</w:t>
            </w:r>
          </w:p>
        </w:tc>
        <w:tc>
          <w:tcPr>
            <w:tcW w:w="3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Staging</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Deploy to Production</w:t>
            </w:r>
          </w:p>
        </w:tc>
        <w:tc>
          <w:tcPr>
            <w:tcW w:w="3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Manual approval required (PR merged to main). Production deployment triggered.</w:t>
            </w:r>
          </w:p>
        </w:tc>
        <w:tc>
          <w:tcPr>
            <w:tcW w:w="3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Production</w:t>
            </w:r>
          </w:p>
        </w:tc>
      </w:tr>
      <w:tr>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Database Migrations</w:t>
            </w:r>
          </w:p>
        </w:tc>
        <w:tc>
          <w:tcPr>
            <w:tcW w:w="3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Prisma migrations run automatically before the new app version starts. Rollback available if migration fails.</w:t>
            </w:r>
          </w:p>
        </w:tc>
        <w:tc>
          <w:tcPr>
            <w:tcW w:w="32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Production (before traffic shift)</w:t>
            </w:r>
          </w:p>
        </w:tc>
      </w:tr>
      <w:tr>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Smoke Tests</w:t>
            </w:r>
          </w:p>
        </w:tc>
        <w:tc>
          <w:tcPr>
            <w:tcW w:w="3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Automated checks against production: homepage loads, API health check responds, form submission works.</w:t>
            </w:r>
          </w:p>
        </w:tc>
        <w:tc>
          <w:tcPr>
            <w:tcW w:w="32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Production (post-deploy)</w:t>
            </w:r>
          </w:p>
        </w:tc>
      </w:tr>
    </w:tbl>
    <w:p>
      <w:pPr>
        <w:pStyle w:val="Heading2"/>
        <w:spacing w:before="280" w:after="160"/>
      </w:pPr>
      <w:r>
        <w:rPr>
          <w:rFonts w:ascii="Arial" w:cs="Arial" w:eastAsia="Arial" w:hAnsi="Arial"/>
          <w:b/>
          <w:color w:val="1A1A1A"/>
          <w:sz w:val="26"/>
          <w:szCs w:val="26"/>
        </w:rPr>
        <w:t xml:space="preserve">19.19 Infrastructure &amp; Hosting</w:t>
      </w:r>
    </w:p>
    <w:tbl>
      <w:tblPr>
        <w:tblW w:w="100" w:type="pct"/>
      </w:tblPr>
      <w:tblGrid>
        <w:gridCol w:w="1200"/>
        <w:gridCol w:w="2200"/>
        <w:gridCol w:w="2600"/>
        <w:gridCol w:w="2600"/>
        <w:gridCol w:w="1426"/>
      </w:tblGrid>
      <w:tr>
        <w:tc>
          <w:tcPr>
            <w:tcW w:w="1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Phase</w:t>
            </w:r>
          </w:p>
        </w:tc>
        <w:tc>
          <w:tcPr>
            <w:tcW w:w="22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Frontend</w:t>
            </w:r>
          </w:p>
        </w:tc>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Backend</w:t>
            </w:r>
          </w:p>
        </w:tc>
        <w:tc>
          <w:tcPr>
            <w:tcW w:w="2600"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Database</w:t>
            </w:r>
          </w:p>
        </w:tc>
        <w:tc>
          <w:tcPr>
            <w:tcW w:w="1426" w:type="dxa"/>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vAlign w:val="center"/>
          </w:tcPr>
          <w:p>
            <w:pPr>
              <w:spacing w:after="0"/>
            </w:pPr>
            <w:r>
              <w:rPr>
                <w:rFonts w:ascii="Arial" w:cs="Arial" w:eastAsia="Arial" w:hAnsi="Arial"/>
                <w:b/>
                <w:color w:val="FFFFFF"/>
                <w:sz w:val="20"/>
                <w:szCs w:val="20"/>
              </w:rPr>
              <w:t xml:space="preserve">Estimated Monthly Cost</w:t>
            </w:r>
          </w:p>
        </w:tc>
      </w:tr>
      <w:tr>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1 (Launch)</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(Free tier)</w:t>
            </w:r>
          </w:p>
        </w:tc>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w:t>
            </w:r>
          </w:p>
        </w:tc>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None</w:t>
            </w:r>
          </w:p>
        </w:tc>
        <w:tc>
          <w:tcPr>
            <w:tcW w:w="1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0–500 (domain + DNS only)</w:t>
            </w:r>
          </w:p>
        </w:tc>
      </w:tr>
      <w:tr>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2 (Platform)</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(Pro)</w:t>
            </w:r>
          </w:p>
        </w:tc>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Railway or Render (single instance)</w:t>
            </w:r>
          </w:p>
        </w:tc>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Supabase or Neon (managed PostgreSQL) + Redis (Upstash)</w:t>
            </w:r>
          </w:p>
        </w:tc>
        <w:tc>
          <w:tcPr>
            <w:tcW w:w="1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2,000–5,000</w:t>
            </w:r>
          </w:p>
        </w:tc>
      </w:tr>
      <w:tr>
        <w:tc>
          <w:tcPr>
            <w:tcW w:w="1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3 (Scale)</w:t>
            </w:r>
          </w:p>
        </w:tc>
        <w:tc>
          <w:tcPr>
            <w:tcW w:w="22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(Pro + analytics)</w:t>
            </w:r>
          </w:p>
        </w:tc>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Railway (auto-scaling) or AWS ECS</w:t>
            </w:r>
          </w:p>
        </w:tc>
        <w:tc>
          <w:tcPr>
            <w:tcW w:w="2600"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RDS PostgreSQL (Multi-AZ) + ElastiCache Redis</w:t>
            </w:r>
          </w:p>
        </w:tc>
        <w:tc>
          <w:tcPr>
            <w:tcW w:w="1426" w:type="dxa"/>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15,000–40,000</w:t>
            </w:r>
          </w:p>
        </w:tc>
      </w:tr>
      <w:tr>
        <w:tc>
          <w:tcPr>
            <w:tcW w:w="1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Phase 4 (Enterprise)</w:t>
            </w:r>
          </w:p>
        </w:tc>
        <w:tc>
          <w:tcPr>
            <w:tcW w:w="22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Vercel Enterprise or AWS CloudFront</w:t>
            </w:r>
          </w:p>
        </w:tc>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AWS ECS (multiple regions) + API Gateway</w:t>
            </w:r>
          </w:p>
        </w:tc>
        <w:tc>
          <w:tcPr>
            <w:tcW w:w="2600"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RDS (Multi-AZ, read replicas) + ElastiCache (cluster mode)</w:t>
            </w:r>
          </w:p>
        </w:tc>
        <w:tc>
          <w:tcPr>
            <w:tcW w:w="1426" w:type="dxa"/>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vAlign w:val="center"/>
          </w:tcPr>
          <w:p>
            <w:pPr>
              <w:spacing w:after="0" w:line="240"/>
            </w:pPr>
            <w:r>
              <w:rPr>
                <w:rFonts w:ascii="Arial" w:cs="Arial" w:eastAsia="Arial" w:hAnsi="Arial"/>
                <w:color w:val="333333"/>
                <w:sz w:val="20"/>
                <w:szCs w:val="20"/>
              </w:rPr>
              <w:t xml:space="preserve">ZAR 60,000+</w:t>
            </w:r>
          </w:p>
        </w:tc>
      </w:tr>
    </w:tbl>
    <w:tbl>
      <w:tblPr>
        <w:tblW w:w="100" w:type="pct"/>
        <w:tblLook w:val="0400" w:firstRow="0" w:lastRow="0" w:firstColumn="0" w:lastColumn="0" w:noHBand="0" w:noVBand="1"/>
      </w:tblPr>
      <w:tblGrid>
        <w:gridCol w:w="9026"/>
      </w:tblGrid>
      <w:tr>
        <w:tc>
          <w:tcPr>
            <w:tcW w:w="9026" w:type="dxa"/>
            <w:tcBorders>
              <w:top w:val="single" w:color="D4AF37" w:sz="3"/>
              <w:left w:val="nil" w:color="00" w:sz="0"/>
              <w:bottom w:val="nil" w:color="00" w:sz="0"/>
              <w:right w:val="nil" w:color="00" w:sz="0"/>
            </w:tcBorders>
            <w:shd w:fill="FAFAF7" w:val="clear"/>
            <w:tcMar>
              <w:top w:type="dxa" w:w="120"/>
              <w:left w:type="dxa" w:w="240"/>
              <w:bottom w:type="dxa" w:w="120"/>
              <w:right w:type="dxa" w:w="240"/>
            </w:tcMar>
          </w:tcPr>
          <w:p>
            <w:pPr>
              <w:spacing w:after="0" w:line="260"/>
            </w:pPr>
            <w:r>
              <w:rPr>
                <w:rFonts w:ascii="Arial" w:cs="Arial" w:eastAsia="Arial" w:hAnsi="Arial"/>
                <w:i/>
                <w:color w:val="333333"/>
                <w:sz w:val="21"/>
                <w:szCs w:val="21"/>
              </w:rPr>
              <w:t xml:space="preserve">Infrastructure scales with revenue. Phase 1 costs nothing to run. Phase 2 costs are justified by ZAR 420–600K Alpha Program revenue. Phase 3 costs are justified by ZAR 19M+ Year 2 revenue. Every infrastructure decision is reversible — we are not locked into any vendor.</w:t>
            </w:r>
          </w:p>
        </w:tc>
      </w:tr>
    </w:tbl>
    <w:p>
      <w:pPr>
        <w:spacing w:before="400"/>
      </w:pPr>
    </w:p>
    <w:p>
      <w:pPr>
        <w:spacing w:after="0"/>
        <w:jc w:val="center"/>
      </w:pPr>
      <w:r>
        <w:rPr>
          <w:rFonts w:ascii="Arial" w:cs="Arial" w:eastAsia="Arial" w:hAnsi="Arial"/>
          <w:color w:val="D4AF37"/>
          <w:sz w:val="24"/>
          <w:szCs w:val="24"/>
        </w:rPr>
        <w:t xml:space="preserve">─── ─── ───</w:t>
      </w:r>
    </w:p>
    <w:p>
      <w:pPr>
        <w:spacing w:before="200" w:after="0"/>
        <w:jc w:val="center"/>
      </w:pPr>
      <w:r>
        <w:rPr>
          <w:rFonts w:ascii="Arial" w:cs="Arial" w:eastAsia="Arial" w:hAnsi="Arial"/>
          <w:color w:val="999999"/>
          <w:sz w:val="20"/>
          <w:szCs w:val="20"/>
        </w:rPr>
        <w:t xml:space="preserve">End of Document</w:t>
      </w:r>
    </w:p>
    <w:p>
      <w:pPr>
        <w:spacing w:before="60" w:after="0"/>
        <w:jc w:val="center"/>
      </w:pPr>
      <w:r>
        <w:rPr>
          <w:rFonts w:ascii="Arial" w:cs="Arial" w:eastAsia="Arial" w:hAnsi="Arial"/>
          <w:color w:val="999999"/>
          <w:sz w:val="18"/>
          <w:szCs w:val="18"/>
        </w:rPr>
        <w:t xml:space="preserve">AI Integrity Certification  |  PRD v1.0  |  January 2026  |  CONFIDENTIAL</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spacing w:before="100" w:after="0"/>
      <w:jc w:val="center"/>
    </w:pPr>
    <w:r>
      <w:rPr>
        <w:rFonts w:ascii="Arial" w:cs="Arial" w:eastAsia="Arial" w:hAnsi="Arial"/>
        <w:color w:val="999999"/>
        <w:sz w:val="18"/>
        <w:szCs w:val="18"/>
      </w:rPr>
      <w:t xml:space="preserve">AIC PRD  |  CONFIDENTIAL  |  Page </w:t>
    </w:r>
    <w:r>
      <w:rPr>
        <w:rFonts w:ascii="Arial" w:cs="Arial" w:eastAsia="Arial" w:hAnsi="Arial"/>
        <w:color w:val="999999"/>
        <w:sz w:val="18"/>
        <w:szCs w:val="18"/>
      </w:rPr>
      <w:t xml:space="defaul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Arial" w:cs="Arial" w:eastAsia="Arial" w:hAnsi="Arial"/>
        <w:color w:val="999999"/>
        <w:sz w:val="18"/>
        <w:szCs w:val="18"/>
      </w:rPr>
      <w:t xml:space="preserve">AI INTEGRITY CERTIFICATION  |  Product Requirements Document</w:t>
    </w:r>
  </w:p>
  <w:p>
    <w:pPr>
      <w:pBdr>
        <w:bottom w:val="single" w:color="1A1A1A" w:sz="6"/>
      </w:pBd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1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1A1A1A"/>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2026-01-31T23:08:46.017Z</dcterms:created>
  <dcterms:modified xsi:type="dcterms:W3CDTF">2026-01-31T23:08:46.018Z</dcterms:modified>
</cp:coreProperties>
</file>

<file path=docProps/custom.xml><?xml version="1.0" encoding="utf-8"?>
<Properties xmlns="http://schemas.openxmlformats.org/officeDocument/2006/custom-properties" xmlns:vt="http://schemas.openxmlformats.org/officeDocument/2006/docPropsVTypes"/>
</file>