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771B" w:rsidRDefault="00000000">
      <w:r>
        <w:rPr>
          <w:b/>
        </w:rPr>
        <w:t xml:space="preserve">STROBE Statement – Checklist </w:t>
      </w:r>
    </w:p>
    <w:tbl>
      <w:tblPr>
        <w:tblStyle w:val="TableGrid"/>
        <w:tblW w:w="8870" w:type="dxa"/>
        <w:tblLayout w:type="fixed"/>
        <w:tblLook w:val="04A0" w:firstRow="1" w:lastRow="0" w:firstColumn="1" w:lastColumn="0" w:noHBand="0" w:noVBand="1"/>
      </w:tblPr>
      <w:tblGrid>
        <w:gridCol w:w="1101"/>
        <w:gridCol w:w="708"/>
        <w:gridCol w:w="1967"/>
        <w:gridCol w:w="727"/>
        <w:gridCol w:w="4367"/>
      </w:tblGrid>
      <w:tr w:rsidR="00A4771B" w:rsidTr="005C5163">
        <w:trPr>
          <w:trHeight w:val="430"/>
        </w:trPr>
        <w:tc>
          <w:tcPr>
            <w:tcW w:w="1101" w:type="dxa"/>
          </w:tcPr>
          <w:p w:rsidR="00A4771B" w:rsidRPr="005C5163" w:rsidRDefault="00000000">
            <w:pPr>
              <w:rPr>
                <w:sz w:val="18"/>
                <w:szCs w:val="21"/>
              </w:rPr>
            </w:pPr>
            <w:r w:rsidRPr="005C5163">
              <w:rPr>
                <w:b/>
                <w:sz w:val="18"/>
                <w:szCs w:val="21"/>
              </w:rPr>
              <w:t>Section</w:t>
            </w:r>
          </w:p>
        </w:tc>
        <w:tc>
          <w:tcPr>
            <w:tcW w:w="708" w:type="dxa"/>
          </w:tcPr>
          <w:p w:rsidR="00A4771B" w:rsidRPr="005C5163" w:rsidRDefault="00000000">
            <w:pPr>
              <w:rPr>
                <w:sz w:val="18"/>
                <w:szCs w:val="21"/>
              </w:rPr>
            </w:pPr>
            <w:r w:rsidRPr="005C5163">
              <w:rPr>
                <w:b/>
                <w:sz w:val="18"/>
                <w:szCs w:val="21"/>
              </w:rPr>
              <w:t>Item No.</w:t>
            </w:r>
          </w:p>
        </w:tc>
        <w:tc>
          <w:tcPr>
            <w:tcW w:w="1967" w:type="dxa"/>
          </w:tcPr>
          <w:p w:rsidR="00A4771B" w:rsidRPr="005C5163" w:rsidRDefault="00000000">
            <w:pPr>
              <w:rPr>
                <w:sz w:val="18"/>
                <w:szCs w:val="21"/>
              </w:rPr>
            </w:pPr>
            <w:r w:rsidRPr="005C5163">
              <w:rPr>
                <w:b/>
                <w:sz w:val="18"/>
                <w:szCs w:val="21"/>
              </w:rPr>
              <w:t>Recommendation</w:t>
            </w:r>
          </w:p>
        </w:tc>
        <w:tc>
          <w:tcPr>
            <w:tcW w:w="727" w:type="dxa"/>
          </w:tcPr>
          <w:p w:rsidR="00A4771B" w:rsidRPr="005C5163" w:rsidRDefault="00000000">
            <w:pPr>
              <w:rPr>
                <w:sz w:val="18"/>
                <w:szCs w:val="21"/>
              </w:rPr>
            </w:pPr>
            <w:r w:rsidRPr="005C5163">
              <w:rPr>
                <w:b/>
                <w:sz w:val="18"/>
                <w:szCs w:val="21"/>
              </w:rPr>
              <w:t>Page No.</w:t>
            </w:r>
          </w:p>
        </w:tc>
        <w:tc>
          <w:tcPr>
            <w:tcW w:w="4367" w:type="dxa"/>
          </w:tcPr>
          <w:p w:rsidR="00A4771B" w:rsidRPr="005C5163" w:rsidRDefault="00000000">
            <w:pPr>
              <w:rPr>
                <w:sz w:val="18"/>
                <w:szCs w:val="21"/>
              </w:rPr>
            </w:pPr>
            <w:r w:rsidRPr="005C5163">
              <w:rPr>
                <w:b/>
                <w:sz w:val="18"/>
                <w:szCs w:val="21"/>
              </w:rPr>
              <w:t>Relevant text from manuscript</w:t>
            </w:r>
          </w:p>
        </w:tc>
      </w:tr>
      <w:tr w:rsidR="00A4771B" w:rsidTr="005C5163">
        <w:trPr>
          <w:trHeight w:val="703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Title and abstract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1a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Indicate the study’s design with a commonly used term in the title or the abstract</w:t>
            </w:r>
          </w:p>
        </w:tc>
        <w:tc>
          <w:tcPr>
            <w:tcW w:w="727" w:type="dxa"/>
          </w:tcPr>
          <w:p w:rsidR="00A4771B" w:rsidRDefault="00000000">
            <w:r>
              <w:t>1-2</w:t>
            </w:r>
          </w:p>
        </w:tc>
        <w:tc>
          <w:tcPr>
            <w:tcW w:w="4367" w:type="dxa"/>
          </w:tcPr>
          <w:p w:rsidR="00A4771B" w:rsidRDefault="00000000">
            <w:r>
              <w:t>"Zero-shot evaluation was conducted on de-identiﬁed EHR: MIMIC-III notes, 4CE notes, and CORAL oncology reports (breast, pancreas)."</w:t>
            </w:r>
          </w:p>
        </w:tc>
      </w:tr>
      <w:tr w:rsidR="00A4771B" w:rsidTr="005C5163">
        <w:trPr>
          <w:trHeight w:val="777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Title and abstract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1b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Provide in the abstract an informative and balanced summary of what was done and what was found</w:t>
            </w:r>
          </w:p>
        </w:tc>
        <w:tc>
          <w:tcPr>
            <w:tcW w:w="727" w:type="dxa"/>
          </w:tcPr>
          <w:p w:rsidR="00A4771B" w:rsidRDefault="00000000">
            <w:r>
              <w:t>2</w:t>
            </w:r>
          </w:p>
        </w:tc>
        <w:tc>
          <w:tcPr>
            <w:tcW w:w="4367" w:type="dxa"/>
          </w:tcPr>
          <w:p w:rsidR="00A4771B" w:rsidRDefault="00000000">
            <w:r>
              <w:t>"Comparators included rule/lexicon systems, transformer encoders, and single- prompt LLM baselines."</w:t>
            </w:r>
          </w:p>
        </w:tc>
      </w:tr>
      <w:tr w:rsidR="00A4771B" w:rsidTr="005C5163">
        <w:trPr>
          <w:trHeight w:val="942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Introduction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2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Explain the scientific background and rationale for the investigation being reported</w:t>
            </w:r>
          </w:p>
        </w:tc>
        <w:tc>
          <w:tcPr>
            <w:tcW w:w="727" w:type="dxa"/>
          </w:tcPr>
          <w:p w:rsidR="00A4771B" w:rsidRDefault="00000000">
            <w:r>
              <w:t>3-4</w:t>
            </w:r>
          </w:p>
        </w:tc>
        <w:tc>
          <w:tcPr>
            <w:tcW w:w="4367" w:type="dxa"/>
          </w:tcPr>
          <w:p w:rsidR="00A4771B" w:rsidRDefault="00000000">
            <w:r>
              <w:t>"Classical approaches to clinical natural language processing have attempted to automate extraction and structuring of information from narrative notes but face important limitations."</w:t>
            </w:r>
          </w:p>
        </w:tc>
      </w:tr>
      <w:tr w:rsidR="00A4771B" w:rsidTr="005C5163">
        <w:trPr>
          <w:trHeight w:val="1174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Introduction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3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State specific objectives, including any prespecified hypotheses</w:t>
            </w:r>
          </w:p>
        </w:tc>
        <w:tc>
          <w:tcPr>
            <w:tcW w:w="727" w:type="dxa"/>
          </w:tcPr>
          <w:p w:rsidR="00A4771B" w:rsidRDefault="00000000">
            <w:r>
              <w:t>1,5</w:t>
            </w:r>
          </w:p>
        </w:tc>
        <w:tc>
          <w:tcPr>
            <w:tcW w:w="4367" w:type="dxa"/>
          </w:tcPr>
          <w:p w:rsidR="00A4771B" w:rsidRDefault="00000000">
            <w:r>
              <w:t>"We developed CLINES, a modular agentic pipeline that extracts and structures clinical concepts: semantic chunking of long notes; extraction by reasoning- capable large language models; assignment of attributes (assertion/experiencer, numerical values with SI units); normalization to the Uniﬁed"</w:t>
            </w:r>
          </w:p>
        </w:tc>
      </w:tr>
      <w:tr w:rsidR="00A4771B" w:rsidTr="005C5163">
        <w:trPr>
          <w:trHeight w:val="1183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4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Present key elements of study design early in the paper</w:t>
            </w:r>
          </w:p>
        </w:tc>
        <w:tc>
          <w:tcPr>
            <w:tcW w:w="727" w:type="dxa"/>
          </w:tcPr>
          <w:p w:rsidR="00A4771B" w:rsidRDefault="00000000">
            <w:r>
              <w:t>9-10</w:t>
            </w:r>
          </w:p>
        </w:tc>
        <w:tc>
          <w:tcPr>
            <w:tcW w:w="4367" w:type="dxa"/>
          </w:tcPr>
          <w:p w:rsidR="00A4771B" w:rsidRDefault="00000000">
            <w:r>
              <w:t xml:space="preserve">"2.3. Study design and data All corpora were de-identiﬁed and accessed under the respective data-use agreements and governance requirements of each dataset; no patient contact, in- </w:t>
            </w:r>
            <w:proofErr w:type="spellStart"/>
            <w:r>
              <w:t>tervention</w:t>
            </w:r>
            <w:proofErr w:type="spellEnd"/>
            <w:r>
              <w:t>, or access to identiﬁable private information occurred."</w:t>
            </w:r>
          </w:p>
        </w:tc>
      </w:tr>
      <w:tr w:rsidR="00A4771B" w:rsidTr="005C5163">
        <w:trPr>
          <w:trHeight w:val="1158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5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w="727" w:type="dxa"/>
          </w:tcPr>
          <w:p w:rsidR="00A4771B" w:rsidRDefault="00000000">
            <w:r>
              <w:t>9-10</w:t>
            </w:r>
          </w:p>
        </w:tc>
        <w:tc>
          <w:tcPr>
            <w:tcW w:w="4367" w:type="dxa"/>
          </w:tcPr>
          <w:p w:rsidR="00A4771B" w:rsidRDefault="00000000">
            <w:r>
              <w:t>"Zero-shot evaluation was conducted on de-identiﬁed EHR: MIMIC-III notes, 4CE notes, and CORAL oncology reports (breast, pancreas)."</w:t>
            </w:r>
          </w:p>
        </w:tc>
      </w:tr>
      <w:tr w:rsidR="00A4771B" w:rsidTr="005C5163">
        <w:trPr>
          <w:trHeight w:val="960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6a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Give eligibility criteria and sources/methods of selection of participants; describe follow-up (as applicable)</w:t>
            </w:r>
          </w:p>
        </w:tc>
        <w:tc>
          <w:tcPr>
            <w:tcW w:w="727" w:type="dxa"/>
          </w:tcPr>
          <w:p w:rsidR="00A4771B" w:rsidRDefault="00000000">
            <w:r>
              <w:t>9-10</w:t>
            </w:r>
          </w:p>
        </w:tc>
        <w:tc>
          <w:tcPr>
            <w:tcW w:w="4367" w:type="dxa"/>
          </w:tcPr>
          <w:p w:rsidR="00A4771B" w:rsidRDefault="00000000">
            <w:r>
              <w:t>"MIMIC-III26: from 2,065,096 critical-care notes, 964 notes were sampled and segmented into 2,000 paragraphs."</w:t>
            </w:r>
          </w:p>
        </w:tc>
      </w:tr>
      <w:tr w:rsidR="00A4771B" w:rsidTr="005C5163">
        <w:trPr>
          <w:trHeight w:val="579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6b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For matched studies, give matching criteria and numbers (as applicable)</w:t>
            </w:r>
          </w:p>
        </w:tc>
        <w:tc>
          <w:tcPr>
            <w:tcW w:w="727" w:type="dxa"/>
          </w:tcPr>
          <w:p w:rsidR="00A4771B" w:rsidRDefault="00000000">
            <w:r>
              <w:t>NA</w:t>
            </w:r>
          </w:p>
        </w:tc>
        <w:tc>
          <w:tcPr>
            <w:tcW w:w="4367" w:type="dxa"/>
          </w:tcPr>
          <w:p w:rsidR="00A4771B" w:rsidRDefault="00000000">
            <w:r>
              <w:t>Not applicable: no matching (benchmarking on fixed annotated corpora).</w:t>
            </w:r>
          </w:p>
        </w:tc>
      </w:tr>
      <w:tr w:rsidR="00A4771B" w:rsidTr="005C5163">
        <w:trPr>
          <w:trHeight w:val="968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7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 xml:space="preserve">Clearly define outcomes, exposures, predictors, confounders, and effect modifiers; give diagnostic criteria (if </w:t>
            </w:r>
            <w:r>
              <w:rPr>
                <w:sz w:val="18"/>
              </w:rPr>
              <w:lastRenderedPageBreak/>
              <w:t>applicable)</w:t>
            </w:r>
          </w:p>
        </w:tc>
        <w:tc>
          <w:tcPr>
            <w:tcW w:w="727" w:type="dxa"/>
          </w:tcPr>
          <w:p w:rsidR="00A4771B" w:rsidRDefault="00000000">
            <w:r>
              <w:lastRenderedPageBreak/>
              <w:t>2,11</w:t>
            </w:r>
          </w:p>
        </w:tc>
        <w:tc>
          <w:tcPr>
            <w:tcW w:w="4367" w:type="dxa"/>
          </w:tcPr>
          <w:p w:rsidR="00A4771B" w:rsidRDefault="00000000">
            <w:r>
              <w:t xml:space="preserve">"Outcomes were F1 scores for entity extraction, assertion status, </w:t>
            </w:r>
            <w:proofErr w:type="spellStart"/>
            <w:r>
              <w:t>value&amp;unit</w:t>
            </w:r>
            <w:proofErr w:type="spellEnd"/>
            <w:r>
              <w:t xml:space="preserve"> extraction, and date processing."</w:t>
            </w:r>
          </w:p>
        </w:tc>
      </w:tr>
      <w:tr w:rsidR="00A4771B" w:rsidTr="005C5163">
        <w:trPr>
          <w:trHeight w:val="1174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8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For each variable of interest, give data sources and details of methods of assessment; describe comparability if &gt;1 group</w:t>
            </w:r>
          </w:p>
        </w:tc>
        <w:tc>
          <w:tcPr>
            <w:tcW w:w="727" w:type="dxa"/>
          </w:tcPr>
          <w:p w:rsidR="00A4771B" w:rsidRDefault="00000000">
            <w:r>
              <w:t>10</w:t>
            </w:r>
          </w:p>
        </w:tc>
        <w:tc>
          <w:tcPr>
            <w:tcW w:w="4367" w:type="dxa"/>
          </w:tcPr>
          <w:p w:rsidR="00A4771B" w:rsidRDefault="00000000">
            <w:r>
              <w:t xml:space="preserve">"2.4. Annotation protocol Five annotators followed a consensus protocol balancing accuracy and </w:t>
            </w:r>
            <w:proofErr w:type="spellStart"/>
            <w:r>
              <w:t>eﬃ</w:t>
            </w:r>
            <w:proofErr w:type="spellEnd"/>
            <w:r>
              <w:t xml:space="preserve">- </w:t>
            </w:r>
            <w:proofErr w:type="spellStart"/>
            <w:r>
              <w:t>ciency</w:t>
            </w:r>
            <w:proofErr w:type="spellEnd"/>
            <w:r>
              <w:t>: (</w:t>
            </w:r>
            <w:proofErr w:type="spellStart"/>
            <w:r>
              <w:t>i</w:t>
            </w:r>
            <w:proofErr w:type="spellEnd"/>
            <w:r>
              <w:t xml:space="preserve">) extract core entity spans while excluding modiﬁers to avoid </w:t>
            </w:r>
            <w:proofErr w:type="spellStart"/>
            <w:r>
              <w:t>redun</w:t>
            </w:r>
            <w:proofErr w:type="spellEnd"/>
            <w:r>
              <w:t xml:space="preserve">- </w:t>
            </w:r>
            <w:proofErr w:type="spellStart"/>
            <w:r>
              <w:t>dancy</w:t>
            </w:r>
            <w:proofErr w:type="spellEnd"/>
            <w:r>
              <w:t>; (ii) infer temporality and assertion status from surrounding context (e."</w:t>
            </w:r>
          </w:p>
        </w:tc>
      </w:tr>
      <w:tr w:rsidR="00A4771B" w:rsidTr="005C5163">
        <w:trPr>
          <w:trHeight w:val="711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9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Describe any efforts to address potential sources of bias</w:t>
            </w:r>
          </w:p>
        </w:tc>
        <w:tc>
          <w:tcPr>
            <w:tcW w:w="727" w:type="dxa"/>
          </w:tcPr>
          <w:p w:rsidR="00A4771B" w:rsidRDefault="00000000">
            <w:r>
              <w:t>10</w:t>
            </w:r>
          </w:p>
        </w:tc>
        <w:tc>
          <w:tcPr>
            <w:tcW w:w="4367" w:type="dxa"/>
          </w:tcPr>
          <w:p w:rsidR="00A4771B" w:rsidRDefault="00000000">
            <w:r>
              <w:t xml:space="preserve">"All annotators received uniﬁed training with shared examples; an independent annotator audited a sample for accuracy and </w:t>
            </w:r>
            <w:proofErr w:type="spellStart"/>
            <w:r>
              <w:t>consis</w:t>
            </w:r>
            <w:proofErr w:type="spellEnd"/>
            <w:r>
              <w:t xml:space="preserve">- </w:t>
            </w:r>
            <w:proofErr w:type="spellStart"/>
            <w:r>
              <w:t>tency</w:t>
            </w:r>
            <w:proofErr w:type="spellEnd"/>
            <w:r>
              <w:t>."</w:t>
            </w:r>
          </w:p>
        </w:tc>
      </w:tr>
      <w:tr w:rsidR="00A4771B" w:rsidTr="005C5163">
        <w:trPr>
          <w:trHeight w:val="471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10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Explain how the study size was arrived at</w:t>
            </w:r>
          </w:p>
        </w:tc>
        <w:tc>
          <w:tcPr>
            <w:tcW w:w="727" w:type="dxa"/>
          </w:tcPr>
          <w:p w:rsidR="00A4771B" w:rsidRDefault="00000000">
            <w:r>
              <w:t>9-10</w:t>
            </w:r>
          </w:p>
        </w:tc>
        <w:tc>
          <w:tcPr>
            <w:tcW w:w="4367" w:type="dxa"/>
          </w:tcPr>
          <w:p w:rsidR="00A4771B" w:rsidRDefault="00000000">
            <w:r>
              <w:t>"MIMIC-III26: from 2,065,096 critical-care notes, 964 notes were sampled and segmented into 2,000 paragraphs."</w:t>
            </w:r>
          </w:p>
        </w:tc>
      </w:tr>
      <w:tr w:rsidR="00A4771B" w:rsidTr="005C5163">
        <w:trPr>
          <w:trHeight w:val="1174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11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Explain how quantitative variables were handled; describe groupings chosen and why (if applicable)</w:t>
            </w:r>
          </w:p>
        </w:tc>
        <w:tc>
          <w:tcPr>
            <w:tcW w:w="727" w:type="dxa"/>
          </w:tcPr>
          <w:p w:rsidR="00A4771B" w:rsidRDefault="00000000">
            <w:r>
              <w:t>11</w:t>
            </w:r>
          </w:p>
        </w:tc>
        <w:tc>
          <w:tcPr>
            <w:tcW w:w="4367" w:type="dxa"/>
          </w:tcPr>
          <w:p w:rsidR="00A4771B" w:rsidRDefault="00000000">
            <w:r>
              <w:t xml:space="preserve">"Evaluation metrics and protocol In the zero-shot setting (no training on the annotated test sets), we evaluated: entity detection (phrase-level precision, recall, F1 with exact-span match); at- tribute extraction (joint exact match of span and attribute for body location, </w:t>
            </w:r>
            <w:proofErr w:type="spellStart"/>
            <w:r>
              <w:t>asser</w:t>
            </w:r>
            <w:proofErr w:type="spellEnd"/>
            <w:r>
              <w:t xml:space="preserve">- </w:t>
            </w:r>
            <w:proofErr w:type="spellStart"/>
            <w:r>
              <w:t>tion</w:t>
            </w:r>
            <w:proofErr w:type="spellEnd"/>
            <w:r>
              <w:t xml:space="preserve"> status,"</w:t>
            </w:r>
          </w:p>
        </w:tc>
      </w:tr>
      <w:tr w:rsidR="00A4771B" w:rsidTr="005C5163">
        <w:trPr>
          <w:trHeight w:val="1183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12a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Describe all statistical methods, including those used to control for confounding</w:t>
            </w:r>
          </w:p>
        </w:tc>
        <w:tc>
          <w:tcPr>
            <w:tcW w:w="727" w:type="dxa"/>
          </w:tcPr>
          <w:p w:rsidR="00A4771B" w:rsidRDefault="00000000">
            <w:r>
              <w:t>11</w:t>
            </w:r>
          </w:p>
        </w:tc>
        <w:tc>
          <w:tcPr>
            <w:tcW w:w="4367" w:type="dxa"/>
          </w:tcPr>
          <w:p w:rsidR="00A4771B" w:rsidRDefault="00000000">
            <w:r>
              <w:t xml:space="preserve">"2.6. Evaluation metrics and protocol In the zero-shot setting (no training on the annotated test sets), we evaluated: entity detection (phrase-level precision, recall, F1 with exact-span match); at- tribute extraction (joint exact match of span and attribute for body location, </w:t>
            </w:r>
            <w:proofErr w:type="spellStart"/>
            <w:r>
              <w:t>asser</w:t>
            </w:r>
            <w:proofErr w:type="spellEnd"/>
            <w:r>
              <w:t xml:space="preserve">- </w:t>
            </w:r>
            <w:proofErr w:type="spellStart"/>
            <w:r>
              <w:t>tion</w:t>
            </w:r>
            <w:proofErr w:type="spellEnd"/>
            <w:r>
              <w:t xml:space="preserve"> status,"</w:t>
            </w:r>
          </w:p>
        </w:tc>
      </w:tr>
      <w:tr w:rsidR="00A4771B" w:rsidTr="005C5163">
        <w:trPr>
          <w:trHeight w:val="579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12b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Describe methods used to examine subgroups and interactions</w:t>
            </w:r>
          </w:p>
        </w:tc>
        <w:tc>
          <w:tcPr>
            <w:tcW w:w="727" w:type="dxa"/>
          </w:tcPr>
          <w:p w:rsidR="00A4771B" w:rsidRDefault="00000000">
            <w:r>
              <w:t>2</w:t>
            </w:r>
          </w:p>
        </w:tc>
        <w:tc>
          <w:tcPr>
            <w:tcW w:w="4367" w:type="dxa"/>
          </w:tcPr>
          <w:p w:rsidR="00A4771B" w:rsidRDefault="00000000">
            <w:r>
              <w:t>"Performance remained stable across note-length quantiles, while transformer baselines lost re- call as notes lengthened."</w:t>
            </w:r>
          </w:p>
        </w:tc>
      </w:tr>
      <w:tr w:rsidR="00A4771B" w:rsidTr="005C5163">
        <w:trPr>
          <w:trHeight w:val="471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12c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Explain how missing data were addressed</w:t>
            </w:r>
          </w:p>
        </w:tc>
        <w:tc>
          <w:tcPr>
            <w:tcW w:w="727" w:type="dxa"/>
          </w:tcPr>
          <w:p w:rsidR="00A4771B" w:rsidRDefault="00000000">
            <w:r>
              <w:t>NA</w:t>
            </w:r>
          </w:p>
        </w:tc>
        <w:tc>
          <w:tcPr>
            <w:tcW w:w="4367" w:type="dxa"/>
          </w:tcPr>
          <w:p w:rsidR="00A4771B" w:rsidRDefault="00000000">
            <w:r>
              <w:t>NA (no imputation/missing-data methods reported for this document-level benchmark).</w:t>
            </w:r>
          </w:p>
        </w:tc>
      </w:tr>
      <w:tr w:rsidR="00A4771B" w:rsidTr="005C5163">
        <w:trPr>
          <w:trHeight w:val="968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12d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If applicable, explain how loss to follow-up was addressed (or matching/sampling strategy as relevant)</w:t>
            </w:r>
          </w:p>
        </w:tc>
        <w:tc>
          <w:tcPr>
            <w:tcW w:w="727" w:type="dxa"/>
          </w:tcPr>
          <w:p w:rsidR="00A4771B" w:rsidRDefault="00000000">
            <w:r>
              <w:t>NA</w:t>
            </w:r>
          </w:p>
        </w:tc>
        <w:tc>
          <w:tcPr>
            <w:tcW w:w="4367" w:type="dxa"/>
          </w:tcPr>
          <w:p w:rsidR="00A4771B" w:rsidRDefault="00000000">
            <w:r>
              <w:t>NA (no follow-up in document-level benchmark).</w:t>
            </w:r>
          </w:p>
        </w:tc>
      </w:tr>
      <w:tr w:rsidR="00A4771B" w:rsidTr="005C5163">
        <w:trPr>
          <w:trHeight w:val="380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Methods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12e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Describe any sensitivity analyses</w:t>
            </w:r>
          </w:p>
        </w:tc>
        <w:tc>
          <w:tcPr>
            <w:tcW w:w="727" w:type="dxa"/>
          </w:tcPr>
          <w:p w:rsidR="00A4771B" w:rsidRDefault="00000000">
            <w:r>
              <w:t>NA</w:t>
            </w:r>
          </w:p>
        </w:tc>
        <w:tc>
          <w:tcPr>
            <w:tcW w:w="4367" w:type="dxa"/>
          </w:tcPr>
          <w:p w:rsidR="00A4771B" w:rsidRDefault="00000000">
            <w:r>
              <w:t>NA (sensitivity analyses not reported).</w:t>
            </w:r>
          </w:p>
        </w:tc>
      </w:tr>
      <w:tr w:rsidR="00A4771B" w:rsidTr="005C5163">
        <w:trPr>
          <w:trHeight w:val="1158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lastRenderedPageBreak/>
              <w:t>Results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13a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Report numbers of individuals at each stage of study (as applicable); reasons for non-participation; consider flow diagram</w:t>
            </w:r>
          </w:p>
        </w:tc>
        <w:tc>
          <w:tcPr>
            <w:tcW w:w="727" w:type="dxa"/>
          </w:tcPr>
          <w:p w:rsidR="00A4771B" w:rsidRDefault="00000000">
            <w:r>
              <w:t>9-10</w:t>
            </w:r>
          </w:p>
        </w:tc>
        <w:tc>
          <w:tcPr>
            <w:tcW w:w="4367" w:type="dxa"/>
          </w:tcPr>
          <w:p w:rsidR="00A4771B" w:rsidRDefault="00000000">
            <w:r>
              <w:t>"MIMIC-III: from 2,065,096 critical-care notes, 964 notes were sampled and segmented into 2,000 paragraphs."</w:t>
            </w:r>
          </w:p>
        </w:tc>
      </w:tr>
      <w:tr w:rsidR="00A4771B" w:rsidTr="005C5163">
        <w:trPr>
          <w:trHeight w:val="1158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Results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14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 xml:space="preserve">Give characteristics of participants and information on exposures/confounders; indicate missing data; </w:t>
            </w:r>
            <w:proofErr w:type="spellStart"/>
            <w:r>
              <w:rPr>
                <w:sz w:val="18"/>
              </w:rPr>
              <w:t>summarise</w:t>
            </w:r>
            <w:proofErr w:type="spellEnd"/>
            <w:r>
              <w:rPr>
                <w:sz w:val="18"/>
              </w:rPr>
              <w:t xml:space="preserve"> follow-up time (as applicable)</w:t>
            </w:r>
          </w:p>
        </w:tc>
        <w:tc>
          <w:tcPr>
            <w:tcW w:w="727" w:type="dxa"/>
          </w:tcPr>
          <w:p w:rsidR="00A4771B" w:rsidRDefault="00000000">
            <w:r>
              <w:t>9</w:t>
            </w:r>
          </w:p>
        </w:tc>
        <w:tc>
          <w:tcPr>
            <w:tcW w:w="4367" w:type="dxa"/>
          </w:tcPr>
          <w:p w:rsidR="00A4771B" w:rsidRDefault="00000000">
            <w:r>
              <w:t xml:space="preserve">"Of 56 notes, 21 were annotated, producing 5,731 entity mentions with temporal </w:t>
            </w:r>
            <w:proofErr w:type="spellStart"/>
            <w:r>
              <w:t>infor</w:t>
            </w:r>
            <w:proofErr w:type="spellEnd"/>
            <w:r>
              <w:t xml:space="preserve">- </w:t>
            </w:r>
            <w:proofErr w:type="spellStart"/>
            <w:r>
              <w:t>mation</w:t>
            </w:r>
            <w:proofErr w:type="spellEnd"/>
            <w:r>
              <w:t xml:space="preserve"> and attributes; mean document length 1,466 words</w:t>
            </w:r>
            <w:r w:rsidR="005C5163">
              <w:rPr>
                <w:lang w:eastAsia="zh-CN"/>
              </w:rPr>
              <w:t>……</w:t>
            </w:r>
            <w:r>
              <w:t>"</w:t>
            </w:r>
          </w:p>
        </w:tc>
      </w:tr>
      <w:tr w:rsidR="00A4771B" w:rsidTr="005C5163">
        <w:trPr>
          <w:trHeight w:val="942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Results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15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Report numbers of outcome events or summary measures (as applicable to study design)</w:t>
            </w:r>
          </w:p>
        </w:tc>
        <w:tc>
          <w:tcPr>
            <w:tcW w:w="727" w:type="dxa"/>
          </w:tcPr>
          <w:p w:rsidR="00A4771B" w:rsidRDefault="00000000">
            <w:r>
              <w:t>12-14</w:t>
            </w:r>
          </w:p>
        </w:tc>
        <w:tc>
          <w:tcPr>
            <w:tcW w:w="4367" w:type="dxa"/>
          </w:tcPr>
          <w:p w:rsidR="00A4771B" w:rsidRDefault="00000000">
            <w:r>
              <w:t>"Relative to the best single-prompt LLM baseline, absolute F1 gains are +0.21–0.33 for entity extraction, +0.21–0.28 for assertion status, +0.27–0.38 for value–unit, and +0.26–0.33 for date processing."</w:t>
            </w:r>
          </w:p>
        </w:tc>
      </w:tr>
      <w:tr w:rsidR="00A4771B" w:rsidTr="005C5163">
        <w:trPr>
          <w:trHeight w:val="1158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Results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16a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Give unadjusted and, if applicable, confounder-adjusted estimates and their precision; report boundaries when variables categorized; translate risk if relevant</w:t>
            </w:r>
          </w:p>
        </w:tc>
        <w:tc>
          <w:tcPr>
            <w:tcW w:w="727" w:type="dxa"/>
          </w:tcPr>
          <w:p w:rsidR="00A4771B" w:rsidRDefault="00000000">
            <w:r>
              <w:t>12</w:t>
            </w:r>
          </w:p>
        </w:tc>
        <w:tc>
          <w:tcPr>
            <w:tcW w:w="4367" w:type="dxa"/>
          </w:tcPr>
          <w:p w:rsidR="00A4771B" w:rsidRDefault="00000000">
            <w:r>
              <w:t>"Relative to the best single-prompt LLM baseline, absolute F1 gains are +0.21–0.33 for entity extraction, +0.21–0.28 for assertion status, +0.27–0.38 for value–unit, and +0.26–0.33 for date processing."</w:t>
            </w:r>
          </w:p>
        </w:tc>
      </w:tr>
      <w:tr w:rsidR="00A4771B" w:rsidTr="005C5163">
        <w:trPr>
          <w:trHeight w:val="1183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Results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17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Report other analyses done (eg subgroups, interactions, sensitivity analyses)</w:t>
            </w:r>
          </w:p>
        </w:tc>
        <w:tc>
          <w:tcPr>
            <w:tcW w:w="727" w:type="dxa"/>
          </w:tcPr>
          <w:p w:rsidR="00A4771B" w:rsidRDefault="00000000">
            <w:r>
              <w:t>16</w:t>
            </w:r>
          </w:p>
        </w:tc>
        <w:tc>
          <w:tcPr>
            <w:tcW w:w="4367" w:type="dxa"/>
          </w:tcPr>
          <w:p w:rsidR="00A4771B" w:rsidRDefault="00000000">
            <w:r>
              <w:t>"Case studies: robust clinical inference De-identiﬁed 4CE and CORAL notes show four recurring capabilities: in- ferring units when measurements are underspeciﬁed; normalizing terse or site- speciﬁc shorthand to controlled vocabularies; recovering relations that mirror care processes; and handling</w:t>
            </w:r>
            <w:r w:rsidR="005C5163">
              <w:t>……</w:t>
            </w:r>
            <w:r>
              <w:t>"</w:t>
            </w:r>
          </w:p>
        </w:tc>
      </w:tr>
      <w:tr w:rsidR="00A4771B" w:rsidTr="005C5163">
        <w:trPr>
          <w:trHeight w:val="942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Discussion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18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Summarise key results with reference to study objectives</w:t>
            </w:r>
          </w:p>
        </w:tc>
        <w:tc>
          <w:tcPr>
            <w:tcW w:w="727" w:type="dxa"/>
          </w:tcPr>
          <w:p w:rsidR="00A4771B" w:rsidRDefault="00000000">
            <w:r>
              <w:t>17-18</w:t>
            </w:r>
          </w:p>
        </w:tc>
        <w:tc>
          <w:tcPr>
            <w:tcW w:w="4367" w:type="dxa"/>
          </w:tcPr>
          <w:p w:rsidR="00A4771B" w:rsidRDefault="00000000">
            <w:r>
              <w:t>"By design, CLINES bridges the longstanding divide between narrative clinical documenta- tion and structured queryable formats, enabling scalable solutions for cohort dis- covery, real-world evidence generation, and clinical decision support."</w:t>
            </w:r>
          </w:p>
        </w:tc>
      </w:tr>
      <w:tr w:rsidR="00A4771B" w:rsidTr="005C5163">
        <w:trPr>
          <w:trHeight w:val="380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Discussion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19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Discuss limitations of the study, taking into account sources of potential bias or imprecision</w:t>
            </w:r>
          </w:p>
        </w:tc>
        <w:tc>
          <w:tcPr>
            <w:tcW w:w="727" w:type="dxa"/>
          </w:tcPr>
          <w:p w:rsidR="00A4771B" w:rsidRDefault="00000000">
            <w:r>
              <w:t>17</w:t>
            </w:r>
          </w:p>
        </w:tc>
        <w:tc>
          <w:tcPr>
            <w:tcW w:w="4367" w:type="dxa"/>
          </w:tcPr>
          <w:p w:rsidR="00A4771B" w:rsidRDefault="00000000">
            <w:r>
              <w:t>"Limitations</w:t>
            </w:r>
            <w:r w:rsidR="005C5163">
              <w:t>.</w:t>
            </w:r>
            <w:r>
              <w:t xml:space="preserve"> Several limitations remain</w:t>
            </w:r>
            <w:r w:rsidR="005C5163">
              <w:t>…….</w:t>
            </w:r>
            <w:r>
              <w:t>"</w:t>
            </w:r>
          </w:p>
        </w:tc>
      </w:tr>
      <w:tr w:rsidR="00A4771B" w:rsidTr="005C5163">
        <w:trPr>
          <w:trHeight w:val="131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Discussion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20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Give a cautious overall interpretation of results considering objectives, limitations, multiplicity, and other evidence</w:t>
            </w:r>
          </w:p>
        </w:tc>
        <w:tc>
          <w:tcPr>
            <w:tcW w:w="727" w:type="dxa"/>
          </w:tcPr>
          <w:p w:rsidR="00A4771B" w:rsidRDefault="00000000">
            <w:r>
              <w:t>15-17</w:t>
            </w:r>
          </w:p>
        </w:tc>
        <w:tc>
          <w:tcPr>
            <w:tcW w:w="4367" w:type="dxa"/>
          </w:tcPr>
          <w:p w:rsidR="00A4771B" w:rsidRDefault="00000000">
            <w:r>
              <w:t>"This should not be interpreted as a direct head-to-head com- parison — o3-mini/GPT-4o are proprietary models with broad pretraining on di- verse text, whereas Llama-3.1-405B is open-source with more limited access to real-world clinical text."</w:t>
            </w:r>
          </w:p>
        </w:tc>
      </w:tr>
      <w:tr w:rsidR="00A4771B" w:rsidTr="005C5163">
        <w:trPr>
          <w:trHeight w:val="131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lastRenderedPageBreak/>
              <w:t>Discussion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21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Discuss the generalisability (external validity) of the study results</w:t>
            </w:r>
          </w:p>
        </w:tc>
        <w:tc>
          <w:tcPr>
            <w:tcW w:w="727" w:type="dxa"/>
          </w:tcPr>
          <w:p w:rsidR="00A4771B" w:rsidRDefault="00000000">
            <w:r>
              <w:t>16</w:t>
            </w:r>
          </w:p>
        </w:tc>
        <w:tc>
          <w:tcPr>
            <w:tcW w:w="4367" w:type="dxa"/>
          </w:tcPr>
          <w:p w:rsidR="00A4771B" w:rsidRDefault="00000000">
            <w:r>
              <w:t>"Dataset-level variation and generalization Performance varies between datasets for a given model and task, reﬂecting diﬀerent writing styles and note sizes across disease areas."</w:t>
            </w:r>
          </w:p>
        </w:tc>
      </w:tr>
      <w:tr w:rsidR="00A4771B" w:rsidTr="005C5163">
        <w:trPr>
          <w:trHeight w:val="703"/>
        </w:trPr>
        <w:tc>
          <w:tcPr>
            <w:tcW w:w="1101" w:type="dxa"/>
          </w:tcPr>
          <w:p w:rsidR="00A4771B" w:rsidRDefault="00000000">
            <w:r>
              <w:rPr>
                <w:sz w:val="18"/>
              </w:rPr>
              <w:t>Other information</w:t>
            </w:r>
          </w:p>
        </w:tc>
        <w:tc>
          <w:tcPr>
            <w:tcW w:w="708" w:type="dxa"/>
          </w:tcPr>
          <w:p w:rsidR="00A4771B" w:rsidRDefault="00000000">
            <w:r>
              <w:rPr>
                <w:sz w:val="18"/>
              </w:rPr>
              <w:t>22</w:t>
            </w:r>
          </w:p>
        </w:tc>
        <w:tc>
          <w:tcPr>
            <w:tcW w:w="1967" w:type="dxa"/>
          </w:tcPr>
          <w:p w:rsidR="00A4771B" w:rsidRDefault="00000000">
            <w:r>
              <w:rPr>
                <w:sz w:val="18"/>
              </w:rPr>
              <w:t>Give the source of funding and the role of the funders for the present study</w:t>
            </w:r>
          </w:p>
        </w:tc>
        <w:tc>
          <w:tcPr>
            <w:tcW w:w="727" w:type="dxa"/>
          </w:tcPr>
          <w:p w:rsidR="00A4771B" w:rsidRDefault="00000000">
            <w:r>
              <w:t>18</w:t>
            </w:r>
          </w:p>
        </w:tc>
        <w:tc>
          <w:tcPr>
            <w:tcW w:w="4367" w:type="dxa"/>
          </w:tcPr>
          <w:p w:rsidR="00A4771B" w:rsidRDefault="00000000">
            <w:r>
              <w:t>"Funding</w:t>
            </w:r>
            <w:r w:rsidR="005C5163">
              <w:t>.</w:t>
            </w:r>
            <w:r>
              <w:t xml:space="preserve"> This research received no speciﬁc grant from any funding agency in the public, commercial, or not-for-proﬁt sectors."</w:t>
            </w:r>
          </w:p>
        </w:tc>
      </w:tr>
    </w:tbl>
    <w:p w:rsidR="00C33F8F" w:rsidRDefault="00C33F8F"/>
    <w:sectPr w:rsidR="00C33F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083858">
    <w:abstractNumId w:val="8"/>
  </w:num>
  <w:num w:numId="2" w16cid:durableId="818689433">
    <w:abstractNumId w:val="6"/>
  </w:num>
  <w:num w:numId="3" w16cid:durableId="1957372151">
    <w:abstractNumId w:val="5"/>
  </w:num>
  <w:num w:numId="4" w16cid:durableId="1227304621">
    <w:abstractNumId w:val="4"/>
  </w:num>
  <w:num w:numId="5" w16cid:durableId="1003320942">
    <w:abstractNumId w:val="7"/>
  </w:num>
  <w:num w:numId="6" w16cid:durableId="307903028">
    <w:abstractNumId w:val="3"/>
  </w:num>
  <w:num w:numId="7" w16cid:durableId="304360049">
    <w:abstractNumId w:val="2"/>
  </w:num>
  <w:num w:numId="8" w16cid:durableId="421336929">
    <w:abstractNumId w:val="1"/>
  </w:num>
  <w:num w:numId="9" w16cid:durableId="114531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163"/>
    <w:rsid w:val="00A4771B"/>
    <w:rsid w:val="00AA1D8D"/>
    <w:rsid w:val="00B47730"/>
    <w:rsid w:val="00C33F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3715D"/>
  <w14:defaultImageDpi w14:val="300"/>
  <w15:docId w15:val="{1B72381C-F446-734A-A2C2-2EFC9C9DF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Zongxin Yang</cp:lastModifiedBy>
  <cp:revision>2</cp:revision>
  <dcterms:created xsi:type="dcterms:W3CDTF">2013-12-23T23:15:00Z</dcterms:created>
  <dcterms:modified xsi:type="dcterms:W3CDTF">2025-12-16T02:16:00Z</dcterms:modified>
  <cp:category/>
</cp:coreProperties>
</file>