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drawing>
          <wp:anchor distT="0" distB="0" distL="0" distR="0" simplePos="0" relativeHeight="11" behindDoc="1" locked="0" layoutInCell="1" allowOverlap="1">
            <wp:simplePos x="0" y="0"/>
            <wp:positionH relativeFrom="page">
              <wp:posOffset>0</wp:posOffset>
            </wp:positionH>
            <wp:positionV relativeFrom="page">
              <wp:posOffset>2540</wp:posOffset>
            </wp:positionV>
            <wp:extent cx="6842760" cy="9357360"/>
            <wp:effectExtent l="0" t="0" r="0" b="0"/>
            <wp:wrapNone/>
            <wp:docPr id="3" name="그림 %d 3"/>
            <wp:cNvGraphicFramePr/>
            <a:graphic>
              <a:graphicData uri="http://schemas.openxmlformats.org/drawingml/2006/picture">
                <pic:pic>
                  <pic:nvPicPr>
                    <pic:cNvPr id="0" name="C:\Users\user\AppData\Local\Temp\Hnc\BinData\EMB00007bb0b3f0.jpg"/>
                    <pic:cNvPicPr/>
                  </pic:nvPicPr>
                  <pic:blipFill>
                    <a:blip r:embed="rId1"/>
                    <a:stretch>
                      <a:fillRect/>
                    </a:stretch>
                  </pic:blipFill>
                  <pic:spPr>
                    <a:xfrm>
                      <a:off x="0" y="0"/>
                      <a:ext cx="6842760" cy="9357360"/>
                    </a:xfrm>
                    <a:prstGeom prst="rect">
                      <a:avLst/>
                    </a:prstGeom>
                    <a:effectLst/>
                  </pic:spPr>
                </pic:pic>
              </a:graphicData>
            </a:graphic>
          </wp:anchor>
        </w:drawing>
      </w:r>
    </w:p>
    <w:p>
      <w:pPr>
        <w:pStyle w:val="0"/>
        <w:widowControl w:val="off"/>
        <w:pBdr>
          <w:top w:val="none" w:color="000000" w:sz="2" w:space="1"/>
          <w:left w:val="none" w:color="000000" w:sz="2" w:space="4"/>
          <w:bottom w:val="none" w:color="000000" w:sz="2" w:space="1"/>
          <w:right w:val="none" w:color="000000" w:sz="2" w:space="4"/>
        </w:pBdr>
        <w:wordWrap w:val="1"/>
        <w:jc w:val="left"/>
      </w:pPr>
      <w:r>
        <w:rPr>
          <w:rFonts w:ascii="KoPubWorld돋움체 Bold"/>
          <w:color w:val="06004b"/>
          <w:shd w:val="clear" w:color="000000"/>
        </w:rPr>
        <w:t>www.ji.re.kr</w:t>
      </w:r>
    </w:p>
    <w:p>
      <w:pPr>
        <w:pStyle w:val="0"/>
        <w:widowControl w:val="off"/>
        <w:pBdr>
          <w:top w:val="none" w:color="000000" w:sz="2" w:space="1"/>
          <w:left w:val="none" w:color="000000" w:sz="2" w:space="4"/>
          <w:bottom w:val="none" w:color="000000" w:sz="2" w:space="1"/>
          <w:right w:val="none" w:color="000000" w:sz="2" w:space="4"/>
        </w:pBdr>
        <w:wordWrap w:val="1"/>
        <w:spacing w:line="312" w:lineRule="auto"/>
        <w:jc w:val="left"/>
      </w:pPr>
      <w:r>
        <w:rPr>
          <w:rFonts w:ascii="KoPubWorld돋움체 Bold" w:eastAsia="KoPubWorld돋움체 Bold"/>
          <w:b/>
          <w:color w:val="06004b"/>
          <w:sz w:val="54"/>
          <w:shd w:val="clear" w:color="000000"/>
        </w:rPr>
        <w:t>서귀포시 축제사업 성과평가 및 경제적 파급효과 분석 연구</w:t>
      </w:r>
    </w:p>
    <w:p>
      <w:pPr>
        <w:pStyle w:val="0"/>
        <w:widowControl w:val="off"/>
        <w:pBdr>
          <w:top w:val="none" w:color="000000" w:sz="2" w:space="1"/>
          <w:left w:val="none" w:color="000000" w:sz="2" w:space="4"/>
          <w:bottom w:val="none" w:color="000000" w:sz="2" w:space="1"/>
          <w:right w:val="none" w:color="000000" w:sz="2" w:space="4"/>
        </w:pBdr>
        <w:wordWrap w:val="1"/>
        <w:jc w:val="left"/>
      </w:pPr>
      <w:r>
        <w:rPr>
          <w:rFonts w:ascii="KoPub돋움체 Medium" w:eastAsia="KoPub돋움체 Medium"/>
          <w:color w:val="06004b"/>
          <w:sz w:val="50"/>
          <w:shd w:val="clear" w:color="000000"/>
        </w:rPr>
        <w:t>: 부제목</w:t>
      </w:r>
    </w:p>
    <w:p>
      <w:pPr>
        <w:pStyle w:val="0"/>
        <w:widowControl w:val="off"/>
        <w:rPr/>
      </w:pPr>
    </w:p>
    <w:p>
      <w:pPr>
        <w:pStyle w:val="0"/>
        <w:widowControl w:val="off"/>
        <w:rPr/>
      </w:pPr>
    </w:p>
    <w:p>
      <w:pPr>
        <w:pStyle w:val="0"/>
        <w:widowControl w:val="off"/>
        <w:rPr/>
      </w:pPr>
    </w:p>
    <w:p>
      <w:pPr>
        <w:pStyle w:val="0"/>
        <w:widowControl w:val="off"/>
        <w:pBdr>
          <w:top w:val="none" w:color="000000" w:sz="2" w:space="1"/>
          <w:left w:val="none" w:color="000000" w:sz="2" w:space="4"/>
          <w:bottom w:val="none" w:color="000000" w:sz="2" w:space="1"/>
          <w:right w:val="none" w:color="000000" w:sz="2" w:space="4"/>
        </w:pBdr>
        <w:wordWrap w:val="1"/>
        <w:spacing w:line="240" w:lineRule="auto"/>
        <w:jc w:val="left"/>
        <w:rPr>
          <w:rFonts w:ascii="Noto Sans KR Medium" w:eastAsia="Noto Sans KR Medium"/>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jc w:val="left"/>
        <w:sectPr>
          <w:footnotePr>
            <w:numFmt w:val="decimal"/>
            <w:numRestart w:val="continuous"/>
          </w:footnotePr>
          <w:endnotePr>
            <w:pos w:val="docEnd"/>
            <w:numFmt w:val="decimal"/>
            <w:numRestart w:val="continuous"/>
          </w:endnotePr>
          <w:pgSz w:w="10772" w:h="14740"/>
          <w:pgMar w:top="1134" w:right="1701" w:bottom="850" w:left="1701" w:header="1134" w:footer="850" w:gutter="0"/>
          <w:cols w:space="0"/>
        </w:sectPr>
      </w:pPr>
      <w:r>
        <w:rPr>
          <w:rFonts w:ascii="KoPubWorld돋움체 Bold" w:eastAsia="KoPubWorld돋움체 Bold"/>
          <w:color w:val="06004b"/>
          <w:sz w:val="28"/>
          <w:shd w:val="clear" w:color="000000"/>
        </w:rPr>
        <w:t>정책연구 2026-00</w:t>
      </w:r>
    </w:p>
    <w:p>
      <w:pPr>
        <w:pStyle w:val="0"/>
        <w:widowControl w:val="off"/>
      </w:pPr>
    </w:p>
    <w:p>
      <w:pPr>
        <w:pStyle w:val="0"/>
        <w:widowControl w:val="off"/>
        <w:rPr/>
      </w:pPr>
    </w:p>
    <w:p>
      <w:pPr>
        <w:pStyle w:val="0"/>
        <w:widowControl w:val="off"/>
        <w:rPr>
          <w:rFonts w:ascii="Tmon몬소리 Black" w:eastAsia="Tmon몬소리 Black"/>
          <w:color w:val="ffffff"/>
          <w:sz w:val="60"/>
        </w:rPr>
      </w:pPr>
    </w:p>
    <w:p>
      <w:pPr>
        <w:pStyle w:val="0"/>
        <w:widowControl w:val="off"/>
        <w:rPr/>
      </w:pPr>
    </w:p>
    <w:p>
      <w:pPr>
        <w:pStyle w:val="0"/>
        <w:widowControl w:val="off"/>
        <w:rPr/>
      </w:pPr>
    </w:p>
    <w:p>
      <w:pPr>
        <w:pStyle w:val="0"/>
        <w:widowControl w:val="off"/>
        <w:tabs>
          <w:tab w:val="right" w:leader="none" w:pos="7272"/>
        </w:tabs>
        <w:spacing w:line="420" w:lineRule="auto"/>
        <w:ind w:left="1120"/>
      </w:pPr>
      <w:r>
        <w:rPr>
          <w:rFonts w:eastAsia="KoPub돋움체 Bold"/>
          <w:sz w:val="24"/>
        </w:rPr>
        <w:t>요약</w:t>
      </w:r>
      <w:r>
        <w:tab/>
        <w:rPr>
          <w:rFonts w:ascii="KoPub돋움체 Bold"/>
          <w:sz w:val="24"/>
        </w:rPr>
        <w:t>ⅰ</w:t>
      </w:r>
    </w:p>
    <w:p>
      <w:pPr>
        <w:pStyle w:val="0"/>
        <w:widowControl w:val="off"/>
        <w:spacing w:line="420" w:lineRule="auto"/>
        <w:rPr/>
      </w:pPr>
    </w:p>
    <w:p>
      <w:pPr>
        <w:pStyle w:val="0"/>
        <w:widowControl w:val="off"/>
        <w:spacing w:line="420" w:lineRule="auto"/>
      </w:pPr>
      <w:r>
        <w:pict>
          <v:line from="0.00pt, 0.00pt" to="368.50pt, 0.01pt" id="_x2112663343" style="v-text-anchor:top;mso-wrap-style:square;" o:hralign="left" o:allowincell="f" o:insetmode="custom" strokecolor="#ffffff" strokeweight="0.56pt" o:connectortype="straight">
            <wvml:wrap type="topAndBottom"/>
            <v:stroke/>
          </v:line>
        </w:pict>
      </w:r>
    </w:p>
    <w:p>
      <w:pPr>
        <w:pStyle w:val="0"/>
        <w:widowControl w:val="off"/>
        <w:tabs>
          <w:tab w:val="right" w:leader="none" w:pos="7272"/>
        </w:tabs>
        <w:spacing w:line="420" w:lineRule="auto"/>
        <w:ind w:left="1120"/>
      </w:pPr>
      <w:r>
        <w:rPr>
          <w:rFonts w:ascii="KoPub돋움체 Bold"/>
          <w:sz w:val="24"/>
        </w:rPr>
        <w:t>Ⅰ</w:t>
      </w:r>
      <w:r>
        <w:rPr>
          <w:rFonts w:ascii="KoPub돋움체 Bold" w:eastAsia="KoPub돋움체 Bold"/>
          <w:sz w:val="24"/>
        </w:rPr>
        <w:t>. 세계경제 전망</w:t>
      </w:r>
      <w:r>
        <w:tab/>
        <w:rPr>
          <w:rFonts w:ascii="KoPub돋움체 Bold"/>
          <w:sz w:val="24"/>
        </w:rPr>
        <w:t>2</w:t>
      </w:r>
    </w:p>
    <w:p>
      <w:pPr>
        <w:pStyle w:val="0"/>
        <w:widowControl w:val="off"/>
        <w:tabs>
          <w:tab w:val="right" w:leader="none" w:pos="7272"/>
        </w:tabs>
        <w:spacing w:line="420" w:lineRule="auto"/>
        <w:ind w:left="1520"/>
      </w:pPr>
      <w:r>
        <w:rPr>
          <w:rFonts w:ascii="KoPub돋움체 Bold" w:eastAsia="KoPub돋움체 Bold"/>
        </w:rPr>
        <w:t>1. The Economist ‘The World Ahead 2026’ 주요 전망</w:t>
      </w:r>
      <w:r>
        <w:tab/>
        <w:rPr>
          <w:rFonts w:ascii="KoPub돋움체 Bold"/>
        </w:rPr>
        <w:t>2</w:t>
      </w:r>
    </w:p>
    <w:p>
      <w:pPr>
        <w:pStyle w:val="0"/>
        <w:widowControl w:val="off"/>
        <w:tabs>
          <w:tab w:val="right" w:leader="none" w:pos="7272"/>
        </w:tabs>
        <w:spacing w:line="420" w:lineRule="auto"/>
        <w:ind w:left="1520"/>
      </w:pPr>
      <w:r>
        <w:rPr>
          <w:rFonts w:ascii="KoPub돋움체 Bold" w:eastAsia="KoPub돋움체 Bold"/>
        </w:rPr>
        <w:t>2. 주요 기관별 세계경제 전망</w:t>
      </w:r>
      <w:r>
        <w:tab/>
        <w:rPr>
          <w:rFonts w:ascii="KoPub돋움체 Bold"/>
        </w:rPr>
        <w:t>4</w:t>
      </w:r>
    </w:p>
    <w:p>
      <w:pPr>
        <w:pStyle w:val="0"/>
        <w:widowControl w:val="off"/>
        <w:tabs>
          <w:tab w:val="right" w:leader="none" w:pos="7272"/>
        </w:tabs>
        <w:spacing w:line="420" w:lineRule="auto"/>
        <w:ind w:left="1760"/>
      </w:pPr>
      <w:r>
        <w:rPr>
          <w:rFonts w:ascii="KoPub돋움체 Medium" w:eastAsia="KoPub돋움체 Medium"/>
        </w:rPr>
        <w:t>1) 세계 GDP 전망</w:t>
      </w:r>
      <w:r>
        <w:tab/>
        <w:rPr>
          <w:rFonts w:ascii="KoPub돋움체 Bold"/>
        </w:rPr>
        <w:t>4</w:t>
      </w:r>
    </w:p>
    <w:p>
      <w:pPr>
        <w:pStyle w:val="0"/>
        <w:widowControl w:val="off"/>
        <w:tabs>
          <w:tab w:val="right" w:leader="none" w:pos="7272"/>
        </w:tabs>
        <w:spacing w:line="420" w:lineRule="auto"/>
        <w:ind w:left="1760"/>
      </w:pPr>
      <w:r>
        <w:rPr>
          <w:rFonts w:ascii="KoPub돋움체 Medium" w:eastAsia="KoPub돋움체 Medium"/>
        </w:rPr>
        <w:t>2) 주요 국가별 GDP 전망</w:t>
      </w:r>
      <w:r>
        <w:tab/>
        <w:rPr>
          <w:rFonts w:ascii="KoPub돋움체 Bold"/>
        </w:rPr>
        <w:t>5</w:t>
      </w:r>
    </w:p>
    <w:p>
      <w:pPr>
        <w:pStyle w:val="0"/>
        <w:widowControl w:val="off"/>
        <w:tabs>
          <w:tab w:val="right" w:leader="none" w:pos="7272"/>
        </w:tabs>
        <w:spacing w:line="420" w:lineRule="auto"/>
        <w:ind w:left="1520"/>
      </w:pPr>
      <w:r>
        <w:rPr>
          <w:rFonts w:ascii="KoPub돋움체 Bold" w:eastAsia="KoPub돋움체 Bold"/>
        </w:rPr>
        <w:t>3. 주요 이슈 및 리스크</w:t>
      </w:r>
      <w:r>
        <w:tab/>
        <w:rPr>
          <w:rFonts w:ascii="KoPub돋움체 Bold"/>
        </w:rPr>
        <w:t>6</w:t>
      </w:r>
    </w:p>
    <w:p>
      <w:pPr>
        <w:pStyle w:val="0"/>
        <w:widowControl w:val="off"/>
        <w:tabs>
          <w:tab w:val="right" w:leader="none" w:pos="7272"/>
        </w:tabs>
        <w:spacing w:line="420" w:lineRule="auto"/>
        <w:ind w:left="1760"/>
      </w:pPr>
      <w:r>
        <w:rPr>
          <w:rFonts w:ascii="KoPub돋움체 Medium" w:eastAsia="KoPub돋움체 Medium"/>
        </w:rPr>
        <w:t>1) 주요 이슈 및 트렌드</w:t>
      </w:r>
      <w:r>
        <w:tab/>
        <w:rPr>
          <w:rFonts w:ascii="KoPub돋움체 Bold"/>
        </w:rPr>
        <w:t>6</w:t>
      </w:r>
    </w:p>
    <w:p>
      <w:pPr>
        <w:pStyle w:val="0"/>
        <w:widowControl w:val="off"/>
        <w:tabs>
          <w:tab w:val="right" w:leader="none" w:pos="7272"/>
        </w:tabs>
        <w:spacing w:line="420" w:lineRule="auto"/>
        <w:ind w:left="1760"/>
      </w:pPr>
      <w:r>
        <w:rPr>
          <w:rFonts w:ascii="KoPub돋움체 Medium" w:eastAsia="KoPub돋움체 Medium"/>
        </w:rPr>
        <w:t>2) 주요 위협 및 리스크</w:t>
      </w:r>
      <w:r>
        <w:tab/>
        <w:rPr>
          <w:rFonts w:ascii="KoPub돋움체 Bold"/>
        </w:rPr>
        <w:t>9</w:t>
      </w:r>
    </w:p>
    <w:p>
      <w:pPr>
        <w:pStyle w:val="0"/>
        <w:widowControl w:val="off"/>
        <w:rPr/>
      </w:pPr>
    </w:p>
    <w:p>
      <w:pPr>
        <w:pStyle w:val="0"/>
        <w:widowControl w:val="off"/>
        <w:spacing w:after="60" w:line="420"/>
      </w:pPr>
      <w:r>
        <w:pict>
          <v:line from="0.00pt, 0.00pt" to="368.50pt, 0.01pt" id="_x2112663347" style="v-text-anchor:top;mso-wrap-style:square;" o:hralign="left" o:allowincell="f" o:insetmode="custom" strokecolor="#ffffff" strokeweight="0.56pt" o:connectortype="straight">
            <wvml:wrap type="topAndBottom"/>
            <v:stroke/>
          </v:line>
        </w:pict>
      </w:r>
    </w:p>
    <w:p>
      <w:pPr>
        <w:pStyle w:val="0"/>
        <w:widowControl w:val="off"/>
        <w:tabs>
          <w:tab w:val="right" w:leader="none" w:pos="7272"/>
        </w:tabs>
        <w:spacing w:line="420" w:lineRule="auto"/>
        <w:ind w:left="1120"/>
      </w:pPr>
      <w:r>
        <w:rPr>
          <w:rFonts w:ascii="KoPub돋움체 Bold"/>
          <w:sz w:val="24"/>
        </w:rPr>
        <w:t>Ⅱ</w:t>
      </w:r>
      <w:r>
        <w:rPr>
          <w:rFonts w:ascii="KoPub돋움체 Bold" w:eastAsia="KoPub돋움체 Bold"/>
          <w:sz w:val="24"/>
        </w:rPr>
        <w:t>. 국내경제 전망</w:t>
      </w:r>
      <w:r>
        <w:tab/>
        <w:rPr>
          <w:rFonts w:ascii="KoPub돋움체 Bold"/>
          <w:sz w:val="24"/>
        </w:rPr>
        <w:t>12</w:t>
      </w:r>
    </w:p>
    <w:p>
      <w:pPr>
        <w:pStyle w:val="0"/>
        <w:widowControl w:val="off"/>
        <w:tabs>
          <w:tab w:val="right" w:leader="none" w:pos="7272"/>
        </w:tabs>
        <w:spacing w:line="420" w:lineRule="auto"/>
        <w:ind w:left="1520"/>
      </w:pPr>
      <w:r>
        <w:rPr>
          <w:rFonts w:ascii="KoPub돋움체 Bold" w:eastAsia="KoPub돋움체 Bold"/>
        </w:rPr>
        <w:t>1. 국내경제 동향(2021~2025년)</w:t>
      </w:r>
      <w:r>
        <w:tab/>
        <w:rPr>
          <w:rFonts w:ascii="KoPub돋움체 Bold"/>
        </w:rPr>
        <w:t>12</w:t>
      </w:r>
    </w:p>
    <w:p>
      <w:pPr>
        <w:pStyle w:val="0"/>
        <w:widowControl w:val="off"/>
        <w:tabs>
          <w:tab w:val="right" w:leader="none" w:pos="7272"/>
        </w:tabs>
        <w:spacing w:line="420" w:lineRule="auto"/>
        <w:ind w:left="1520"/>
      </w:pPr>
      <w:r>
        <w:rPr>
          <w:rFonts w:ascii="KoPub돋움체 Bold" w:eastAsia="KoPub돋움체 Bold"/>
        </w:rPr>
        <w:t>2. 주요 기관별 국내경제 전망</w:t>
      </w:r>
      <w:r>
        <w:tab/>
        <w:rPr>
          <w:rFonts w:ascii="KoPub돋움체 Bold"/>
        </w:rPr>
        <w:t>14</w:t>
      </w:r>
    </w:p>
    <w:p>
      <w:pPr>
        <w:pStyle w:val="0"/>
        <w:widowControl w:val="off"/>
        <w:tabs>
          <w:tab w:val="right" w:leader="none" w:pos="7272"/>
        </w:tabs>
        <w:spacing w:line="420" w:lineRule="auto"/>
        <w:ind w:left="1760"/>
      </w:pPr>
      <w:r>
        <w:rPr>
          <w:rFonts w:ascii="KoPub돋움체 Medium" w:eastAsia="KoPub돋움체 Medium"/>
        </w:rPr>
        <w:t>1) 기관별 경제성장률 전망 비교 종합</w:t>
      </w:r>
      <w:r>
        <w:tab/>
        <w:rPr>
          <w:rFonts w:ascii="KoPub돋움체 Medium"/>
        </w:rPr>
        <w:t>14</w:t>
      </w:r>
    </w:p>
    <w:p>
      <w:pPr>
        <w:pStyle w:val="0"/>
        <w:widowControl w:val="off"/>
        <w:tabs>
          <w:tab w:val="right" w:leader="none" w:pos="7272"/>
        </w:tabs>
        <w:spacing w:line="420" w:lineRule="auto"/>
        <w:ind w:left="1760"/>
      </w:pPr>
      <w:r>
        <w:rPr>
          <w:rFonts w:ascii="KoPub돋움체 Medium" w:eastAsia="KoPub돋움체 Medium"/>
        </w:rPr>
        <w:t>2) 주요 기관의 부문별 세부 전망</w:t>
      </w:r>
      <w:r>
        <w:tab/>
        <w:rPr>
          <w:rFonts w:ascii="KoPub돋움체 Medium"/>
        </w:rPr>
        <w:t>15</w:t>
      </w:r>
    </w:p>
    <w:p>
      <w:pPr>
        <w:pStyle w:val="0"/>
        <w:widowControl w:val="off"/>
        <w:tabs>
          <w:tab w:val="right" w:leader="none" w:pos="7272"/>
        </w:tabs>
        <w:spacing w:line="420" w:lineRule="auto"/>
        <w:ind w:left="1520"/>
      </w:pPr>
      <w:r>
        <w:rPr>
          <w:rFonts w:ascii="KoPub돋움체 Bold" w:eastAsia="KoPub돋움체 Bold"/>
        </w:rPr>
        <w:t>3. 국내 주요 산업별 전망 기상도</w:t>
      </w:r>
      <w:r>
        <w:tab/>
        <w:rPr>
          <w:rFonts w:ascii="KoPub돋움체 Bold"/>
        </w:rPr>
        <w:t>18</w:t>
      </w:r>
    </w:p>
    <w:p>
      <w:pPr>
        <w:pStyle w:val="0"/>
        <w:widowControl w:val="off"/>
        <w:tabs>
          <w:tab w:val="right" w:leader="none" w:pos="7272"/>
        </w:tabs>
        <w:spacing w:line="420" w:lineRule="auto"/>
        <w:ind w:left="1760"/>
      </w:pPr>
      <w:r>
        <w:rPr>
          <w:rFonts w:ascii="KoPub돋움체 Medium" w:eastAsia="KoPub돋움체 Medium"/>
        </w:rPr>
        <w:t>1) 성장 지속 산업</w:t>
      </w:r>
      <w:r>
        <w:tab/>
        <w:rPr>
          <w:rFonts w:ascii="KoPub돋움체 Medium"/>
        </w:rPr>
        <w:t>19</w:t>
      </w:r>
    </w:p>
    <w:p>
      <w:pPr>
        <w:pStyle w:val="0"/>
        <w:widowControl w:val="off"/>
        <w:tabs>
          <w:tab w:val="right" w:leader="none" w:pos="7272"/>
        </w:tabs>
        <w:spacing w:line="420" w:lineRule="auto"/>
        <w:ind w:left="1760"/>
      </w:pPr>
      <w:r>
        <w:rPr>
          <w:rFonts w:ascii="KoPub돋움체 Medium" w:eastAsia="KoPub돋움체 Medium"/>
        </w:rPr>
        <w:t>2) 회복 진입 산업</w:t>
      </w:r>
      <w:r>
        <w:tab/>
        <w:rPr>
          <w:rFonts w:ascii="KoPub돋움체 Medium"/>
        </w:rPr>
        <w:t>20</w:t>
      </w:r>
    </w:p>
    <w:p>
      <w:pPr>
        <w:pStyle w:val="0"/>
        <w:widowControl w:val="off"/>
        <w:tabs>
          <w:tab w:val="right" w:leader="none" w:pos="7272"/>
        </w:tabs>
        <w:spacing w:line="420" w:lineRule="auto"/>
        <w:ind w:left="1760"/>
      </w:pPr>
      <w:r>
        <w:rPr>
          <w:rFonts w:ascii="KoPub돋움체 Medium" w:eastAsia="KoPub돋움체 Medium"/>
        </w:rPr>
        <w:t>3) 정체</w:t>
      </w:r>
      <w:r>
        <w:rPr>
          <w:rFonts w:ascii="KoPub돋움체 Medium" w:eastAsia="KoPub돋움체 Medium"/>
        </w:rPr>
        <w:t>‧침체</w:t>
      </w:r>
      <w:r>
        <w:rPr>
          <w:rFonts w:ascii="KoPub돋움체 Medium" w:eastAsia="KoPub돋움체 Medium"/>
        </w:rPr>
        <w:t xml:space="preserve"> 산업</w:t>
      </w:r>
      <w:r>
        <w:tab/>
        <w:rPr>
          <w:rFonts w:ascii="KoPub돋움체 Medium"/>
        </w:rPr>
        <w:t>20</w:t>
      </w:r>
    </w:p>
    <w:p>
      <w:pPr>
        <w:pStyle w:val="0"/>
        <w:widowControl w:val="off"/>
        <w:rPr/>
      </w:pPr>
    </w:p>
    <w:p>
      <w:pPr>
        <w:pStyle w:val="0"/>
        <w:widowControl w:val="off"/>
        <w:spacing w:after="60"/>
      </w:pPr>
      <w:r>
        <w:pict>
          <v:line from="0.00pt, 0.00pt" to="368.50pt, 0.01pt" id="_x2112663351" style="v-text-anchor:top;mso-wrap-style:square;" o:hralign="left" o:allowincell="f" o:insetmode="custom" strokecolor="#ffffff" strokeweight="0.56pt" o:connectortype="straight">
            <wvml:wrap type="topAndBottom"/>
            <v:stroke/>
          </v:line>
        </w:pict>
      </w:r>
    </w:p>
    <w:p>
      <w:pPr>
        <w:pStyle w:val="0"/>
        <w:widowControl w:val="off"/>
        <w:tabs>
          <w:tab w:val="right" w:leader="none" w:pos="7272"/>
        </w:tabs>
        <w:spacing w:line="420" w:lineRule="auto"/>
        <w:ind w:left="1120"/>
      </w:pPr>
      <w:r>
        <w:rPr>
          <w:rFonts w:ascii="KoPub돋움체 Bold"/>
          <w:sz w:val="24"/>
        </w:rPr>
        <w:t>Ⅲ</w:t>
      </w:r>
      <w:r>
        <w:rPr>
          <w:rFonts w:ascii="KoPub돋움체 Bold" w:eastAsia="KoPub돋움체 Bold"/>
          <w:sz w:val="24"/>
        </w:rPr>
        <w:t>. 제주경제 전망</w:t>
      </w:r>
      <w:r>
        <w:tab/>
        <w:rPr>
          <w:rFonts w:ascii="KoPub돋움체 Bold"/>
          <w:sz w:val="24"/>
        </w:rPr>
        <w:t>22</w:t>
      </w:r>
    </w:p>
    <w:p>
      <w:pPr>
        <w:pStyle w:val="0"/>
        <w:widowControl w:val="off"/>
        <w:tabs>
          <w:tab w:val="right" w:leader="none" w:pos="7272"/>
        </w:tabs>
        <w:spacing w:line="420" w:lineRule="auto"/>
        <w:ind w:left="1520"/>
      </w:pPr>
      <w:r>
        <w:rPr>
          <w:rFonts w:ascii="KoPub돋움체 Bold" w:eastAsia="KoPub돋움체 Bold"/>
        </w:rPr>
        <w:t>1. 제주 경제구조와 기업 활동</w:t>
      </w:r>
      <w:r>
        <w:tab/>
        <w:rPr>
          <w:rFonts w:ascii="KoPub돋움체 Bold"/>
        </w:rPr>
        <w:t>22</w:t>
      </w:r>
    </w:p>
    <w:p>
      <w:pPr>
        <w:pStyle w:val="0"/>
        <w:widowControl w:val="off"/>
        <w:tabs>
          <w:tab w:val="right" w:leader="none" w:pos="7272"/>
        </w:tabs>
        <w:spacing w:line="420" w:lineRule="auto"/>
        <w:ind w:left="1760"/>
      </w:pPr>
      <w:r>
        <w:rPr>
          <w:rFonts w:ascii="KoPub돋움체 Medium" w:eastAsia="KoPub돋움체 Medium"/>
        </w:rPr>
        <w:t>1) GRDP 및 산업구조</w:t>
      </w:r>
      <w:r>
        <w:tab/>
        <w:rPr>
          <w:rFonts w:ascii="KoPub돋움체 Medium"/>
        </w:rPr>
        <w:t>22</w:t>
      </w:r>
    </w:p>
    <w:p>
      <w:pPr>
        <w:pStyle w:val="0"/>
        <w:widowControl w:val="off"/>
        <w:tabs>
          <w:tab w:val="right" w:leader="none" w:pos="7272"/>
        </w:tabs>
        <w:spacing w:line="420" w:lineRule="auto"/>
        <w:ind w:left="1760"/>
      </w:pPr>
      <w:r>
        <w:rPr>
          <w:rFonts w:ascii="KoPub돋움체 Medium" w:eastAsia="KoPub돋움체 Medium"/>
        </w:rPr>
        <w:t>2) 제주 기업 활동 동향</w:t>
      </w:r>
      <w:r>
        <w:tab/>
        <w:rPr>
          <w:rFonts w:ascii="KoPub돋움체 Medium"/>
        </w:rPr>
        <w:t>27</w:t>
      </w:r>
    </w:p>
    <w:p>
      <w:r>
        <w:br w:type="page"/>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spacing w:line="144" w:lineRule="auto"/>
        <w:rPr/>
      </w:pPr>
    </w:p>
    <w:p>
      <w:pPr>
        <w:pStyle w:val="0"/>
        <w:widowControl w:val="off"/>
        <w:rPr/>
      </w:pPr>
    </w:p>
    <w:p>
      <w:pPr>
        <w:pStyle w:val="0"/>
        <w:widowControl w:val="off"/>
        <w:rPr/>
      </w:pPr>
    </w:p>
    <w:p>
      <w:pPr>
        <w:pStyle w:val="0"/>
        <w:widowControl w:val="off"/>
        <w:tabs>
          <w:tab w:val="right" w:leader="none" w:pos="7272"/>
        </w:tabs>
        <w:spacing w:line="420" w:lineRule="auto"/>
        <w:ind w:left="1520"/>
      </w:pPr>
      <w:r>
        <w:rPr>
          <w:rFonts w:ascii="KoPub돋움체 Bold" w:eastAsia="KoPub돋움체 Bold"/>
        </w:rPr>
        <w:t>2. 주요 지표 동향 및 전망</w:t>
      </w:r>
      <w:r>
        <w:tab/>
        <w:rPr>
          <w:rFonts w:ascii="KoPub돋움체 Bold"/>
        </w:rPr>
        <w:t xml:space="preserve">31 </w:t>
      </w:r>
    </w:p>
    <w:p>
      <w:pPr>
        <w:pStyle w:val="0"/>
        <w:widowControl w:val="off"/>
        <w:tabs>
          <w:tab w:val="right" w:leader="none" w:pos="7272"/>
        </w:tabs>
        <w:spacing w:line="420" w:lineRule="auto"/>
        <w:ind w:left="1760"/>
      </w:pPr>
      <w:r>
        <w:rPr>
          <w:rFonts w:ascii="KoPub돋움체 Medium" w:eastAsia="KoPub돋움체 Medium"/>
        </w:rPr>
        <w:t>1) 인구 및 고용</w:t>
      </w:r>
      <w:r>
        <w:tab/>
        <w:rPr>
          <w:rFonts w:ascii="KoPub돋움체 Medium"/>
        </w:rPr>
        <w:t>31</w:t>
      </w:r>
    </w:p>
    <w:p>
      <w:pPr>
        <w:pStyle w:val="0"/>
        <w:widowControl w:val="off"/>
        <w:tabs>
          <w:tab w:val="right" w:leader="none" w:pos="7272"/>
        </w:tabs>
        <w:spacing w:line="420" w:lineRule="auto"/>
        <w:ind w:left="1760"/>
      </w:pPr>
      <w:r>
        <w:rPr>
          <w:rFonts w:ascii="KoPub돋움체 Medium" w:eastAsia="KoPub돋움체 Medium"/>
        </w:rPr>
        <w:t>2) 소비 및 물가</w:t>
      </w:r>
      <w:r>
        <w:tab/>
        <w:rPr>
          <w:rFonts w:ascii="KoPub돋움체 Medium"/>
        </w:rPr>
        <w:t>34</w:t>
      </w:r>
    </w:p>
    <w:p>
      <w:pPr>
        <w:pStyle w:val="0"/>
        <w:widowControl w:val="off"/>
        <w:tabs>
          <w:tab w:val="right" w:leader="none" w:pos="7272"/>
        </w:tabs>
        <w:spacing w:line="420" w:lineRule="auto"/>
        <w:ind w:left="1760"/>
      </w:pPr>
      <w:r>
        <w:rPr>
          <w:rFonts w:ascii="KoPub돋움체 Medium" w:eastAsia="KoPub돋움체 Medium"/>
        </w:rPr>
        <w:t>3) 금융 및 투자</w:t>
      </w:r>
      <w:r>
        <w:tab/>
        <w:rPr>
          <w:rFonts w:ascii="KoPub돋움체 Medium"/>
        </w:rPr>
        <w:t>38</w:t>
      </w:r>
    </w:p>
    <w:p>
      <w:pPr>
        <w:pStyle w:val="0"/>
        <w:widowControl w:val="off"/>
        <w:tabs>
          <w:tab w:val="right" w:leader="none" w:pos="7272"/>
        </w:tabs>
        <w:spacing w:line="420" w:lineRule="auto"/>
        <w:ind w:left="1760"/>
      </w:pPr>
      <w:r>
        <w:rPr>
          <w:rFonts w:ascii="KoPub돋움체 Medium" w:eastAsia="KoPub돋움체 Medium"/>
        </w:rPr>
        <w:t>4) 관광</w:t>
      </w:r>
      <w:r>
        <w:tab/>
        <w:rPr>
          <w:rFonts w:ascii="KoPub돋움체 Medium"/>
        </w:rPr>
        <w:t>42</w:t>
      </w:r>
    </w:p>
    <w:p>
      <w:pPr>
        <w:pStyle w:val="0"/>
        <w:widowControl w:val="off"/>
        <w:tabs>
          <w:tab w:val="right" w:leader="none" w:pos="7272"/>
        </w:tabs>
        <w:spacing w:line="420" w:lineRule="auto"/>
        <w:ind w:left="1520"/>
      </w:pPr>
      <w:r>
        <w:rPr>
          <w:rFonts w:ascii="KoPub돋움체 Bold" w:eastAsia="KoPub돋움체 Bold"/>
        </w:rPr>
        <w:t>3. 주요 산업 동향 및 전망</w:t>
      </w:r>
      <w:r>
        <w:tab/>
        <w:rPr>
          <w:rFonts w:ascii="KoPub돋움체 Bold"/>
        </w:rPr>
        <w:t>47</w:t>
      </w:r>
    </w:p>
    <w:p>
      <w:pPr>
        <w:pStyle w:val="0"/>
        <w:widowControl w:val="off"/>
        <w:tabs>
          <w:tab w:val="right" w:leader="none" w:pos="7272"/>
        </w:tabs>
        <w:spacing w:line="420" w:lineRule="auto"/>
        <w:ind w:left="1760"/>
      </w:pPr>
      <w:r>
        <w:rPr>
          <w:rFonts w:ascii="KoPub돋움체 Medium" w:eastAsia="KoPub돋움체 Medium"/>
        </w:rPr>
        <w:t>1) 1차산업</w:t>
      </w:r>
      <w:r>
        <w:tab/>
        <w:rPr>
          <w:rFonts w:ascii="KoPub돋움체 Medium"/>
        </w:rPr>
        <w:t>47</w:t>
      </w:r>
    </w:p>
    <w:p>
      <w:pPr>
        <w:pStyle w:val="0"/>
        <w:widowControl w:val="off"/>
        <w:tabs>
          <w:tab w:val="right" w:leader="none" w:pos="7272"/>
        </w:tabs>
        <w:spacing w:line="420" w:lineRule="auto"/>
        <w:ind w:left="1760"/>
      </w:pPr>
      <w:r>
        <w:rPr>
          <w:rFonts w:ascii="KoPub돋움체 Medium" w:eastAsia="KoPub돋움체 Medium"/>
        </w:rPr>
        <w:t>2) 제조업</w:t>
      </w:r>
      <w:r>
        <w:tab/>
        <w:rPr>
          <w:rFonts w:ascii="KoPub돋움체 Medium"/>
        </w:rPr>
        <w:t>50</w:t>
      </w:r>
    </w:p>
    <w:p>
      <w:pPr>
        <w:pStyle w:val="0"/>
        <w:widowControl w:val="off"/>
        <w:tabs>
          <w:tab w:val="right" w:leader="none" w:pos="7272"/>
        </w:tabs>
        <w:spacing w:line="420" w:lineRule="auto"/>
        <w:ind w:left="1760"/>
      </w:pPr>
      <w:r>
        <w:rPr>
          <w:rFonts w:ascii="KoPub돋움체 Medium" w:eastAsia="KoPub돋움체 Medium"/>
        </w:rPr>
        <w:t>3) 건설업</w:t>
      </w:r>
      <w:r>
        <w:tab/>
        <w:rPr>
          <w:rFonts w:ascii="KoPub돋움체 Medium"/>
        </w:rPr>
        <w:t>53</w:t>
      </w:r>
    </w:p>
    <w:p>
      <w:pPr>
        <w:pStyle w:val="0"/>
        <w:widowControl w:val="off"/>
        <w:tabs>
          <w:tab w:val="right" w:leader="none" w:pos="7272"/>
        </w:tabs>
        <w:spacing w:line="420" w:lineRule="auto"/>
        <w:ind w:left="1760"/>
      </w:pPr>
      <w:r>
        <w:rPr>
          <w:rFonts w:ascii="KoPub돋움체 Medium" w:eastAsia="KoPub돋움체 Medium"/>
        </w:rPr>
        <w:t>4) 서비스업</w:t>
      </w:r>
      <w:r>
        <w:tab/>
        <w:rPr>
          <w:rFonts w:ascii="KoPub돋움체 Medium"/>
        </w:rPr>
        <w:t>55</w:t>
      </w:r>
    </w:p>
    <w:p>
      <w:pPr>
        <w:pStyle w:val="0"/>
        <w:widowControl w:val="off"/>
        <w:tabs>
          <w:tab w:val="right" w:leader="none" w:pos="7272"/>
        </w:tabs>
        <w:spacing w:line="420" w:lineRule="auto"/>
        <w:ind w:left="1760"/>
      </w:pPr>
      <w:r>
        <w:rPr>
          <w:rFonts w:ascii="KoPub돋움체 Medium" w:eastAsia="KoPub돋움체 Medium"/>
        </w:rPr>
        <w:t>5) 미래산업</w:t>
      </w:r>
      <w:r>
        <w:tab/>
        <w:rPr>
          <w:rFonts w:ascii="KoPub돋움체 Medium"/>
        </w:rPr>
        <w:t>59</w:t>
      </w:r>
    </w:p>
    <w:p>
      <w:pPr>
        <w:pStyle w:val="0"/>
        <w:widowControl w:val="off"/>
        <w:rPr/>
      </w:pPr>
    </w:p>
    <w:p>
      <w:pPr>
        <w:pStyle w:val="0"/>
        <w:widowControl w:val="off"/>
      </w:pPr>
      <w:r>
        <w:pict>
          <v:line from="0.00pt, 0.00pt" to="368.50pt, 0.01pt" id="_x2112663403" style="v-text-anchor:top;mso-wrap-style:square;" o:hralign="left" o:allowincell="f" o:insetmode="custom" strokecolor="#ffffff" strokeweight="0.56pt" o:connectortype="straight">
            <wvml:wrap type="topAndBottom"/>
            <v:stroke/>
          </v:line>
        </w:pict>
      </w:r>
    </w:p>
    <w:p>
      <w:pPr>
        <w:pStyle w:val="0"/>
        <w:widowControl w:val="off"/>
        <w:tabs>
          <w:tab w:val="right" w:leader="none" w:pos="7272"/>
        </w:tabs>
        <w:spacing w:line="420" w:lineRule="auto"/>
        <w:ind w:left="1120"/>
      </w:pPr>
      <w:r>
        <w:rPr>
          <w:rFonts w:ascii="KoPub돋움체 Bold" w:eastAsia="KoPub돋움체 Bold"/>
          <w:sz w:val="24"/>
        </w:rPr>
        <w:t>IV. 종합 및 시사점</w:t>
      </w:r>
      <w:r>
        <w:tab/>
        <w:rPr>
          <w:rFonts w:ascii="KoPub돋움체 Bold"/>
        </w:rPr>
        <w:t>64</w:t>
      </w:r>
    </w:p>
    <w:p>
      <w:pPr>
        <w:pStyle w:val="0"/>
        <w:widowControl w:val="off"/>
        <w:tabs>
          <w:tab w:val="right" w:leader="none" w:pos="7272"/>
        </w:tabs>
        <w:spacing w:line="420" w:lineRule="auto"/>
        <w:ind w:left="1520"/>
      </w:pPr>
      <w:r>
        <w:rPr>
          <w:rFonts w:ascii="KoPub돋움체 Bold" w:eastAsia="KoPub돋움체 Bold"/>
        </w:rPr>
        <w:t>1. 종합</w:t>
      </w:r>
      <w:r>
        <w:tab/>
        <w:rPr>
          <w:rFonts w:ascii="KoPub돋움체 Bold"/>
        </w:rPr>
        <w:t>64</w:t>
      </w:r>
    </w:p>
    <w:p>
      <w:pPr>
        <w:pStyle w:val="0"/>
        <w:widowControl w:val="off"/>
        <w:tabs>
          <w:tab w:val="right" w:leader="none" w:pos="7272"/>
        </w:tabs>
        <w:spacing w:line="420" w:lineRule="auto"/>
        <w:ind w:left="1760"/>
      </w:pPr>
      <w:r>
        <w:rPr>
          <w:rFonts w:ascii="KoPub돋움체 Medium" w:eastAsia="KoPub돋움체 Medium"/>
        </w:rPr>
        <w:t>1) 세계경제 전망의 종합</w:t>
      </w:r>
      <w:r>
        <w:tab/>
        <w:rPr>
          <w:rFonts w:ascii="KoPub돋움체 Medium"/>
        </w:rPr>
        <w:t>64</w:t>
      </w:r>
    </w:p>
    <w:p>
      <w:pPr>
        <w:pStyle w:val="0"/>
        <w:widowControl w:val="off"/>
        <w:tabs>
          <w:tab w:val="right" w:leader="none" w:pos="7272"/>
        </w:tabs>
        <w:spacing w:line="420" w:lineRule="auto"/>
        <w:ind w:left="1760"/>
      </w:pPr>
      <w:r>
        <w:rPr>
          <w:rFonts w:ascii="KoPub돋움체 Medium" w:eastAsia="KoPub돋움체 Medium"/>
        </w:rPr>
        <w:t>2) 국내경제 전망의 종합</w:t>
      </w:r>
      <w:r>
        <w:tab/>
        <w:rPr>
          <w:rFonts w:ascii="KoPub돋움체 Medium"/>
        </w:rPr>
        <w:t>66</w:t>
      </w:r>
    </w:p>
    <w:p>
      <w:pPr>
        <w:pStyle w:val="0"/>
        <w:widowControl w:val="off"/>
        <w:tabs>
          <w:tab w:val="right" w:leader="none" w:pos="7272"/>
        </w:tabs>
        <w:spacing w:line="420" w:lineRule="auto"/>
        <w:ind w:left="1760"/>
      </w:pPr>
      <w:r>
        <w:rPr>
          <w:rFonts w:ascii="KoPub돋움체 Medium" w:eastAsia="KoPub돋움체 Medium"/>
        </w:rPr>
        <w:t>3) 제주경제 전망의 종합</w:t>
      </w:r>
      <w:r>
        <w:tab/>
        <w:rPr>
          <w:rFonts w:ascii="KoPub돋움체 Medium"/>
        </w:rPr>
        <w:t>67</w:t>
      </w:r>
    </w:p>
    <w:p>
      <w:pPr>
        <w:pStyle w:val="0"/>
        <w:widowControl w:val="off"/>
        <w:tabs>
          <w:tab w:val="right" w:leader="none" w:pos="7272"/>
        </w:tabs>
        <w:spacing w:line="420" w:lineRule="auto"/>
        <w:ind w:left="1520"/>
      </w:pPr>
      <w:r>
        <w:rPr>
          <w:rFonts w:ascii="KoPub돋움체 Bold" w:eastAsia="KoPub돋움체 Bold"/>
        </w:rPr>
        <w:t>2. 시사점</w:t>
      </w:r>
      <w:r>
        <w:tab/>
        <w:rPr>
          <w:rFonts w:ascii="KoPub돋움체 Bold"/>
        </w:rPr>
        <w:t>69</w:t>
      </w:r>
    </w:p>
    <w:p>
      <w:pPr>
        <w:pStyle w:val="0"/>
        <w:widowControl w:val="off"/>
        <w:tabs>
          <w:tab w:val="right" w:leader="none" w:pos="7272"/>
        </w:tabs>
        <w:spacing w:line="420" w:lineRule="auto"/>
        <w:ind w:left="1760"/>
      </w:pPr>
      <w:r>
        <w:rPr>
          <w:rFonts w:ascii="KoPub돋움체 Medium" w:eastAsia="KoPub돋움체 Medium"/>
        </w:rPr>
        <w:t>1) 미래산업 기반 조성 필요</w:t>
      </w:r>
      <w:r>
        <w:tab/>
        <w:rPr>
          <w:rFonts w:ascii="KoPub돋움체 Medium"/>
        </w:rPr>
        <w:t>69</w:t>
      </w:r>
    </w:p>
    <w:p>
      <w:pPr>
        <w:pStyle w:val="0"/>
        <w:widowControl w:val="off"/>
        <w:tabs>
          <w:tab w:val="right" w:leader="none" w:pos="7272"/>
        </w:tabs>
        <w:spacing w:line="420" w:lineRule="auto"/>
        <w:ind w:left="1760"/>
      </w:pPr>
      <w:r>
        <w:rPr>
          <w:rFonts w:ascii="KoPub돋움체 Medium" w:eastAsia="KoPub돋움체 Medium"/>
        </w:rPr>
        <w:t>2) 전략산업은 ‘결과’가 아니라 ‘방향’의 문제</w:t>
      </w:r>
      <w:r>
        <w:tab/>
        <w:rPr>
          <w:rFonts w:ascii="KoPub돋움체 Medium"/>
        </w:rPr>
        <w:t>69</w:t>
      </w:r>
    </w:p>
    <w:p>
      <w:pPr>
        <w:pStyle w:val="0"/>
        <w:widowControl w:val="off"/>
        <w:tabs>
          <w:tab w:val="right" w:leader="none" w:pos="7272"/>
        </w:tabs>
        <w:spacing w:line="420" w:lineRule="auto"/>
        <w:ind w:left="1760"/>
      </w:pPr>
      <w:r>
        <w:rPr>
          <w:rFonts w:ascii="KoPub돋움체 Medium" w:eastAsia="KoPub돋움체 Medium"/>
        </w:rPr>
        <w:t>3) 2026년, 선순환과 악순환의 갈림길에 선 제주경제</w:t>
      </w:r>
      <w:r>
        <w:tab/>
        <w:rPr>
          <w:rFonts w:ascii="KoPub돋움체 Medium"/>
        </w:rPr>
        <w:t>70</w:t>
      </w:r>
    </w:p>
    <w:p>
      <w:pPr>
        <w:pStyle w:val="0"/>
        <w:widowControl w:val="off"/>
        <w:rPr/>
      </w:pPr>
    </w:p>
    <w:p>
      <w:pPr>
        <w:pStyle w:val="0"/>
        <w:widowControl w:val="off"/>
      </w:pPr>
      <w:r>
        <w:pict>
          <v:line from="0.00pt, 0.00pt" to="368.50pt, 0.01pt" id="_x2112663407" style="v-text-anchor:top;mso-wrap-style:square;" o:hralign="left" o:allowincell="f" o:insetmode="custom" strokecolor="#ffffff" strokeweight="0.56pt" o:connectortype="straight">
            <wvml:wrap type="topAndBottom"/>
            <v:stroke/>
          </v:line>
        </w:pict>
      </w:r>
    </w:p>
    <w:p>
      <w:pPr>
        <w:pStyle w:val="0"/>
        <w:widowControl w:val="off"/>
        <w:tabs>
          <w:tab w:val="right" w:leader="none" w:pos="7272"/>
        </w:tabs>
        <w:spacing w:line="420" w:lineRule="auto"/>
        <w:ind w:left="1120"/>
      </w:pPr>
      <w:r>
        <w:rPr>
          <w:rFonts w:eastAsia="KoPub돋움체 Bold"/>
          <w:sz w:val="24"/>
        </w:rPr>
        <w:t>참고문헌</w:t>
      </w:r>
      <w:r>
        <w:tab/>
        <w:rPr>
          <w:rFonts w:ascii="KoPub돋움체 Bold"/>
        </w:rPr>
        <w:t>71</w:t>
      </w:r>
    </w:p>
    <w:p>
      <w:r>
        <w:br w:type="page"/>
      </w:r>
    </w:p>
    <w:p>
      <w:pPr>
        <w:pStyle w:val="0"/>
        <w:widowControl w:val="off"/>
        <w:spacing w:line="480" w:lineRule="auto"/>
        <w:rPr/>
      </w:pPr>
    </w:p>
    <w:p>
      <w:pPr>
        <w:pStyle w:val="0"/>
        <w:widowControl w:val="off"/>
        <w:rPr/>
      </w:pPr>
    </w:p>
    <w:p>
      <w:pPr>
        <w:pStyle w:val="0"/>
        <w:widowControl w:val="off"/>
      </w:pPr>
      <w:r>
        <w:rPr/>
        <w:t xml:space="preserve">                                  </w:t>
      </w:r>
      <w:r>
        <w:rPr>
          <w:rFonts w:ascii="KoPub돋움체 Bold" w:eastAsia="KoPub돋움체 Bold"/>
          <w:sz w:val="28"/>
        </w:rPr>
        <w:t>표 차례</w:t>
      </w:r>
    </w:p>
    <w:p>
      <w:pPr>
        <w:pStyle w:val="0"/>
        <w:widowControl w:val="off"/>
        <w:rPr/>
      </w:pPr>
    </w:p>
    <w:p>
      <w:pPr>
        <w:pStyle w:val="0"/>
        <w:widowControl w:val="off"/>
        <w:rPr/>
      </w:pPr>
    </w:p>
    <w:p>
      <w:pPr>
        <w:pStyle w:val="0"/>
        <w:widowControl w:val="off"/>
        <w:pBdr>
          <w:top w:val="none" w:color="000000" w:sz="2" w:space="1"/>
          <w:left w:val="none" w:color="000000" w:sz="2" w:space="4"/>
          <w:bottom w:val="none" w:color="000000" w:sz="2" w:space="1"/>
          <w:right w:val="none" w:color="000000" w:sz="2" w:space="4"/>
        </w:pBdr>
        <w:wordWrap w:val="1"/>
        <w:spacing w:line="240" w:lineRule="auto"/>
        <w:jc w:val="left"/>
        <w:rPr>
          <w:rFonts w:ascii="Noto Sans KR" w:eastAsia="Noto Sans KR"/>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Ⅰ</w:t>
      </w:r>
      <w:r>
        <w:rPr>
          <w:rFonts w:ascii="KoPub돋움체 Medium" w:eastAsia="KoPub돋움체 Medium"/>
        </w:rPr>
        <w:t>-1&gt; The Economist 선정 2026년 10대 핵심 이슈</w:t>
      </w:r>
      <w:r>
        <w:tab/>
        <w:rPr>
          <w:rFonts w:ascii="KoPub돋움체 Medium"/>
        </w:rPr>
        <w:t>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Ⅰ</w:t>
      </w:r>
      <w:r>
        <w:rPr>
          <w:rFonts w:ascii="KoPub돋움체 Medium" w:eastAsia="KoPub돋움체 Medium"/>
        </w:rPr>
        <w:t>-2&gt; 세계 GDP 성장률 전망</w:t>
      </w:r>
      <w:r>
        <w:tab/>
        <w:rPr>
          <w:rFonts w:ascii="KoPub돋움체 Medium"/>
        </w:rPr>
        <w:t>4</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Ⅰ</w:t>
      </w:r>
      <w:r>
        <w:rPr>
          <w:rFonts w:ascii="KoPub돋움체 Medium" w:eastAsia="KoPub돋움체 Medium"/>
        </w:rPr>
        <w:t>-3&gt; 주요 국가별 GDP 성장률 전망(2026년)</w:t>
      </w:r>
      <w:r>
        <w:tab/>
        <w:rPr>
          <w:rFonts w:ascii="KoPub돋움체 Medium"/>
        </w:rPr>
        <w:t>5</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Ⅰ</w:t>
      </w:r>
      <w:r>
        <w:rPr>
          <w:rFonts w:ascii="KoPub돋움체 Medium" w:eastAsia="KoPub돋움체 Medium"/>
        </w:rPr>
        <w:t>-4&gt; 2026년 세계 주요 이슈 및 리스크 비교</w:t>
      </w:r>
      <w:r>
        <w:tab/>
        <w:rPr>
          <w:rFonts w:ascii="KoPub돋움체 Medium"/>
        </w:rPr>
        <w:t>11</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Ⅱ</w:t>
      </w:r>
      <w:r>
        <w:rPr>
          <w:rFonts w:ascii="KoPub돋움체 Medium" w:eastAsia="KoPub돋움체 Medium"/>
        </w:rPr>
        <w:t>-1&gt; 경제 성장 관련 주요 지표</w:t>
      </w:r>
      <w:r>
        <w:tab/>
        <w:rPr>
          <w:rFonts w:ascii="KoPub돋움체 Medium"/>
        </w:rPr>
        <w:t>12</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&lt;표 II-2&gt; 물가 관련 주요 지표</w:t>
      </w:r>
      <w:r>
        <w:tab/>
        <w:rPr>
          <w:rFonts w:ascii="KoPub돋움체 Medium"/>
        </w:rPr>
        <w:t>13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&lt;표 II-3&gt; 경상수지 관련 주요 지표</w:t>
      </w:r>
      <w:r>
        <w:tab/>
        <w:rPr>
          <w:rFonts w:ascii="KoPub돋움체 Medium"/>
        </w:rPr>
        <w:t>13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&lt;표 II-4&gt; 고용 관련 주요 지표</w:t>
      </w:r>
      <w:r>
        <w:tab/>
        <w:rPr>
          <w:rFonts w:ascii="KoPub돋움체 Medium"/>
        </w:rPr>
        <w:t>13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Ⅱ</w:t>
      </w:r>
      <w:r>
        <w:rPr>
          <w:rFonts w:ascii="KoPub돋움체 Medium" w:eastAsia="KoPub돋움체 Medium"/>
        </w:rPr>
        <w:t>-5&gt; 주요 기관별 2026년 국내경제성장률 전망 추정</w:t>
      </w:r>
      <w:r>
        <w:tab/>
        <w:rPr>
          <w:rFonts w:ascii="KoPub돋움체 Medium"/>
        </w:rPr>
        <w:t>14</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Ⅱ</w:t>
      </w:r>
      <w:r>
        <w:rPr>
          <w:rFonts w:ascii="KoPub돋움체 Medium" w:eastAsia="KoPub돋움체 Medium"/>
        </w:rPr>
        <w:t>-6&gt; 2026년 기관별 주요 지표 전망</w:t>
      </w:r>
      <w:r>
        <w:tab/>
        <w:rPr>
          <w:rFonts w:ascii="KoPub돋움체 Medium"/>
        </w:rPr>
        <w:t>15</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Ⅱ</w:t>
      </w:r>
      <w:r>
        <w:rPr>
          <w:rFonts w:ascii="KoPub돋움체 Medium" w:eastAsia="KoPub돋움체 Medium"/>
        </w:rPr>
        <w:t>-7&gt; 민간소비 부문 세부 전망</w:t>
      </w:r>
      <w:r>
        <w:tab/>
        <w:rPr>
          <w:rFonts w:ascii="KoPub돋움체 Medium"/>
        </w:rPr>
        <w:t>16</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Ⅱ</w:t>
      </w:r>
      <w:r>
        <w:rPr>
          <w:rFonts w:ascii="KoPub돋움체 Medium" w:eastAsia="KoPub돋움체 Medium"/>
        </w:rPr>
        <w:t>-8&gt; 투자 부문 세부 전망</w:t>
      </w:r>
      <w:r>
        <w:tab/>
        <w:rPr>
          <w:rFonts w:ascii="KoPub돋움체 Medium"/>
        </w:rPr>
        <w:t>16</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Ⅱ</w:t>
      </w:r>
      <w:r>
        <w:rPr>
          <w:rFonts w:ascii="KoPub돋움체 Medium" w:eastAsia="KoPub돋움체 Medium"/>
        </w:rPr>
        <w:t>-9&gt; 고용 부문 세부 전망</w:t>
      </w:r>
      <w:r>
        <w:tab/>
        <w:rPr>
          <w:rFonts w:ascii="KoPub돋움체 Medium"/>
        </w:rPr>
        <w:t>17</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Ⅱ</w:t>
      </w:r>
      <w:r>
        <w:rPr>
          <w:rFonts w:ascii="KoPub돋움체 Medium" w:eastAsia="KoPub돋움체 Medium"/>
        </w:rPr>
        <w:t>-10&gt; 환율 전망 컨센서스(원/달러)</w:t>
      </w:r>
      <w:r>
        <w:tab/>
        <w:rPr>
          <w:rFonts w:ascii="KoPub돋움체 Medium"/>
        </w:rPr>
        <w:t>17</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Ⅱ</w:t>
      </w:r>
      <w:r>
        <w:rPr>
          <w:rFonts w:ascii="KoPub돋움체 Medium" w:eastAsia="KoPub돋움체 Medium"/>
        </w:rPr>
        <w:t>-11&gt; 2026년 13대 주력 산업 전망 기상도</w:t>
      </w:r>
      <w:r>
        <w:tab/>
        <w:rPr>
          <w:rFonts w:ascii="KoPub돋움체 Medium"/>
        </w:rPr>
        <w:t>18</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-1&gt; 제주 GRDP 현황 및 전국 비교</w:t>
      </w:r>
      <w:r>
        <w:tab/>
        <w:rPr>
          <w:rFonts w:ascii="KoPub돋움체 Medium"/>
        </w:rPr>
        <w:t>22</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-2&gt; 제주 산업별 비중 변화</w:t>
      </w:r>
      <w:r>
        <w:tab/>
        <w:rPr>
          <w:rFonts w:ascii="KoPub돋움체 Medium"/>
        </w:rPr>
        <w:t>24</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-3&gt; 제주 산업별 기여도 변화</w:t>
      </w:r>
      <w:r>
        <w:tab/>
        <w:rPr>
          <w:rFonts w:ascii="KoPub돋움체 Medium"/>
        </w:rPr>
        <w:t>25</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-4&gt; 제주 서비스업 부문 산업별 기여도 변화</w:t>
      </w:r>
      <w:r>
        <w:tab/>
        <w:rPr>
          <w:rFonts w:ascii="KoPub돋움체 Medium"/>
        </w:rPr>
        <w:t>26</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-5&gt; 제주·전국의 전입·전출 기업 수 비교</w:t>
      </w:r>
      <w:r>
        <w:tab/>
        <w:rPr>
          <w:rFonts w:ascii="KoPub돋움체 Medium"/>
        </w:rPr>
        <w:t>27</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-6&gt; 제주 산업별 전입·전출 기업 수</w:t>
      </w:r>
      <w:r>
        <w:tab/>
        <w:rPr>
          <w:rFonts w:ascii="KoPub돋움체 Medium"/>
        </w:rPr>
        <w:t>28</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-7&gt; 제주·전국 연도별 외감기업 매출액 및 영업이익 현황</w:t>
      </w:r>
      <w:r>
        <w:tab/>
        <w:rPr>
          <w:rFonts w:ascii="KoPub돋움체 Medium"/>
        </w:rPr>
        <w:t>29</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-8&gt; 제주·전국 주요 산업 외감기업 매출액·영업이익 연평균성장률 및 차이</w:t>
      </w:r>
      <w:r>
        <w:tab/>
        <w:rPr>
          <w:rFonts w:ascii="KoPub돋움체 Medium"/>
        </w:rPr>
        <w:t>29</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-9&gt; 제주 산업별 외감기업 영업이익 규모·비중 및 연평균 증감률</w:t>
      </w:r>
      <w:r>
        <w:tab/>
        <w:rPr>
          <w:rFonts w:ascii="KoPub돋움체 Medium"/>
        </w:rPr>
        <w:t>30</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-10&gt; 제주 총인구 및 이동자 수 현황</w:t>
      </w:r>
      <w:r>
        <w:tab/>
        <w:rPr>
          <w:rFonts w:ascii="KoPub돋움체 Medium"/>
        </w:rPr>
        <w:t>31</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-11&gt; 제주 연령별 인구 분포 현황</w:t>
      </w:r>
      <w:r>
        <w:tab/>
        <w:rPr>
          <w:rFonts w:ascii="KoPub돋움체 Medium"/>
        </w:rPr>
        <w:t>31</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-12&gt; 제주 장래인구추계(2022~2042)</w:t>
      </w:r>
      <w:r>
        <w:tab/>
        <w:rPr>
          <w:rFonts w:ascii="KoPub돋움체 Medium"/>
        </w:rPr>
        <w:t>32</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80" w:lineRule="auto"/>
      </w:pPr>
      <w:r>
        <w:rPr>
          <w:rFonts w:ascii="KoPub돋움체 Medium" w:eastAsia="KoPub돋움체 Medium"/>
        </w:rPr>
        <w:t xml:space="preserve">&lt;표 </w:t>
      </w:r>
      <w:r>
        <w:rPr>
          <w:rFonts w:ascii="KoPub돋움체 Medium"/>
        </w:rPr>
        <w:t>Ⅲ</w:t>
      </w:r>
      <w:r>
        <w:rPr>
          <w:rFonts w:ascii="KoPub돋움체 Medium" w:eastAsia="KoPub돋움체 Medium"/>
        </w:rPr>
        <w:t>-13&gt; 제주의 주요 고용 지표</w:t>
      </w:r>
      <w:r>
        <w:tab/>
        <w:rPr>
          <w:rFonts w:ascii="KoPub돋움체 Medium"/>
        </w:rPr>
        <w:t>33</w:t>
      </w:r>
    </w:p>
    <w:p>
      <w:r>
        <w:br w:type="page"/>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rPr>
          <w:rFonts w:ascii="KoPub돋움체 Medium" w:eastAsia="KoPub돋움체 Medium"/>
          <w:color w:val="000000"/>
        </w:rPr>
      </w:pP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rPr>
          <w:rFonts w:ascii="KoPub돋움체 Medium" w:eastAsia="KoPub돋움체 Medium"/>
          <w:color w:val="000000"/>
        </w:rPr>
      </w:pP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rPr>
          <w:rFonts w:ascii="KoPub돋움체 Medium" w:eastAsia="KoPub돋움체 Medium"/>
          <w:color w:val="000000"/>
        </w:rPr>
      </w:pP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rPr>
          <w:rFonts w:ascii="KoPub돋움체 Medium" w:eastAsia="KoPub돋움체 Medium"/>
          <w:color w:val="000000"/>
        </w:rPr>
      </w:pP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rPr>
          <w:rFonts w:ascii="KoPub돋움체 Medium" w:eastAsia="KoPub돋움체 Medium"/>
          <w:color w:val="000000"/>
        </w:rPr>
      </w:pP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-14&gt; 제주지역 민간소비 현황</w:t>
      </w:r>
      <w:r>
        <w:tab/>
        <w:rPr>
          <w:rFonts w:ascii="KoPub돋움체 Medium"/>
        </w:rPr>
        <w:t>34</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-15&gt; 제주 소비 지수 현황</w:t>
      </w:r>
      <w:r>
        <w:tab/>
        <w:rPr>
          <w:rFonts w:ascii="KoPub돋움체 Medium"/>
        </w:rPr>
        <w:t>35</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-16&gt; 제주지역 소비자물가지수 현황</w:t>
      </w:r>
      <w:r>
        <w:tab/>
        <w:rPr>
          <w:rFonts w:ascii="KoPub돋움체 Medium"/>
        </w:rPr>
        <w:t>36</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-17&gt; 제주지역 가계 및 기업 대출 현황</w:t>
      </w:r>
      <w:r>
        <w:tab/>
        <w:rPr>
          <w:rFonts w:ascii="KoPub돋움체 Medium"/>
        </w:rPr>
        <w:t>38</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-18&gt; 제주지역 연체율 현황</w:t>
      </w:r>
      <w:r>
        <w:tab/>
        <w:rPr>
          <w:rFonts w:ascii="KoPub돋움체 Medium"/>
        </w:rPr>
        <w:t>38</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-19&gt; 제주지역 투자 현황</w:t>
      </w:r>
      <w:r>
        <w:tab/>
        <w:rPr>
          <w:rFonts w:ascii="KoPub돋움체 Medium"/>
        </w:rPr>
        <w:t>40</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-20&gt; 제주방문 관광객 현황(2021~2025년)</w:t>
      </w:r>
      <w:r>
        <w:tab/>
        <w:rPr>
          <w:rFonts w:ascii="KoPub돋움체 Medium"/>
        </w:rPr>
        <w:t>42</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-21&gt; 외래관광객 주요 국적별 현황(2025년)</w:t>
      </w:r>
      <w:r>
        <w:tab/>
        <w:rPr>
          <w:rFonts w:ascii="KoPub돋움체 Medium"/>
        </w:rPr>
        <w:t>42</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-22&gt; 제주관광 수입 현황(2021~2024년)</w:t>
      </w:r>
      <w:r>
        <w:tab/>
        <w:rPr>
          <w:rFonts w:ascii="KoPub돋움체 Medium"/>
        </w:rPr>
        <w:t>43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-23&gt; 제주방문 관광객 만족도 추이(2021~2024년)</w:t>
      </w:r>
      <w:r>
        <w:tab/>
        <w:rPr>
          <w:rFonts w:ascii="KoPub돋움체 Medium"/>
        </w:rPr>
        <w:t>43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-24&gt; 제주방문 관광객 1인당 지출 비용 추이(2021~2024년)</w:t>
      </w:r>
      <w:r>
        <w:tab/>
        <w:rPr>
          <w:rFonts w:ascii="KoPub돋움체 Medium"/>
        </w:rPr>
        <w:t>43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-25&gt; 제주방문 관광객 체류 기간 추이(2021~2024년)</w:t>
      </w:r>
      <w:r>
        <w:tab/>
        <w:rPr>
          <w:rFonts w:ascii="KoPub돋움체 Medium"/>
        </w:rPr>
        <w:t>44</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-26&gt; 제주방문 관광객 재방문률 추이(최근 3년, 2021~2024년)</w:t>
      </w:r>
      <w:r>
        <w:tab/>
        <w:rPr>
          <w:rFonts w:ascii="KoPub돋움체 Medium"/>
        </w:rPr>
        <w:t>44</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-27&gt; 전국의 주요 농업 부문 현황</w:t>
      </w:r>
      <w:r>
        <w:tab/>
        <w:rPr>
          <w:rFonts w:ascii="KoPub돋움체 Medium"/>
        </w:rPr>
        <w:t>47</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-28&gt; 1차산업 연도별 조수입</w:t>
      </w:r>
      <w:r>
        <w:tab/>
        <w:rPr>
          <w:rFonts w:ascii="KoPub돋움체 Medium"/>
        </w:rPr>
        <w:t>48</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-29&gt; 제주 감귤 생산 현황</w:t>
      </w:r>
      <w:r>
        <w:tab/>
        <w:rPr>
          <w:rFonts w:ascii="KoPub돋움체 Medium"/>
        </w:rPr>
        <w:t>48</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-30&gt; 전국과 제주 농업 주요 지표 비교(2024년 기준)</w:t>
      </w:r>
      <w:r>
        <w:tab/>
        <w:rPr>
          <w:rFonts w:ascii="KoPub돋움체 Medium"/>
        </w:rPr>
        <w:t>48</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-31&gt; 제주지역 제조업 현황</w:t>
      </w:r>
      <w:r>
        <w:tab/>
        <w:rPr>
          <w:rFonts w:ascii="KoPub돋움체 Medium"/>
        </w:rPr>
        <w:t>50</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-32&gt; 제주 제조업 산업별 비중 변화</w:t>
      </w:r>
      <w:r>
        <w:tab/>
        <w:rPr>
          <w:rFonts w:ascii="KoPub돋움체 Medium"/>
        </w:rPr>
        <w:t>51</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-33&gt; 제주지역 건설 경기 동향</w:t>
      </w:r>
      <w:r>
        <w:tab/>
        <w:rPr>
          <w:rFonts w:ascii="KoPub돋움체 Medium"/>
        </w:rPr>
        <w:t>53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-34&gt; 제주 산업별 카드매출액 현황</w:t>
      </w:r>
      <w:r>
        <w:tab/>
        <w:rPr>
          <w:rFonts w:ascii="KoPub돋움체 Medium"/>
        </w:rPr>
        <w:t>55</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-35&gt; 제주 소상공인 현황</w:t>
      </w:r>
      <w:r>
        <w:tab/>
        <w:rPr>
          <w:rFonts w:ascii="KoPub돋움체 Medium"/>
        </w:rPr>
        <w:t>56</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-36&gt; 제주가치돌봄 서비스 총예산 및 유형별 이용 현황</w:t>
      </w:r>
      <w:r>
        <w:tab/>
        <w:rPr>
          <w:rFonts w:ascii="KoPub돋움체 Medium"/>
        </w:rPr>
        <w:t>57</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-37&gt; 제주 우주산업 주요 성과 현황</w:t>
      </w:r>
      <w:r>
        <w:tab/>
        <w:rPr>
          <w:rFonts w:ascii="KoPub돋움체 Medium"/>
        </w:rPr>
        <w:t>59</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-38&gt; 제주 에너지 전환 관련 주요 현황</w:t>
      </w:r>
      <w:r>
        <w:tab/>
        <w:rPr>
          <w:rFonts w:ascii="KoPub돋움체 Medium"/>
        </w:rPr>
        <w:t>60</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Ⅲ</w:t>
      </w:r>
      <w:r>
        <w:rPr>
          <w:rFonts w:ascii="KoPub돋움체 Medium" w:eastAsia="KoPub돋움체 Medium"/>
        </w:rPr>
        <w:t>-39&gt; 제주농업기술센터 스마트농업 관련 주요 업무 및 성과</w:t>
      </w:r>
      <w:r>
        <w:tab/>
        <w:rPr>
          <w:rFonts w:ascii="KoPub돋움체 Medium"/>
        </w:rPr>
        <w:t>62</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Ⅴ</w:t>
      </w:r>
      <w:r>
        <w:rPr>
          <w:rFonts w:ascii="KoPub돋움체 Medium" w:eastAsia="KoPub돋움체 Medium"/>
        </w:rPr>
        <w:t>-1&gt; 세계경제 전망 주요 이슈 및 시사점</w:t>
      </w:r>
      <w:r>
        <w:tab/>
        <w:rPr>
          <w:rFonts w:ascii="KoPub돋움체 Medium"/>
        </w:rPr>
        <w:t>65</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56" w:lineRule="auto"/>
      </w:pPr>
      <w:r>
        <w:rPr>
          <w:rFonts w:ascii="KoPub돋움체 Medium" w:eastAsia="KoPub돋움체 Medium"/>
        </w:rPr>
        <w:t xml:space="preserve">&lt;표 </w:t>
      </w:r>
      <w:r>
        <w:rPr>
          <w:rFonts w:ascii="KoPub돋움체 Medium"/>
        </w:rPr>
        <w:t>Ⅴ</w:t>
      </w:r>
      <w:r>
        <w:rPr>
          <w:rFonts w:ascii="KoPub돋움체 Medium" w:eastAsia="KoPub돋움체 Medium"/>
        </w:rPr>
        <w:t>-2&gt; 국내경제 전망 주요 이슈 및 시사점</w:t>
      </w:r>
      <w:r>
        <w:tab/>
        <w:rPr>
          <w:rFonts w:ascii="KoPub돋움체 Medium"/>
        </w:rPr>
        <w:t>66</w:t>
      </w:r>
    </w:p>
    <w:p>
      <w:r>
        <w:br w:type="page"/>
      </w:r>
    </w:p>
    <w:p>
      <w:pPr>
        <w:pStyle w:val="0"/>
        <w:widowControl w:val="off"/>
        <w:spacing w:line="480" w:lineRule="auto"/>
        <w:rPr/>
      </w:pPr>
    </w:p>
    <w:p>
      <w:pPr>
        <w:pStyle w:val="0"/>
        <w:widowControl w:val="off"/>
        <w:rPr/>
      </w:pPr>
    </w:p>
    <w:p>
      <w:pPr>
        <w:pStyle w:val="0"/>
        <w:widowControl w:val="off"/>
      </w:pPr>
      <w:r>
        <w:rPr/>
        <w:t xml:space="preserve">                                  </w:t>
      </w:r>
      <w:r>
        <w:rPr>
          <w:rFonts w:ascii="KoPub돋움체 Bold" w:eastAsia="KoPub돋움체 Bold"/>
          <w:sz w:val="28"/>
        </w:rPr>
        <w:t>그림 차례</w:t>
      </w:r>
    </w:p>
    <w:p>
      <w:pPr>
        <w:pStyle w:val="0"/>
        <w:widowControl w:val="off"/>
        <w:rPr/>
      </w:pPr>
    </w:p>
    <w:p>
      <w:pPr>
        <w:pStyle w:val="0"/>
        <w:widowControl w:val="off"/>
        <w:rPr/>
      </w:pPr>
    </w:p>
    <w:p>
      <w:pPr>
        <w:pStyle w:val="0"/>
        <w:widowControl w:val="off"/>
        <w:pBdr>
          <w:top w:val="none" w:color="000000" w:sz="2" w:space="1"/>
          <w:left w:val="none" w:color="000000" w:sz="2" w:space="4"/>
          <w:bottom w:val="none" w:color="000000" w:sz="2" w:space="1"/>
          <w:right w:val="none" w:color="000000" w:sz="2" w:space="4"/>
        </w:pBdr>
        <w:wordWrap w:val="1"/>
        <w:spacing w:line="240" w:lineRule="auto"/>
        <w:jc w:val="left"/>
        <w:rPr>
          <w:rFonts w:ascii="Noto Sans KR" w:eastAsia="Noto Sans KR"/>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80" w:lineRule="auto"/>
      </w:pPr>
      <w:r>
        <w:rPr>
          <w:rFonts w:ascii="KoPub돋움체 Medium" w:eastAsia="KoPub돋움체 Medium"/>
        </w:rPr>
        <w:t xml:space="preserve">[그림 </w:t>
      </w:r>
      <w:r>
        <w:rPr>
          <w:rFonts w:ascii="KoPub돋움체 Medium"/>
        </w:rPr>
        <w:t>Ⅰ</w:t>
      </w:r>
      <w:r>
        <w:rPr>
          <w:rFonts w:ascii="KoPub돋움체 Medium" w:eastAsia="KoPub돋움체 Medium"/>
        </w:rPr>
        <w:t>-1] 미국의 국가별 실효 관세율</w:t>
      </w:r>
      <w:r>
        <w:tab/>
        <w:rPr>
          <w:rFonts w:ascii="KoPub돋움체 Medium"/>
        </w:rPr>
        <w:t>6</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80" w:lineRule="auto"/>
      </w:pPr>
      <w:r>
        <w:rPr>
          <w:rFonts w:ascii="KoPub돋움체 Medium" w:eastAsia="KoPub돋움체 Medium"/>
        </w:rPr>
        <w:t xml:space="preserve">[그림 </w:t>
      </w:r>
      <w:r>
        <w:rPr>
          <w:rFonts w:ascii="KoPub돋움체 Medium"/>
        </w:rPr>
        <w:t>Ⅰ</w:t>
      </w:r>
      <w:r>
        <w:rPr>
          <w:rFonts w:ascii="KoPub돋움체 Medium" w:eastAsia="KoPub돋움체 Medium"/>
        </w:rPr>
        <w:t>-2] 미국의 AI·ICT 투자 현황</w:t>
      </w:r>
      <w:r>
        <w:tab/>
        <w:rPr>
          <w:rFonts w:ascii="KoPub돋움체 Medium"/>
        </w:rPr>
        <w:t>7</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80" w:lineRule="auto"/>
      </w:pPr>
      <w:r>
        <w:rPr>
          <w:rFonts w:ascii="KoPub돋움체 Medium" w:eastAsia="KoPub돋움체 Medium"/>
        </w:rPr>
        <w:t xml:space="preserve">[그림 </w:t>
      </w:r>
      <w:r>
        <w:rPr>
          <w:rFonts w:ascii="KoPub돋움체 Medium"/>
        </w:rPr>
        <w:t>Ⅲ</w:t>
      </w:r>
      <w:r>
        <w:rPr>
          <w:rFonts w:ascii="KoPub돋움체 Medium" w:eastAsia="KoPub돋움체 Medium"/>
        </w:rPr>
        <w:t>-1] 전국 GDP 및 제주 GRDP 지수(2021=100) 추이</w:t>
      </w:r>
      <w:r>
        <w:tab/>
        <w:rPr>
          <w:rFonts w:ascii="KoPub돋움체 Medium"/>
        </w:rPr>
        <w:t>23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80" w:lineRule="auto"/>
      </w:pPr>
      <w:r>
        <w:rPr>
          <w:rFonts w:ascii="KoPub돋움체 Medium" w:eastAsia="KoPub돋움체 Medium"/>
        </w:rPr>
        <w:t xml:space="preserve">[그림 </w:t>
      </w:r>
      <w:r>
        <w:rPr>
          <w:rFonts w:ascii="KoPub돋움체 Medium"/>
        </w:rPr>
        <w:t>Ⅲ</w:t>
      </w:r>
      <w:r>
        <w:rPr>
          <w:rFonts w:ascii="KoPub돋움체 Medium" w:eastAsia="KoPub돋움체 Medium"/>
        </w:rPr>
        <w:t>-2] 시도별 GRDP 연평균성장률 현황(2021~2024년)</w:t>
      </w:r>
      <w:r>
        <w:tab/>
        <w:rPr>
          <w:rFonts w:ascii="KoPub돋움체 Medium"/>
        </w:rPr>
        <w:t>23</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80" w:lineRule="auto"/>
      </w:pPr>
      <w:r>
        <w:rPr>
          <w:rFonts w:ascii="KoPub돋움체 Medium" w:eastAsia="KoPub돋움체 Medium"/>
        </w:rPr>
        <w:t xml:space="preserve">[그림 </w:t>
      </w:r>
      <w:r>
        <w:rPr>
          <w:rFonts w:ascii="KoPub돋움체 Medium"/>
        </w:rPr>
        <w:t>Ⅲ</w:t>
      </w:r>
      <w:r>
        <w:rPr>
          <w:rFonts w:ascii="KoPub돋움체 Medium" w:eastAsia="KoPub돋움체 Medium"/>
        </w:rPr>
        <w:t>-3] 시도별 전입/전출 비율 비교(2021-2025.10)</w:t>
      </w:r>
      <w:r>
        <w:tab/>
        <w:rPr>
          <w:rFonts w:ascii="KoPub돋움체 Medium"/>
        </w:rPr>
        <w:t>28</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80" w:lineRule="auto"/>
      </w:pPr>
      <w:r>
        <w:rPr>
          <w:rFonts w:ascii="KoPub돋움체 Medium" w:eastAsia="KoPub돋움체 Medium"/>
        </w:rPr>
        <w:t xml:space="preserve">[그림 </w:t>
      </w:r>
      <w:r>
        <w:rPr>
          <w:rFonts w:ascii="KoPub돋움체 Medium"/>
        </w:rPr>
        <w:t>Ⅲ</w:t>
      </w:r>
      <w:r>
        <w:rPr>
          <w:rFonts w:ascii="KoPub돋움체 Medium" w:eastAsia="KoPub돋움체 Medium"/>
        </w:rPr>
        <w:t>-4] 연령·계층별 인구 구성비(2025~2040)</w:t>
      </w:r>
      <w:r>
        <w:tab/>
        <w:rPr>
          <w:rFonts w:ascii="KoPub돋움체 Medium"/>
        </w:rPr>
        <w:t>32</w:t>
      </w:r>
    </w:p>
    <w:p>
      <w:pPr>
        <w:pStyle w:val="0"/>
        <w:widowControl w:val="off"/>
        <w:pBdr>
          <w:top w:val="none" w:color="000000" w:sz="2" w:space="1"/>
          <w:left w:val="none" w:color="000000" w:sz="2" w:space="4"/>
          <w:bottom w:val="none" w:color="000000" w:sz="2" w:space="1"/>
          <w:right w:val="none" w:color="000000" w:sz="2" w:space="4"/>
        </w:pBdr>
        <w:tabs>
          <w:tab w:val="right" w:leader="none" w:pos="7264"/>
        </w:tabs>
        <w:wordWrap w:val="1"/>
        <w:spacing w:line="480" w:lineRule="auto"/>
        <w:sectPr>
          <w:footnotePr>
            <w:numFmt w:val="decimal"/>
            <w:numRestart w:val="continuous"/>
          </w:footnotePr>
          <w:endnotePr>
            <w:pos w:val="docEnd"/>
            <w:numFmt w:val="decimal"/>
            <w:numRestart w:val="continuous"/>
          </w:endnotePr>
          <w:pgSz w:w="10772" w:h="14740"/>
          <w:pgMar w:top="1134" w:right="1701" w:bottom="850" w:left="1701" w:header="1134" w:footer="850" w:gutter="0"/>
          <w:cols w:space="0"/>
        </w:sectPr>
      </w:pPr>
      <w:r>
        <w:rPr>
          <w:rFonts w:ascii="KoPub돋움체 Medium" w:eastAsia="KoPub돋움체 Medium"/>
        </w:rPr>
        <w:t xml:space="preserve">[그림 </w:t>
      </w:r>
      <w:r>
        <w:rPr>
          <w:rFonts w:ascii="KoPub돋움체 Medium"/>
        </w:rPr>
        <w:t>Ⅳ</w:t>
      </w:r>
      <w:r>
        <w:rPr>
          <w:rFonts w:ascii="KoPub돋움체 Medium" w:eastAsia="KoPub돋움체 Medium"/>
        </w:rPr>
        <w:t>-5] 제주 제조업 GRDP 규모 변화 및 성장률 추이</w:t>
      </w:r>
      <w:r>
        <w:tab/>
        <w:rPr>
          <w:rFonts w:ascii="KoPub돋움체 Medium"/>
        </w:rPr>
        <w:t>51</w:t>
      </w:r>
    </w:p>
    <w:p>
      <w:pPr>
        <w:pStyle w:val="0"/>
        <w:widowControl w:val="off"/>
      </w:pPr>
    </w:p>
    <w:p>
      <w:pPr>
        <w:pStyle w:val="0"/>
        <w:widowControl w:val="off"/>
        <w:rPr/>
      </w:pPr>
    </w:p>
    <w:p>
      <w:pPr>
        <w:pStyle w:val="0"/>
        <w:widowControl w:val="off"/>
        <w:rPr/>
      </w:pPr>
    </w:p>
    <w:p>
      <w:pPr>
        <w:pStyle w:val="0"/>
        <w:widowControl w:val="off"/>
      </w:pPr>
      <w:r>
        <w:rPr>
          <w:rFonts w:eastAsia="KoPub돋움체 Bold"/>
          <w:sz w:val="30"/>
        </w:rPr>
        <w:t>요약</w:t>
      </w:r>
    </w:p>
    <w:p>
      <w:pPr>
        <w:pStyle w:val="0"/>
        <w:widowControl w:val="off"/>
        <w:rPr/>
      </w:pPr>
    </w:p>
    <w:p>
      <w:pPr>
        <w:pStyle w:val="0"/>
        <w:widowControl w:val="off"/>
        <w:rPr/>
      </w:pPr>
    </w:p>
    <w:p>
      <w:pPr>
        <w:pStyle w:val="0"/>
        <w:widowControl w:val="off"/>
        <w:rPr/>
      </w:pPr>
    </w:p>
    <w:p>
      <w:pPr>
        <w:pStyle w:val="0"/>
        <w:widowControl w:val="off"/>
      </w:pPr>
      <w:r>
        <w:rPr>
          <w:rFonts w:ascii="KoPub돋움체 Bold"/>
          <w:sz w:val="26"/>
        </w:rPr>
        <w:t>Ⅰ</w:t>
      </w:r>
      <w:r>
        <w:rPr>
          <w:rFonts w:ascii="KoPub돋움체 Bold" w:eastAsia="KoPub돋움체 Bold"/>
          <w:sz w:val="26"/>
        </w:rPr>
        <w:t>. 장 제목</w:t>
      </w:r>
    </w:p>
    <w:p>
      <w:pPr>
        <w:pStyle w:val="0"/>
        <w:widowControl w:val="off"/>
        <w:ind w:left="200"/>
        <w:rPr/>
      </w:pPr>
    </w:p>
    <w:p>
      <w:pPr>
        <w:pStyle w:val="0"/>
        <w:widowControl w:val="off"/>
        <w:ind w:left="200"/>
      </w:pPr>
      <w:r>
        <w:rPr>
          <w:rFonts w:ascii="KoPubWorld돋움체 Bold" w:eastAsia="KoPubWorld돋움체 Bold"/>
          <w:sz w:val="22"/>
        </w:rPr>
        <w:t>1. 절 제목</w:t>
      </w:r>
    </w:p>
    <w:p>
      <w:pPr>
        <w:pStyle w:val="0"/>
        <w:widowControl w:val="off"/>
        <w:ind w:left="200"/>
        <w:rPr>
          <w:rFonts w:ascii="KoPubWorld돋움체 Bold" w:eastAsia="KoPubWorld돋움체 Bold"/>
          <w:color w:val="000000"/>
        </w:rPr>
      </w:pPr>
    </w:p>
    <w:p>
      <w:pPr>
        <w:pStyle w:val="1"/>
        <w:widowControl w:val="off"/>
      </w:pPr>
      <w:r>
        <w:rPr/>
        <w:t>핵심 주제 및 대항목</w:t>
      </w:r>
    </w:p>
    <w:p>
      <w:pPr>
        <w:pStyle w:val="2"/>
        <w:widowControl w:val="off"/>
      </w:pPr>
      <w:r>
        <w:rPr/>
        <w:t>세부 내용이나 근거</w:t>
      </w:r>
    </w:p>
    <w:p>
      <w:pPr>
        <w:pStyle w:val="6"/>
        <w:widowControl w:val="off"/>
      </w:pPr>
      <w:r>
        <w:rPr/>
        <w:t>구체적인 예시나 참고사항</w:t>
      </w:r>
    </w:p>
    <w:p>
      <w:pPr>
        <w:pStyle w:val="0"/>
        <w:widowControl w:val="off"/>
        <w:rPr/>
      </w:pPr>
    </w:p>
    <w:p>
      <w:pPr>
        <w:pStyle w:val="0"/>
        <w:widowControl w:val="off"/>
        <w:rPr/>
      </w:pPr>
    </w:p>
    <w:p>
      <w:pPr>
        <w:pStyle w:val="0"/>
        <w:widowControl w:val="off"/>
        <w:ind w:left="200"/>
      </w:pPr>
      <w:r>
        <w:rPr>
          <w:rFonts w:ascii="KoPubWorld돋움체 Bold" w:eastAsia="KoPubWorld돋움체 Bold"/>
          <w:sz w:val="22"/>
        </w:rPr>
        <w:t>2. 절 제목</w:t>
      </w:r>
    </w:p>
    <w:p>
      <w:pPr>
        <w:pStyle w:val="0"/>
        <w:widowControl w:val="off"/>
        <w:ind w:left="200"/>
        <w:rPr>
          <w:rFonts w:ascii="KoPubWorld돋움체 Bold" w:eastAsia="KoPubWorld돋움체 Bold"/>
          <w:color w:val="000000"/>
        </w:rPr>
      </w:pPr>
    </w:p>
    <w:p>
      <w:pPr>
        <w:pStyle w:val="1"/>
        <w:widowControl w:val="off"/>
      </w:pPr>
      <w:r>
        <w:rPr/>
        <w:t>핵심 주제 및 대항목</w:t>
      </w:r>
    </w:p>
    <w:p>
      <w:pPr>
        <w:pStyle w:val="2"/>
        <w:widowControl w:val="off"/>
      </w:pPr>
      <w:r>
        <w:rPr/>
        <w:t>세부 내용이나 근거</w:t>
      </w:r>
    </w:p>
    <w:p>
      <w:pPr>
        <w:pStyle w:val="6"/>
        <w:widowControl w:val="off"/>
      </w:pPr>
      <w:r>
        <w:rPr/>
        <w:t>구체적인 예시나 참고사항</w:t>
      </w:r>
    </w:p>
    <w:p>
      <w:pPr>
        <w:pStyle w:val="0"/>
        <w:widowControl w:val="off"/>
        <w:spacing w:before="60"/>
        <w:ind w:left="480" w:hanging="280"/>
        <w:rPr/>
      </w:pPr>
    </w:p>
    <w:p>
      <w:pPr>
        <w:pStyle w:val="0"/>
        <w:widowControl w:val="off"/>
        <w:spacing w:before="60"/>
        <w:ind w:left="480" w:hanging="280"/>
        <w:rPr/>
      </w:pPr>
    </w:p>
    <w:p>
      <w:pPr>
        <w:pStyle w:val="0"/>
        <w:widowControl w:val="off"/>
      </w:pPr>
      <w:r>
        <w:rPr>
          <w:rFonts w:ascii="KoPub돋움체 Bold" w:eastAsia="KoPub돋움체 Bold"/>
          <w:sz w:val="26"/>
        </w:rPr>
        <w:t>II. 장 제목</w:t>
      </w:r>
    </w:p>
    <w:p>
      <w:pPr>
        <w:pStyle w:val="0"/>
        <w:widowControl w:val="off"/>
        <w:ind w:left="200"/>
        <w:rPr/>
      </w:pPr>
    </w:p>
    <w:p>
      <w:pPr>
        <w:pStyle w:val="0"/>
        <w:widowControl w:val="off"/>
        <w:ind w:left="200"/>
      </w:pPr>
      <w:r>
        <w:rPr>
          <w:rFonts w:ascii="KoPubWorld돋움체 Bold" w:eastAsia="KoPubWorld돋움체 Bold"/>
          <w:sz w:val="22"/>
        </w:rPr>
        <w:t>1. 절 제목</w:t>
      </w:r>
    </w:p>
    <w:p>
      <w:pPr>
        <w:pStyle w:val="0"/>
        <w:widowControl w:val="off"/>
        <w:ind w:left="200"/>
        <w:rPr>
          <w:rFonts w:ascii="KoPubWorld돋움체 Bold" w:eastAsia="KoPubWorld돋움체 Bold"/>
          <w:color w:val="000000"/>
        </w:rPr>
      </w:pPr>
    </w:p>
    <w:p>
      <w:pPr>
        <w:pStyle w:val="1"/>
        <w:widowControl w:val="off"/>
      </w:pPr>
      <w:r>
        <w:rPr/>
        <w:t>핵심 주제 및 대항목</w:t>
      </w:r>
    </w:p>
    <w:p>
      <w:pPr>
        <w:pStyle w:val="2"/>
        <w:widowControl w:val="off"/>
      </w:pPr>
      <w:r>
        <w:rPr/>
        <w:t>세부 내용이나 근거</w:t>
      </w:r>
    </w:p>
    <w:p>
      <w:pPr>
        <w:pStyle w:val="6"/>
        <w:widowControl w:val="off"/>
      </w:pPr>
      <w:r>
        <w:rPr/>
        <w:t>구체적인 예시나 참고사항</w:t>
      </w:r>
    </w:p>
    <w:p>
      <w:pPr>
        <w:pStyle w:val="0"/>
        <w:widowControl w:val="off"/>
        <w:rPr/>
      </w:pPr>
    </w:p>
    <w:p>
      <w:pPr>
        <w:pStyle w:val="0"/>
        <w:widowControl w:val="off"/>
        <w:rPr/>
      </w:pPr>
    </w:p>
    <w:p>
      <w:pPr>
        <w:pStyle w:val="0"/>
        <w:widowControl w:val="off"/>
        <w:ind w:left="200"/>
      </w:pPr>
      <w:r>
        <w:rPr>
          <w:rFonts w:ascii="KoPubWorld돋움체 Bold" w:eastAsia="KoPubWorld돋움체 Bold"/>
          <w:sz w:val="22"/>
        </w:rPr>
        <w:t>2. 절 제목</w:t>
      </w:r>
    </w:p>
    <w:p>
      <w:pPr>
        <w:pStyle w:val="0"/>
        <w:widowControl w:val="off"/>
        <w:ind w:left="200"/>
        <w:rPr>
          <w:rFonts w:ascii="KoPubWorld돋움체 Bold" w:eastAsia="KoPubWorld돋움체 Bold"/>
          <w:color w:val="000000"/>
        </w:rPr>
      </w:pPr>
    </w:p>
    <w:p>
      <w:pPr>
        <w:pStyle w:val="1"/>
        <w:widowControl w:val="off"/>
      </w:pPr>
      <w:r>
        <w:rPr/>
        <w:t>핵심 주제 및 대항목</w:t>
      </w:r>
    </w:p>
    <w:p>
      <w:pPr>
        <w:pStyle w:val="2"/>
        <w:widowControl w:val="off"/>
      </w:pPr>
      <w:r>
        <w:rPr/>
        <w:t>세부 내용이나 근거</w:t>
      </w:r>
    </w:p>
    <w:p>
      <w:pPr>
        <w:pStyle w:val="6"/>
        <w:widowControl w:val="off"/>
      </w:pPr>
      <w:r>
        <w:rPr/>
        <w:t>구체적인 예시나 참고사항</w:t>
      </w:r>
    </w:p>
    <w:p>
      <w:pPr>
        <w:pStyle w:val="0"/>
        <w:widowControl w:val="off"/>
        <w:spacing w:before="60"/>
        <w:ind w:left="465" w:hanging="265"/>
        <w:rPr/>
      </w:pPr>
    </w:p>
    <w:p>
      <w:pPr>
        <w:pStyle w:val="0"/>
        <w:widowControl w:val="off"/>
        <w:spacing w:before="60"/>
        <w:ind w:left="465" w:hanging="265"/>
        <w:rPr/>
      </w:pPr>
    </w:p>
    <w:p>
      <w:pPr>
        <w:pStyle w:val="0"/>
        <w:widowControl w:val="off"/>
      </w:pPr>
      <w:r>
        <w:rPr>
          <w:rFonts w:ascii="KoPub돋움체 Bold"/>
          <w:sz w:val="26"/>
        </w:rPr>
        <w:t>Ⅲ</w:t>
      </w:r>
      <w:r>
        <w:rPr>
          <w:rFonts w:ascii="KoPub돋움체 Bold" w:eastAsia="KoPub돋움체 Bold"/>
          <w:sz w:val="26"/>
        </w:rPr>
        <w:t>. 장 제목</w:t>
      </w:r>
    </w:p>
    <w:p>
      <w:pPr>
        <w:pStyle w:val="0"/>
        <w:widowControl w:val="off"/>
        <w:ind w:left="200"/>
        <w:rPr/>
      </w:pPr>
    </w:p>
    <w:p>
      <w:pPr>
        <w:pStyle w:val="0"/>
        <w:widowControl w:val="off"/>
        <w:ind w:left="200"/>
      </w:pPr>
      <w:r>
        <w:rPr>
          <w:rFonts w:ascii="KoPubWorld돋움체 Bold" w:eastAsia="KoPubWorld돋움체 Bold"/>
          <w:sz w:val="22"/>
        </w:rPr>
        <w:t>1. 절 제목</w:t>
      </w:r>
    </w:p>
    <w:p>
      <w:pPr>
        <w:pStyle w:val="0"/>
        <w:widowControl w:val="off"/>
        <w:ind w:left="200"/>
        <w:rPr>
          <w:rFonts w:ascii="KoPubWorld돋움체 Bold" w:eastAsia="KoPubWorld돋움체 Bold"/>
          <w:color w:val="000000"/>
        </w:rPr>
      </w:pPr>
    </w:p>
    <w:p>
      <w:pPr>
        <w:pStyle w:val="1"/>
        <w:widowControl w:val="off"/>
      </w:pPr>
      <w:r>
        <w:rPr/>
        <w:t>핵심 주제 및 대항목</w:t>
      </w:r>
    </w:p>
    <w:p>
      <w:pPr>
        <w:pStyle w:val="2"/>
        <w:widowControl w:val="off"/>
      </w:pPr>
      <w:r>
        <w:rPr/>
        <w:t>세부 내용이나 근거</w:t>
      </w:r>
    </w:p>
    <w:p>
      <w:pPr>
        <w:pStyle w:val="0"/>
        <w:widowControl w:val="off"/>
        <w:rPr/>
      </w:pPr>
    </w:p>
    <w:p>
      <w:pPr>
        <w:pStyle w:val="0"/>
        <w:widowControl w:val="off"/>
        <w:rPr/>
      </w:pPr>
    </w:p>
    <w:p>
      <w:pPr>
        <w:pStyle w:val="0"/>
        <w:widowControl w:val="off"/>
        <w:ind w:left="200"/>
      </w:pPr>
      <w:r>
        <w:rPr>
          <w:rFonts w:ascii="KoPubWorld돋움체 Bold" w:eastAsia="KoPubWorld돋움체 Bold"/>
          <w:sz w:val="22"/>
        </w:rPr>
        <w:t>2. 절 제목</w:t>
      </w:r>
    </w:p>
    <w:p>
      <w:pPr>
        <w:pStyle w:val="0"/>
        <w:widowControl w:val="off"/>
        <w:ind w:left="200"/>
        <w:rPr>
          <w:rFonts w:ascii="KoPubWorld돋움체 Bold" w:eastAsia="KoPubWorld돋움체 Bold"/>
          <w:color w:val="000000"/>
        </w:rPr>
      </w:pPr>
    </w:p>
    <w:p>
      <w:pPr>
        <w:pStyle w:val="1"/>
        <w:widowControl w:val="off"/>
      </w:pPr>
      <w:r>
        <w:rPr/>
        <w:t>핵심 주제 및 대항목</w:t>
      </w:r>
    </w:p>
    <w:p>
      <w:pPr>
        <w:pStyle w:val="2"/>
        <w:widowControl w:val="off"/>
      </w:pPr>
      <w:r>
        <w:rPr/>
        <w:t>세부 내용이나 근거</w:t>
      </w:r>
    </w:p>
    <w:p>
      <w:pPr>
        <w:pStyle w:val="6"/>
        <w:widowControl w:val="off"/>
      </w:pPr>
      <w:r>
        <w:rPr/>
        <w:t>구체적인 예시나 참고사항</w:t>
      </w:r>
    </w:p>
    <w:p>
      <w:pPr>
        <w:pStyle w:val="0"/>
        <w:widowControl w:val="off"/>
        <w:rPr>
          <w:rFonts w:ascii="KoPubWorld돋움체 Light" w:eastAsia="KoPubWorld돋움체 Light"/>
          <w:color w:val="000000"/>
          <w:spacing w:val="-5"/>
          <w:w w:val="95"/>
          <w:sz w:val="22"/>
        </w:rPr>
        <w:sectPr>
          <w:footnotePr>
            <w:numFmt w:val="decimal"/>
            <w:numRestart w:val="continuous"/>
          </w:footnotePr>
          <w:endnotePr>
            <w:pos w:val="docEnd"/>
            <w:numFmt w:val="decimal"/>
            <w:numRestart w:val="continuous"/>
          </w:endnotePr>
          <w:pgSz w:w="10772" w:h="14740"/>
          <w:pgMar w:top="1134" w:right="1701" w:bottom="850" w:left="1417" w:header="1134" w:footer="850" w:gutter="0"/>
          <w:cols w:space="0"/>
        </w:sectPr>
      </w:pPr>
    </w:p>
    <w:p>
      <w:pPr>
        <w:pStyle w:val="0"/>
        <w:widowControl w:val="off"/>
      </w:pPr>
    </w:p>
    <w:p>
      <w:pPr>
        <w:pStyle w:val="0"/>
        <w:widowControl w:val="off"/>
        <w:rPr/>
      </w:pPr>
    </w:p>
    <w:p>
      <w:pPr>
        <w:pStyle w:val="0"/>
        <w:widowControl w:val="off"/>
        <w:pBdr>
          <w:top w:val="none" w:color="000000" w:sz="2" w:space="1"/>
          <w:left w:val="none" w:color="000000" w:sz="2" w:space="4"/>
          <w:bottom w:val="none" w:color="000000" w:sz="2" w:space="1"/>
          <w:right w:val="none" w:color="000000" w:sz="2" w:space="4"/>
        </w:pBdr>
        <w:wordWrap w:val="1"/>
        <w:spacing w:after="1400" w:line="401" w:lineRule="atLeast"/>
      </w:pPr>
      <w:r>
        <w:rPr>
          <w:rFonts w:eastAsia="KoPubWorld돋움체 Bold"/>
          <w:b/>
          <w:color w:val="06004b"/>
          <w:sz w:val="40"/>
          <w:shd w:val="clear" w:color="000000"/>
        </w:rPr>
        <w:t>들어가며</w:t>
      </w:r>
    </w:p>
    <w:p>
      <w:pPr>
        <w:pStyle w:val="1"/>
        <w:widowControl w:val="off"/>
      </w:pPr>
      <w:r>
        <w:rPr>
          <w:color w:val="858585"/>
        </w:rPr>
        <w:t xml:space="preserve">본 전망은 급변하는 대내외 경제 여건 속에서 2026년 세계·국내·제주 경제의 흐름을 종합적으로 점검하고, 제주경제의 변화 방향과 구조적 특성을 조망하여 정책적 시사점을 도출 하기 위해 작성됨 </w:t>
      </w:r>
    </w:p>
    <w:p>
      <w:pPr>
        <w:pStyle w:val="1"/>
        <w:widowControl w:val="off"/>
      </w:pPr>
      <w:r>
        <w:rPr>
          <w:color w:val="858585"/>
        </w:rPr>
        <w:t>Ⅰ장은</w:t>
      </w:r>
      <w:r>
        <w:rPr>
          <w:color w:val="858585"/>
        </w:rPr>
        <w:t xml:space="preserve"> </w:t>
      </w:r>
      <w:r>
        <w:rPr>
          <w:color w:val="858585"/>
        </w:rPr>
        <w:t>「세계경제</w:t>
      </w:r>
      <w:r>
        <w:rPr>
          <w:color w:val="858585"/>
        </w:rPr>
        <w:t xml:space="preserve"> 전망</w:t>
      </w:r>
      <w:r>
        <w:rPr>
          <w:color w:val="858585"/>
        </w:rPr>
        <w:t>」</w:t>
      </w:r>
      <w:r>
        <w:rPr>
          <w:color w:val="858585"/>
        </w:rPr>
        <w:t xml:space="preserve"> 부분으로, 국제통화기금(IMF), 경제협력개발기구(OECD), 세 계은행(World Bank), UN DESA, 세계무역기구(WTO) 등 주요 국제기구와 이코노미스트 (The Economist) 등 주요 기관의 분석을 토대로 2026년 세계경제의 저성장 기조와 기술 주도 구조전환 등 전반적인 흐름과 주요 이슈를 종합 검토함 </w:t>
      </w:r>
    </w:p>
    <w:p>
      <w:pPr>
        <w:pStyle w:val="1"/>
        <w:widowControl w:val="off"/>
      </w:pPr>
      <w:r>
        <w:rPr>
          <w:color w:val="858585"/>
        </w:rPr>
        <w:t>Ⅱ장은</w:t>
      </w:r>
      <w:r>
        <w:rPr>
          <w:color w:val="858585"/>
        </w:rPr>
        <w:t xml:space="preserve"> </w:t>
      </w:r>
      <w:r>
        <w:rPr>
          <w:color w:val="858585"/>
        </w:rPr>
        <w:t>「국내경제</w:t>
      </w:r>
      <w:r>
        <w:rPr>
          <w:color w:val="858585"/>
        </w:rPr>
        <w:t xml:space="preserve"> 전망</w:t>
      </w:r>
      <w:r>
        <w:rPr>
          <w:color w:val="858585"/>
        </w:rPr>
        <w:t>」</w:t>
      </w:r>
      <w:r>
        <w:rPr>
          <w:color w:val="858585"/>
        </w:rPr>
        <w:t xml:space="preserve"> 부분으로, 재정경제부(MOEF), 한국은행(BOK), 한국개발연구 원(KDI), 산업연구원(KIET), 한국금융연구원(KIF), 현대경제연구원, 아시아개발은행(ADB) 등 국내외 전문기관의 분석을 토대로 내수 중심의 제한적 회복 국면과 주력 산업별 전망을 정리하고 제주경제를 둘러싼 국내 여건 변화를 살펴봄 </w:t>
      </w:r>
    </w:p>
    <w:p>
      <w:pPr>
        <w:pStyle w:val="1"/>
        <w:widowControl w:val="off"/>
      </w:pPr>
      <w:r>
        <w:rPr>
          <w:color w:val="858585"/>
        </w:rPr>
        <w:t>Ⅲ장은</w:t>
      </w:r>
      <w:r>
        <w:rPr>
          <w:color w:val="858585"/>
        </w:rPr>
        <w:t xml:space="preserve"> </w:t>
      </w:r>
      <w:r>
        <w:rPr>
          <w:color w:val="858585"/>
        </w:rPr>
        <w:t>「제주경제</w:t>
      </w:r>
      <w:r>
        <w:rPr>
          <w:color w:val="858585"/>
        </w:rPr>
        <w:t xml:space="preserve"> 전망</w:t>
      </w:r>
      <w:r>
        <w:rPr>
          <w:color w:val="858585"/>
        </w:rPr>
        <w:t>」</w:t>
      </w:r>
      <w:r>
        <w:rPr>
          <w:color w:val="858585"/>
        </w:rPr>
        <w:t xml:space="preserve"> 부문으로, 국가와 유관기관이 발표한 공식 통계 및 민간 데이터 등을 활용하여 제주경제의 거시적 흐름과 부문별 동향을 심층 분석함 </w:t>
      </w:r>
    </w:p>
    <w:p>
      <w:pPr>
        <w:pStyle w:val="2"/>
        <w:widowControl w:val="off"/>
      </w:pPr>
      <w:r>
        <w:rPr>
          <w:color w:val="858585"/>
        </w:rPr>
        <w:t xml:space="preserve">특히 관광·건설·농업 등 전통 산업의 구조적 변화 양상을 살펴보고, 우주산업·에너지 전환·스마트 농업 등 신성장 분야로의 이행 가능성을 검토하여 최근 GRDP 성장 둔화의 배 경과 제주경제의 질적 구조 전환 방향을 제시함 </w:t>
      </w:r>
    </w:p>
    <w:p>
      <w:pPr>
        <w:pStyle w:val="1"/>
        <w:widowControl w:val="off"/>
        <w:sectPr>
          <w:footnotePr>
            <w:numFmt w:val="decimal"/>
            <w:numRestart w:val="continuous"/>
          </w:footnotePr>
          <w:endnotePr>
            <w:pos w:val="docEnd"/>
            <w:numFmt w:val="decimal"/>
            <w:numRestart w:val="continuous"/>
          </w:endnotePr>
          <w:pgSz w:w="10772" w:h="14740"/>
          <w:pgMar w:top="1134" w:right="1701" w:bottom="850" w:left="1134" w:header="1134" w:footer="850" w:gutter="0"/>
          <w:cols w:space="0"/>
        </w:sectPr>
      </w:pPr>
      <w:r>
        <w:rPr>
          <w:color w:val="858585"/>
        </w:rPr>
        <w:t>Ⅳ장은</w:t>
      </w:r>
      <w:r>
        <w:rPr>
          <w:color w:val="858585"/>
        </w:rPr>
        <w:t xml:space="preserve"> </w:t>
      </w:r>
      <w:r>
        <w:rPr>
          <w:color w:val="858585"/>
        </w:rPr>
        <w:t>「종합</w:t>
      </w:r>
      <w:r>
        <w:rPr>
          <w:color w:val="858585"/>
        </w:rPr>
        <w:t xml:space="preserve"> 및 시사점</w:t>
      </w:r>
      <w:r>
        <w:rPr>
          <w:color w:val="858585"/>
        </w:rPr>
        <w:t>」</w:t>
      </w:r>
      <w:r>
        <w:rPr>
          <w:color w:val="858585"/>
        </w:rPr>
        <w:t xml:space="preserve"> 부문으로, 앞선 장에서 분석한 세계·국내·제주 경제의 흐름을 종합하여 2026년 제주경제가 직면한 도전 과제를 정리하고, 제주의 지속 가능한 성장을 위한 시사점과 정책적 방향성을 제시함</w:t>
      </w:r>
    </w:p>
    <w:p>
      <w:pPr>
        <w:pStyle w:val="3"/>
        <w:widowControl w:val="off"/>
      </w:pPr>
      <w:r>
        <w:rPr/>
        <w:t>장 제목</w:t>
      </w:r>
    </w:p>
    <w:p>
      <w:pPr>
        <w:pStyle w:val="3"/>
        <w:widowControl w:val="off"/>
      </w:pPr>
      <w:r>
        <w:rPr/>
        <w:t>서귀포 축제사업 현황</w:t>
      </w:r>
    </w:p>
    <w:p>
      <w:pPr>
        <w:pStyle w:val="0"/>
        <w:widowControl w:val="off"/>
        <w:pBdr>
          <w:top w:val="none" w:color="000000" w:sz="2" w:space="1"/>
          <w:left w:val="none" w:color="000000" w:sz="2" w:space="4"/>
          <w:bottom w:val="none" w:color="000000" w:sz="2" w:space="1"/>
          <w:right w:val="none" w:color="000000" w:sz="2" w:space="4"/>
        </w:pBdr>
        <w:ind w:left="100"/>
        <w:numPr>
          <w:numId w:val="4"/>
          <w:ilvl w:val="0"/>
        </w:numPr>
      </w:pPr>
      <w:r>
        <w:rPr>
          <w:rFonts w:ascii="KoPub돋움체 Medium" w:eastAsia="KoPub돋움체 Medium"/>
          <w:spacing w:val="-5"/>
          <w:w w:val="95"/>
          <w:sz w:val="22"/>
          <w:shd w:val="clear" w:color="000000"/>
        </w:rPr>
        <w:t>본 장은 서귀포시가 2025년에 추진하는 축제사업 22건의 현황을 정리함. 분석 대상은 서귀포시에서 제공받은 사업 43건 중 축제·박람회·문화행사 22건임</w:t>
      </w:r>
    </w:p>
    <w:p>
      <w:pPr>
        <w:pStyle w:val="2"/>
        <w:widowControl w:val="off"/>
      </w:pPr>
      <w:r>
        <w:rPr/>
        <w:t>비축제 21건은 부록에 별도 수록함. 본 장의 검토 항목은 (가) 사업 코드 체계와 전체 개요, (나) 테마 기반 4유형 분류, (다) 행정조직 계층·개최 시기·권역별 공간 분포, (라) 예산·방문 규모 분포, (마) 자료 완비도 등급으로 구성됨</w:t>
      </w:r>
    </w:p>
    <w:p>
      <w:pPr>
        <w:pStyle w:val="0"/>
        <w:widowControl w:val="off"/>
        <w:pBdr>
          <w:top w:val="none" w:color="000000" w:sz="2" w:space="1"/>
          <w:left w:val="none" w:color="000000" w:sz="2" w:space="4"/>
          <w:bottom w:val="none" w:color="000000" w:sz="2" w:space="1"/>
          <w:right w:val="none" w:color="000000" w:sz="2" w:space="4"/>
        </w:pBdr>
        <w:ind w:left="100"/>
        <w:numPr>
          <w:numId w:val="4"/>
          <w:ilvl w:val="0"/>
        </w:numPr>
      </w:pPr>
      <w:r>
        <w:rPr>
          <w:rFonts w:ascii="KoPub돋움체 Medium" w:eastAsia="KoPub돋움체 Medium"/>
          <w:spacing w:val="-5"/>
          <w:w w:val="95"/>
          <w:sz w:val="22"/>
          <w:shd w:val="clear" w:color="000000"/>
        </w:rPr>
        <w:t>주요 결과는 다음과 같음: 첫째, 자연·경관 자원 활용형이 9건(41%)으로 최대 비중을 차지하며, 시본청 과 단위 9건이 전체 예산 4,328M원의 77.9%를 점유함. 둘째, 22건 합산 추정 방문객은 약 33.8만 명에 이름</w:t>
      </w:r>
    </w:p>
    <w:p>
      <w:pPr>
        <w:pStyle w:val="0"/>
        <w:widowControl w:val="off"/>
        <w:pBdr>
          <w:top w:val="none" w:color="000000" w:sz="2" w:space="1"/>
          <w:left w:val="none" w:color="000000" w:sz="2" w:space="4"/>
          <w:bottom w:val="none" w:color="000000" w:sz="2" w:space="1"/>
          <w:right w:val="none" w:color="000000" w:sz="2" w:space="4"/>
        </w:pBdr>
        <w:ind w:left="100"/>
        <w:numPr>
          <w:numId w:val="4"/>
          <w:ilvl w:val="0"/>
        </w:numPr>
      </w:pPr>
      <w:r>
        <w:rPr>
          <w:rFonts w:ascii="KoPub돋움체 Medium" w:eastAsia="KoPub돋움체 Medium"/>
          <w:spacing w:val="-5"/>
          <w:w w:val="95"/>
          <w:sz w:val="22"/>
          <w:shd w:val="clear" w:color="000000"/>
        </w:rPr>
        <w:t>본 장의 현황 정보는 다음 장 (경제효과 분석)에서 사업별 추정 방법론 선택의 직접적 근거가 됨</w:t>
      </w:r>
    </w:p>
    <w:p>
      <w:pPr>
        <w:pStyle w:val="1"/>
        <w:widowControl w:val="off"/>
        <w:rPr/>
      </w:pPr>
    </w:p>
    <w:p>
      <w:pPr>
        <w:pStyle w:val="0"/>
        <w:widowControl w:val="off"/>
        <w:rPr/>
      </w:pPr>
    </w:p>
    <w:p>
      <w:pPr>
        <w:pStyle w:val="4"/>
        <w:widowControl w:val="off"/>
      </w:pPr>
      <w:r>
        <w:rPr/>
        <w:t>분석 범위 및 기반 자료</w:t>
      </w:r>
    </w:p>
    <w:p>
      <w:pPr>
        <w:pStyle w:val="5"/>
        <w:widowControl w:val="off"/>
      </w:pPr>
      <w:r>
        <w:rPr/>
        <w:t>개요</w:t>
      </w:r>
    </w:p>
    <w:p>
      <w:pPr>
        <w:pStyle w:val="1"/>
        <w:widowControl w:val="off"/>
      </w:pPr>
      <w:r>
        <w:rPr/>
        <w:t>본 장은 서귀포시가 2025년에 추진하는 축제사업의 현황을 정리함</w:t>
      </w:r>
    </w:p>
    <w:p>
      <w:pPr>
        <w:pStyle w:val="1"/>
        <w:widowControl w:val="off"/>
      </w:pPr>
      <w:r>
        <w:rPr/>
        <w:t>경제효과 분석에 앞서 사업별 기본 정보, 유형, 공간·시기 분포, 예산·참여 규모, 자료 준비 수준을 종합적으로 점검함</w:t>
      </w:r>
    </w:p>
    <w:p>
      <w:pPr>
        <w:pStyle w:val="1"/>
        <w:widowControl w:val="off"/>
      </w:pPr>
      <w:r>
        <w:rPr/>
        <w:t>본 분석은 향후 축제사업의 경제효과 추정의 근거이자 정책 결정의 주요 기초 정보로 활용함</w:t>
      </w:r>
    </w:p>
    <w:p>
      <w:pPr>
        <w:pStyle w:val="0"/>
        <w:widowControl w:val="off"/>
        <w:pBdr>
          <w:top w:val="none" w:color="000000" w:sz="2" w:space="1"/>
          <w:left w:val="none" w:color="000000" w:sz="2" w:space="4"/>
          <w:bottom w:val="none" w:color="000000" w:sz="2" w:space="1"/>
          <w:right w:val="none" w:color="000000" w:sz="2" w:space="4"/>
        </w:pBdr>
        <w:wordWrap w:val="1"/>
        <w:spacing w:after="100" w:line="191" w:lineRule="atLeast"/>
        <w:rPr>
          <w:rFonts w:ascii="KoPubWorld돋움체 Bold" w:eastAsia="KoPubWorld돋움체 Bold"/>
          <w:b/>
          <w:color w:val="06004b"/>
          <w:sz w:val="20"/>
          <w:shd w:val="clear" w:color="000000"/>
        </w:rPr>
      </w:pPr>
    </w:p>
    <w:p>
      <w:pPr>
        <w:pStyle w:val="5"/>
        <w:widowControl w:val="off"/>
      </w:pPr>
      <w:r>
        <w:rPr/>
        <w:t>분석 범위 및 자료 출처</w:t>
      </w:r>
    </w:p>
    <w:p>
      <w:pPr>
        <w:pStyle w:val="1"/>
        <w:widowControl w:val="off"/>
      </w:pPr>
      <w:r>
        <w:rPr/>
        <w:t>서귀포시로부터 입수한 43개 사업 중 축제사업 22개 사업을 분석 대상으로 선정하였음</w:t>
      </w:r>
    </w:p>
    <w:p>
      <w:pPr>
        <w:pStyle w:val="2"/>
        <w:widowControl w:val="off"/>
      </w:pPr>
      <w:r>
        <w:rPr/>
        <w:t>1차 대상인 43개 사업은 서귀포시의 1차 자료원에 수록된 전체 사업을 대상으로 함</w:t>
      </w:r>
    </w:p>
    <w:p>
      <w:pPr>
        <w:pStyle w:val="2"/>
        <w:widowControl w:val="off"/>
      </w:pPr>
      <w:r>
        <w:rPr/>
        <w:t>본 연구에서는 이 중 축제사업 22건을 추출하여 분석함</w:t>
      </w:r>
    </w:p>
    <w:p>
      <w:pPr>
        <w:pStyle w:val="2"/>
        <w:widowControl w:val="off"/>
      </w:pPr>
      <w:r>
        <w:rPr/>
        <w:t>각 사업에는 P## 형식의 코드를 부여하여 본 연구 보고서 내에서 사업 식별 및 교차 참조가 용이하도록 하였음</w:t>
      </w:r>
    </w:p>
    <w:p>
      <w:pPr>
        <w:pStyle w:val="2"/>
        <w:widowControl w:val="off"/>
        <w:rPr/>
      </w:pPr>
    </w:p>
    <w:p>
      <w:pPr>
        <w:pStyle w:val="7"/>
        <w:widowControl w:val="off"/>
      </w:pPr>
      <w:r>
        <w:rPr/>
        <w:t>&lt;표 II-</w:t>
      </w:r>
      <w:fldSimple w:instr="SEQ 표 \* ARABIC">
        <w:r>
          <w:t>1</w:t>
        </w:r>
      </w:fldSimple>
      <w:r>
        <w:rPr/>
        <w:t>&gt; 서귀포시 2025 축제사업 22건 개요</w:t>
      </w:r>
    </w:p>
    <w:tbl>
      <w:tblPr>
        <w:tblOverlap w:val="never"/>
        <w:tblW w:w="714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40"/>
        <w:gridCol w:w="2061"/>
        <w:gridCol w:w="1433"/>
        <w:gridCol w:w="553"/>
        <w:gridCol w:w="830"/>
        <w:gridCol w:w="823"/>
        <w:gridCol w:w="1000"/>
      </w:tblGrid>
      <w:tr>
        <w:trPr>
          <w:trHeight w:val="56"/>
          <w:tblHeader/>
        </w:trPr>
        <w:tc>
          <w:tcPr>
            <w:tcW w:w="44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sz w:val="14"/>
              </w:rPr>
              <w:t>코드</w:t>
            </w:r>
          </w:p>
        </w:tc>
        <w:tc>
          <w:tcPr>
            <w:tcW w:w="2061"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sz w:val="14"/>
              </w:rPr>
              <w:t>사업명</w:t>
            </w:r>
          </w:p>
        </w:tc>
        <w:tc>
          <w:tcPr>
            <w:tcW w:w="1433"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sz w:val="14"/>
              </w:rPr>
              <w:t>주관</w:t>
            </w:r>
          </w:p>
        </w:tc>
        <w:tc>
          <w:tcPr>
            <w:tcW w:w="553"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sz w:val="14"/>
              </w:rPr>
              <w:t>유형</w:t>
            </w:r>
          </w:p>
        </w:tc>
        <w:tc>
          <w:tcPr>
            <w:tcW w:w="83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sz w:val="14"/>
              </w:rPr>
              <w:t>시기</w:t>
            </w:r>
          </w:p>
        </w:tc>
        <w:tc>
          <w:tcPr>
            <w:tcW w:w="823"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wordWrap w:val="1"/>
              <w:jc w:val="right"/>
            </w:pPr>
            <w:r>
              <w:rPr>
                <w:sz w:val="14"/>
              </w:rPr>
              <w:t>예산(백만)</w:t>
            </w:r>
          </w:p>
        </w:tc>
        <w:tc>
          <w:tcPr>
            <w:tcW w:w="100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wordWrap w:val="1"/>
              <w:jc w:val="right"/>
            </w:pPr>
            <w:r>
              <w:rPr>
                <w:sz w:val="14"/>
              </w:rPr>
              <w:t>방문객(명)</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P02</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소상공인 주간 박람회</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경제일자리과</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마을</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11월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56</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1,000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P03</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서귀포과학문화축전</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경제일자리과</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도심</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1일</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27</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1,300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P06</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2025 문화의 달 행사</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문화예술과</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도심</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연중</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2,000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72,000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P07</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유채꽃 국제걷기대회</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관광진흥과</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자연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3월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130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5,000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P08</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겨울바다 펭귄수영대회</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관광진흥과</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자연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1월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86</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2,000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P09</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새연교 주말 문화공연</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관광진흥과</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도심</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7~10월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271</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42,866</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P10</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야해(</w:t>
            </w:r>
            <w:r>
              <w:rPr>
                <w:sz w:val="14"/>
              </w:rPr>
              <w:t xml:space="preserve">夜海) </w:t>
            </w:r>
            <w:r>
              <w:rPr>
                <w:sz w:val="14"/>
              </w:rPr>
              <w:t>페스티벌</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관광진흥과</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도심</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6·10월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60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3,300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P12</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제31회 서귀포칠십리축제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관광진흥과</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도심</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10월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500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72,000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P13</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제42회 서귀포유채꽃축제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관광진흥과</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자연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3월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240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20,865</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P23</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대정암반수마농박람회</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대정읍</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특산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6월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92</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2,000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P24</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가파도 청보리 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대정읍</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자연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4월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47</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55,000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P25</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한라산 청정 고사리축제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남원읍</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자연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4월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100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29,000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P26</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성산 조개바당축제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성산읍</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특산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8월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113</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10,000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P28</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광평리 제주메밀축제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안덕면</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자연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6월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40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800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P29</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안덕면 수눌음 수국 페스타</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안덕면</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자연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6월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40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80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P32</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제21회 보목자리돔 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송산동</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특산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5월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92</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3,000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P36</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제21회 쇠소깍 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효돈동</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마을</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9월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58</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6,000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P37</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영천동 해바라기 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영천동</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자연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10월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180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8,000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P38</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동홍동 정월대보름 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동홍동</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마을</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2월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40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500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P39</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서홍동 웃물교 벚꽃 행사</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서홍동</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자연</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4월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50</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1,000</w:t>
            </w:r>
          </w:p>
        </w:tc>
      </w:tr>
      <w:tr>
        <w:trPr>
          <w:trHeight w:val="56"/>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P42</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중문 칠선녀축제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중문동</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마을</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9월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48</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3,000</w:t>
            </w:r>
          </w:p>
        </w:tc>
      </w:tr>
      <w:tr>
        <w:trPr>
          <w:trHeight w:val="330"/>
        </w:trPr>
        <w:tc>
          <w:tcPr>
            <w:tcW w:w="44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P43</w:t>
            </w:r>
          </w:p>
        </w:tc>
        <w:tc>
          <w:tcPr>
            <w:tcW w:w="2061"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예래생태마을 논짓물축제</w:t>
            </w:r>
          </w:p>
        </w:tc>
        <w:tc>
          <w:tcPr>
            <w:tcW w:w="143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예래동</w:t>
            </w:r>
          </w:p>
        </w:tc>
        <w:tc>
          <w:tcPr>
            <w:tcW w:w="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마을</w:t>
            </w:r>
          </w:p>
        </w:tc>
        <w:tc>
          <w:tcPr>
            <w:tcW w:w="8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sz w:val="14"/>
              </w:rPr>
              <w:t>7월</w:t>
            </w:r>
          </w:p>
        </w:tc>
        <w:tc>
          <w:tcPr>
            <w:tcW w:w="8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58</w:t>
            </w:r>
          </w:p>
        </w:tc>
        <w:tc>
          <w:tcPr>
            <w:tcW w:w="10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wordWrap w:val="1"/>
              <w:jc w:val="right"/>
            </w:pPr>
            <w:r>
              <w:rPr>
                <w:sz w:val="14"/>
              </w:rPr>
              <w:t>3,000</w:t>
            </w:r>
          </w:p>
        </w:tc>
      </w:tr>
      <w:tr>
        <w:trPr>
          <w:trHeight w:val="0"/>
        </w:trPr>
        <w:tc>
          <w:tcPr>
            <w:tcW w:w="7140" w:type="dxa"/>
            <w:gridSpan w:val="7"/>
            <w:tcBorders>
              <w:top w:val="single" w:color="000000" w:sz="3"/>
              <w:left w:val="none" w:color="000000" w:sz="3"/>
              <w:bottom w:val="none" w:color="000000" w:sz="3"/>
              <w:right w:val="none" w:color="000000" w:sz="3"/>
            </w:tcBorders>
            <w:tcMar>
              <w:top w:w="100" w:type="dxa"/>
              <w:left w:w="100" w:type="dxa"/>
              <w:bottom w:w="100" w:type="dxa"/>
              <w:right w:w="100" w:type="dxa"/>
            </w:tcMar>
            <w:vAlign w:val="top"/>
          </w:tcPr>
          <w:p>
            <w:pPr>
              <w:pStyle w:val="15"/>
              <w:widowControl w:val="off"/>
            </w:pPr>
            <w:r>
              <w:rPr/>
              <w:t xml:space="preserve">주: 유형 열은 </w:t>
            </w:r>
            <w:r>
              <w:rPr/>
              <w:t>Ⅱ</w:t>
            </w:r>
            <w:r>
              <w:rPr/>
              <w:t>-2-1절 4유형 분류(자연·경관, 특산물, 도심·체류, 마을·화합)의 약칭. 방문객 수치는 1차 자료원의 사업 보고치를 그대로 옮긴 값으로, 중복 방문과 추정 방식 차이가 일부 존재함</w:t>
            </w:r>
          </w:p>
        </w:tc>
      </w:tr>
    </w:tbl>
    <w:p>
      <w:pPr>
        <w:pStyle w:val="0"/>
        <w:widowControl w:val="off"/>
        <w:jc w:val="left"/>
      </w:pPr>
    </w:p>
    <w:p>
      <w:pPr>
        <w:pStyle w:val="2"/>
        <w:widowControl w:val="off"/>
        <w:rPr/>
      </w:pPr>
    </w:p>
    <w:p>
      <w:pPr>
        <w:pStyle w:val="1"/>
        <w:widowControl w:val="off"/>
      </w:pPr>
      <w:r>
        <w:rPr/>
        <w:t>대상외 사업은 스포츠 대회 또는 상설 운영사업 등 비축제 21개 사업에 해당하며 이에 대해서는 부록에 별도 수록함</w:t>
      </w:r>
    </w:p>
    <w:p>
      <w:pPr>
        <w:pStyle w:val="16"/>
        <w:widowControl w:val="off"/>
        <w:rPr/>
      </w:pPr>
    </w:p>
    <w:p>
      <w:pPr>
        <w:pStyle w:val="16"/>
        <w:widowControl w:val="off"/>
        <w:rPr/>
      </w:pPr>
    </w:p>
    <w:p>
      <w:pPr>
        <w:pStyle w:val="7"/>
        <w:widowControl w:val="off"/>
      </w:pPr>
      <w:r>
        <w:rPr/>
        <w:t xml:space="preserve">&lt;표 </w:t>
      </w:r>
      <w:r>
        <w:rPr/>
        <w:t>Ⅱ</w:t>
      </w:r>
      <w:r>
        <w:rPr/>
        <w:t>-</w:t>
      </w:r>
      <w:fldSimple w:instr="SEQ 표 \* ARABIC">
        <w:r>
          <w:t>2</w:t>
        </w:r>
      </w:fldSimple>
      <w:r>
        <w:rPr/>
        <w:t>&gt; 분석 대상 및 자료 출처, 정리방식</w:t>
      </w:r>
    </w:p>
    <w:tbl>
      <w:tblPr>
        <w:tblOverlap w:val="never"/>
        <w:tblW w:w="7200"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487"/>
        <w:gridCol w:w="2904"/>
        <w:gridCol w:w="3809"/>
      </w:tblGrid>
      <w:tr>
        <w:trPr>
          <w:trHeight w:val="303"/>
          <w:tblHeader/>
        </w:trPr>
        <w:tc>
          <w:tcPr>
            <w:tcW w:w="487" w:type="dxa"/>
            <w:tcBorders>
              <w:top w:val="single" w:color="000000" w:sz="7"/>
              <w:left w:val="none" w:color="000000" w:sz="7"/>
              <w:bottom w:val="double" w:color="000000" w:sz="4"/>
              <w:right w:val="single" w:color="000000" w:sz="3"/>
            </w:tcBorders>
            <w:shd w:val="clear" w:fill="2e5a88"/>
            <w:vAlign w:val="center"/>
          </w:tcPr>
          <w:p>
            <w:pPr>
              <w:pStyle w:val="14"/>
              <w:widowControl w:val="off"/>
              <w:wordWrap w:val="1"/>
              <w:jc w:val="center"/>
            </w:pPr>
            <w:r>
              <w:rPr>
                <w:rFonts w:eastAsia="KoPub돋움체 Medium"/>
                <w:b/>
                <w:color w:val="ffffff"/>
              </w:rPr>
              <w:t>구분</w:t>
            </w:r>
          </w:p>
        </w:tc>
        <w:tc>
          <w:tcPr>
            <w:tcW w:w="2904" w:type="dxa"/>
            <w:tcBorders>
              <w:top w:val="single" w:color="000000" w:sz="7"/>
              <w:left w:val="single" w:color="000000" w:sz="3"/>
              <w:bottom w:val="double" w:color="000000" w:sz="4"/>
              <w:right w:val="single" w:color="000000" w:sz="3"/>
            </w:tcBorders>
            <w:shd w:val="clear" w:fill="2e5a88"/>
            <w:vAlign w:val="center"/>
          </w:tcPr>
          <w:p>
            <w:pPr>
              <w:pStyle w:val="14"/>
              <w:widowControl w:val="off"/>
              <w:wordWrap w:val="1"/>
              <w:jc w:val="center"/>
            </w:pPr>
            <w:r>
              <w:rPr>
                <w:rFonts w:eastAsia="KoPub돋움체 Medium"/>
                <w:b/>
                <w:color w:val="ffffff"/>
              </w:rPr>
              <w:t>항목</w:t>
            </w:r>
          </w:p>
        </w:tc>
        <w:tc>
          <w:tcPr>
            <w:tcW w:w="3809" w:type="dxa"/>
            <w:tcBorders>
              <w:top w:val="single" w:color="000000" w:sz="7"/>
              <w:left w:val="single" w:color="000000" w:sz="3"/>
              <w:bottom w:val="double" w:color="000000" w:sz="4"/>
              <w:right w:val="none" w:color="000000" w:sz="7"/>
            </w:tcBorders>
            <w:shd w:val="clear" w:fill="2e5a88"/>
            <w:vAlign w:val="center"/>
          </w:tcPr>
          <w:p>
            <w:pPr>
              <w:pStyle w:val="14"/>
              <w:widowControl w:val="off"/>
              <w:wordWrap w:val="1"/>
              <w:jc w:val="center"/>
            </w:pPr>
            <w:r>
              <w:rPr>
                <w:rFonts w:eastAsia="KoPub돋움체 Medium"/>
                <w:b/>
                <w:color w:val="ffffff"/>
              </w:rPr>
              <w:t>내용</w:t>
            </w:r>
          </w:p>
        </w:tc>
      </w:tr>
      <w:tr>
        <w:trPr>
          <w:trHeight w:val="550"/>
        </w:trPr>
        <w:tc>
          <w:tcPr>
            <w:tcW w:w="487" w:type="dxa"/>
            <w:vMerge w:val="restart"/>
            <w:tcBorders>
              <w:top w:val="double" w:color="000000" w:sz="4"/>
              <w:left w:val="none" w:color="000000" w:sz="7"/>
              <w:bottom w:val="single" w:color="000000" w:sz="3"/>
              <w:right w:val="single" w:color="000000" w:sz="3"/>
            </w:tcBorders>
            <w:vAlign w:val="center"/>
          </w:tcPr>
          <w:p>
            <w:pPr>
              <w:pStyle w:val="14"/>
              <w:widowControl w:val="off"/>
              <w:wordWrap w:val="1"/>
              <w:jc w:val="center"/>
            </w:pPr>
            <w:r>
              <w:rPr/>
              <w:t>범위</w:t>
            </w:r>
          </w:p>
        </w:tc>
        <w:tc>
          <w:tcPr>
            <w:tcW w:w="2904" w:type="dxa"/>
            <w:tcBorders>
              <w:top w:val="double" w:color="000000" w:sz="4"/>
              <w:left w:val="single" w:color="000000" w:sz="3"/>
              <w:bottom w:val="single" w:color="000000" w:sz="3"/>
              <w:right w:val="single" w:color="000000" w:sz="3"/>
            </w:tcBorders>
            <w:vAlign w:val="center"/>
          </w:tcPr>
          <w:p>
            <w:pPr>
              <w:pStyle w:val="14"/>
              <w:widowControl w:val="off"/>
              <w:ind w:left="191" w:hanging="171"/>
            </w:pPr>
            <w:r>
              <w:rPr/>
              <w:t>분석대상</w:t>
            </w:r>
          </w:p>
        </w:tc>
        <w:tc>
          <w:tcPr>
            <w:tcW w:w="3809" w:type="dxa"/>
            <w:tcBorders>
              <w:top w:val="double" w:color="000000" w:sz="4"/>
              <w:left w:val="single" w:color="000000" w:sz="3"/>
              <w:bottom w:val="single" w:color="000000" w:sz="3"/>
              <w:right w:val="none" w:color="000000" w:sz="7"/>
            </w:tcBorders>
            <w:vAlign w:val="center"/>
          </w:tcPr>
          <w:p>
            <w:pPr>
              <w:pStyle w:val="14"/>
              <w:widowControl w:val="off"/>
              <w:ind w:left="191" w:hanging="171"/>
            </w:pPr>
            <w:r>
              <w:rPr>
                <w:b/>
                <w:spacing w:val="-2"/>
              </w:rPr>
              <w:t>서귀포시에서 추진한 축제사업 22개 (2025년 기준)</w:t>
            </w:r>
          </w:p>
        </w:tc>
      </w:tr>
      <w:tr>
        <w:trPr>
          <w:trHeight w:val="550"/>
        </w:trPr>
        <w:tc>
          <w:tcPr>
            <w:tcW w:w="487" w:type="dxa"/>
            <w:vMerge/>
            <w:tcBorders>
              <w:top w:val="double" w:color="000000" w:sz="4"/>
              <w:left w:val="none" w:color="000000" w:sz="7"/>
              <w:bottom w:val="single" w:color="000000" w:sz="3"/>
              <w:right w:val="single" w:color="000000" w:sz="3"/>
            </w:tcBorders>
          </w:tcPr>
          <w:p/>
        </w:tc>
        <w:tc>
          <w:tcPr>
            <w:tcW w:w="2904" w:type="dxa"/>
            <w:tcBorders>
              <w:top w:val="single" w:color="000000" w:sz="3"/>
              <w:left w:val="single" w:color="000000" w:sz="3"/>
              <w:bottom w:val="single" w:color="000000" w:sz="3"/>
              <w:right w:val="single" w:color="000000" w:sz="3"/>
            </w:tcBorders>
            <w:vAlign w:val="center"/>
          </w:tcPr>
          <w:p>
            <w:pPr>
              <w:pStyle w:val="14"/>
              <w:widowControl w:val="off"/>
              <w:ind w:left="191" w:hanging="171"/>
            </w:pPr>
            <w:r>
              <w:rPr>
                <w:spacing w:val="-2"/>
              </w:rPr>
              <w:t>분석 제외 대상</w:t>
            </w:r>
          </w:p>
        </w:tc>
        <w:tc>
          <w:tcPr>
            <w:tcW w:w="3809" w:type="dxa"/>
            <w:tcBorders>
              <w:top w:val="single" w:color="000000" w:sz="3"/>
              <w:left w:val="single" w:color="000000" w:sz="3"/>
              <w:bottom w:val="single" w:color="000000" w:sz="3"/>
              <w:right w:val="none" w:color="000000" w:sz="7"/>
            </w:tcBorders>
            <w:vAlign w:val="center"/>
          </w:tcPr>
          <w:p>
            <w:pPr>
              <w:pStyle w:val="14"/>
              <w:widowControl w:val="off"/>
              <w:ind w:left="191" w:hanging="171"/>
            </w:pPr>
            <w:r>
              <w:rPr>
                <w:b/>
                <w:spacing w:val="-2"/>
              </w:rPr>
              <w:t>축제사업에 해당하지 않는 서귀포시 추진 21개 사업 (2025년 기준) - 부록에 수록</w:t>
            </w:r>
          </w:p>
        </w:tc>
      </w:tr>
      <w:tr>
        <w:trPr>
          <w:trHeight w:val="1351"/>
        </w:trPr>
        <w:tc>
          <w:tcPr>
            <w:tcW w:w="487" w:type="dxa"/>
            <w:vMerge w:val="restart"/>
            <w:tcBorders>
              <w:top w:val="single" w:color="000000" w:sz="3"/>
              <w:left w:val="none" w:color="000000" w:sz="7"/>
              <w:bottom w:val="single" w:color="000000" w:sz="3"/>
              <w:right w:val="single" w:color="000000" w:sz="3"/>
            </w:tcBorders>
            <w:vAlign w:val="center"/>
          </w:tcPr>
          <w:p>
            <w:pPr>
              <w:pStyle w:val="14"/>
              <w:widowControl w:val="off"/>
              <w:wordWrap w:val="1"/>
              <w:jc w:val="center"/>
            </w:pPr>
            <w:r>
              <w:rPr/>
              <w:t>자료출처</w:t>
            </w:r>
          </w:p>
        </w:tc>
        <w:tc>
          <w:tcPr>
            <w:tcW w:w="2904" w:type="dxa"/>
            <w:tcBorders>
              <w:top w:val="single" w:color="000000" w:sz="3"/>
              <w:left w:val="single" w:color="000000" w:sz="3"/>
              <w:bottom w:val="single" w:color="000000" w:sz="3"/>
              <w:right w:val="single" w:color="000000" w:sz="3"/>
            </w:tcBorders>
            <w:vAlign w:val="center"/>
          </w:tcPr>
          <w:p>
            <w:pPr>
              <w:pStyle w:val="14"/>
              <w:widowControl w:val="off"/>
              <w:wordWrap w:val="1"/>
              <w:ind w:left="199" w:hanging="179"/>
              <w:jc w:val="left"/>
            </w:pPr>
            <w:r>
              <w:rPr/>
              <w:t>1차 자료 출처</w:t>
            </w:r>
          </w:p>
        </w:tc>
        <w:tc>
          <w:tcPr>
            <w:tcW w:w="3809" w:type="dxa"/>
            <w:tcBorders>
              <w:top w:val="single" w:color="000000" w:sz="3"/>
              <w:left w:val="single" w:color="000000" w:sz="3"/>
              <w:bottom w:val="single" w:color="000000" w:sz="3"/>
              <w:right w:val="none" w:color="000000" w:sz="7"/>
            </w:tcBorders>
            <w:vAlign w:val="center"/>
          </w:tcPr>
          <w:p>
            <w:pPr>
              <w:pStyle w:val="14"/>
              <w:widowControl w:val="off"/>
              <w:ind w:left="266" w:hanging="246"/>
            </w:pPr>
            <w:r>
              <w:rPr>
                <w:b/>
              </w:rPr>
              <w:t>서귀포시 취합 지역경제분석 자료 (2025년 기준)</w:t>
            </w:r>
          </w:p>
        </w:tc>
      </w:tr>
      <w:tr>
        <w:trPr>
          <w:trHeight w:val="550"/>
        </w:trPr>
        <w:tc>
          <w:tcPr>
            <w:tcW w:w="487" w:type="dxa"/>
            <w:vMerge/>
            <w:tcBorders>
              <w:top w:val="single" w:color="000000" w:sz="3"/>
              <w:left w:val="none" w:color="000000" w:sz="7"/>
              <w:bottom w:val="single" w:color="000000" w:sz="3"/>
              <w:right w:val="single" w:color="000000" w:sz="3"/>
            </w:tcBorders>
          </w:tcPr>
          <w:p/>
        </w:tc>
        <w:tc>
          <w:tcPr>
            <w:tcW w:w="2904" w:type="dxa"/>
            <w:tcBorders>
              <w:top w:val="single" w:color="000000" w:sz="3"/>
              <w:left w:val="single" w:color="000000" w:sz="3"/>
              <w:bottom w:val="single" w:color="000000" w:sz="3"/>
              <w:right w:val="single" w:color="000000" w:sz="3"/>
            </w:tcBorders>
            <w:vAlign w:val="center"/>
          </w:tcPr>
          <w:p>
            <w:pPr>
              <w:pStyle w:val="14"/>
              <w:widowControl w:val="off"/>
              <w:ind w:left="266" w:hanging="246"/>
            </w:pPr>
            <w:r>
              <w:rPr>
                <w:b/>
              </w:rPr>
              <w:t>2차 자료 출처</w:t>
            </w:r>
          </w:p>
        </w:tc>
        <w:tc>
          <w:tcPr>
            <w:tcW w:w="3809" w:type="dxa"/>
            <w:tcBorders>
              <w:top w:val="single" w:color="000000" w:sz="3"/>
              <w:left w:val="single" w:color="000000" w:sz="3"/>
              <w:bottom w:val="single" w:color="000000" w:sz="3"/>
              <w:right w:val="none" w:color="000000" w:sz="7"/>
            </w:tcBorders>
            <w:vAlign w:val="center"/>
          </w:tcPr>
          <w:p>
            <w:pPr>
              <w:pStyle w:val="14"/>
              <w:widowControl w:val="off"/>
              <w:ind w:left="266" w:hanging="246"/>
            </w:pPr>
            <w:r>
              <w:rPr>
                <w:b/>
              </w:rPr>
              <w:t>축제 담당 부서별 예산 세부내역 엑셀 17건</w:t>
            </w:r>
          </w:p>
          <w:p>
            <w:pPr>
              <w:pStyle w:val="14"/>
              <w:widowControl w:val="off"/>
              <w:ind w:left="266" w:hanging="246"/>
            </w:pPr>
            <w:r>
              <w:rPr>
                <w:b/>
              </w:rPr>
              <w:t>결과보고서·만족도조사 결과 14건</w:t>
            </w:r>
          </w:p>
        </w:tc>
      </w:tr>
      <w:tr>
        <w:trPr>
          <w:trHeight w:val="550"/>
        </w:trPr>
        <w:tc>
          <w:tcPr>
            <w:tcW w:w="487" w:type="dxa"/>
            <w:tcBorders>
              <w:top w:val="single" w:color="000000" w:sz="3"/>
              <w:left w:val="none" w:color="000000" w:sz="7"/>
              <w:bottom w:val="single" w:color="000000" w:sz="3"/>
              <w:right w:val="single" w:color="000000" w:sz="3"/>
            </w:tcBorders>
            <w:vAlign w:val="center"/>
          </w:tcPr>
          <w:p>
            <w:pPr>
              <w:pStyle w:val="14"/>
              <w:widowControl w:val="off"/>
              <w:wordWrap w:val="1"/>
              <w:jc w:val="center"/>
            </w:pPr>
            <w:r>
              <w:rPr/>
              <w:t>자료 처리</w:t>
            </w:r>
          </w:p>
        </w:tc>
        <w:tc>
          <w:tcPr>
            <w:tcW w:w="2904" w:type="dxa"/>
            <w:tcBorders>
              <w:top w:val="single" w:color="000000" w:sz="3"/>
              <w:left w:val="single" w:color="000000" w:sz="3"/>
              <w:bottom w:val="single" w:color="000000" w:sz="3"/>
              <w:right w:val="single" w:color="000000" w:sz="3"/>
            </w:tcBorders>
            <w:vAlign w:val="center"/>
          </w:tcPr>
          <w:p>
            <w:pPr>
              <w:pStyle w:val="14"/>
              <w:widowControl w:val="off"/>
              <w:ind w:left="266" w:hanging="246"/>
            </w:pPr>
            <w:r>
              <w:rPr>
                <w:b/>
              </w:rPr>
              <w:t>정리 방식</w:t>
            </w:r>
          </w:p>
        </w:tc>
        <w:tc>
          <w:tcPr>
            <w:tcW w:w="3809" w:type="dxa"/>
            <w:tcBorders>
              <w:top w:val="single" w:color="000000" w:sz="3"/>
              <w:left w:val="single" w:color="000000" w:sz="3"/>
              <w:bottom w:val="single" w:color="000000" w:sz="3"/>
              <w:right w:val="none" w:color="000000" w:sz="7"/>
            </w:tcBorders>
            <w:vAlign w:val="center"/>
          </w:tcPr>
          <w:p>
            <w:pPr>
              <w:pStyle w:val="14"/>
              <w:widowControl w:val="off"/>
              <w:ind w:left="266" w:hanging="246"/>
            </w:pPr>
            <w:r>
              <w:rPr>
                <w:b/>
              </w:rPr>
              <w:t xml:space="preserve">사업 분류 </w:t>
            </w:r>
            <w:r>
              <w:rPr>
                <w:b/>
              </w:rPr>
              <w:t>–</w:t>
            </w:r>
            <w:r>
              <w:rPr>
                <w:b/>
              </w:rPr>
              <w:t xml:space="preserve"> 사업 분류별 분석 표준화 </w:t>
            </w:r>
            <w:r>
              <w:rPr>
                <w:b/>
              </w:rPr>
              <w:t>–</w:t>
            </w:r>
            <w:r>
              <w:rPr>
                <w:b/>
              </w:rPr>
              <w:t xml:space="preserve"> 자료 완비도에 따라 대응</w:t>
            </w:r>
          </w:p>
        </w:tc>
      </w:tr>
      <w:tr>
        <w:trPr>
          <w:trHeight w:val="436"/>
        </w:trPr>
        <w:tc>
          <w:tcPr>
            <w:tcW w:w="7200" w:type="dxa"/>
            <w:gridSpan w:val="3"/>
            <w:tcBorders>
              <w:top w:val="single" w:color="000000" w:sz="7"/>
              <w:left w:val="none" w:color="000000" w:sz="3"/>
              <w:bottom w:val="none" w:color="000000" w:sz="3"/>
              <w:right w:val="none" w:color="000000" w:sz="3"/>
            </w:tcBorders>
            <w:vAlign w:val="center"/>
          </w:tcPr>
          <w:p>
            <w:pPr>
              <w:pStyle w:val="15"/>
              <w:widowControl w:val="off"/>
              <w:wordWrap w:val="1"/>
              <w:ind w:left="496" w:hanging="496"/>
              <w:jc w:val="left"/>
              <w:rPr>
                <w:color w:val="ff0000"/>
                <w:sz w:val="14"/>
              </w:rPr>
            </w:pPr>
          </w:p>
        </w:tc>
      </w:tr>
    </w:tbl>
    <w:p>
      <w:pPr>
        <w:pStyle w:val="16"/>
        <w:widowControl w:val="off"/>
        <w:snapToGrid w:val="off"/>
        <w:spacing w:after="0" w:line="384"/>
      </w:pPr>
    </w:p>
    <w:p>
      <w:pPr>
        <w:pStyle w:val="16"/>
        <w:widowControl w:val="off"/>
        <w:snapToGrid w:val="off"/>
        <w:spacing w:after="0" w:line="384"/>
        <w:rPr/>
      </w:pPr>
    </w:p>
    <w:p>
      <w:pPr>
        <w:pStyle w:val="1"/>
        <w:widowControl w:val="off"/>
      </w:pPr>
      <w:r>
        <w:rPr/>
        <w:t>수집 자료는 사업별로 크게 세 영역으로 구분화여 표준화하였음</w:t>
      </w:r>
    </w:p>
    <w:p>
      <w:pPr>
        <w:pStyle w:val="2"/>
        <w:widowControl w:val="off"/>
      </w:pPr>
      <w:r>
        <w:rPr/>
        <w:t>예산 세부내역</w:t>
      </w:r>
    </w:p>
    <w:p>
      <w:pPr>
        <w:pStyle w:val="2"/>
        <w:widowControl w:val="off"/>
      </w:pPr>
      <w:r>
        <w:rPr/>
        <w:t>참여자·방문객 관련 자료</w:t>
      </w:r>
    </w:p>
    <w:p>
      <w:pPr>
        <w:pStyle w:val="2"/>
        <w:widowControl w:val="off"/>
      </w:pPr>
      <w:r>
        <w:rPr/>
        <w:t>결과보고서·만족도조사</w:t>
      </w:r>
    </w:p>
    <w:p>
      <w:pPr>
        <w:pStyle w:val="1"/>
        <w:widowControl w:val="off"/>
      </w:pPr>
      <w:r>
        <w:rPr/>
        <w:t>자료 누락분은 담당 부서와의 연락을 통해 최대한 확보하여 보강하였음</w:t>
      </w:r>
    </w:p>
    <w:p>
      <w:pPr>
        <w:pStyle w:val="2"/>
        <w:widowControl w:val="off"/>
        <w:rPr/>
      </w:pPr>
    </w:p>
    <w:p>
      <w:pPr>
        <w:pStyle w:val="4"/>
        <w:widowControl w:val="off"/>
      </w:pPr>
      <w:r>
        <w:rPr/>
        <w:t>축제 유형</w:t>
      </w:r>
    </w:p>
    <w:p>
      <w:pPr>
        <w:pStyle w:val="5"/>
        <w:widowControl w:val="off"/>
      </w:pPr>
      <w:r>
        <w:rPr/>
        <w:t>축제 테마에 기반한 유형 분류</w:t>
      </w:r>
    </w:p>
    <w:p>
      <w:pPr>
        <w:pStyle w:val="1"/>
        <w:widowControl w:val="off"/>
      </w:pPr>
      <w:r>
        <w:rPr/>
        <w:t>분석 대상인 22개 축제사업을 사업의 목적과 주요 콘텐츠를 기반으로 크게 4개 우형으로 구분하였음</w:t>
      </w:r>
    </w:p>
    <w:p>
      <w:pPr>
        <w:pStyle w:val="2"/>
        <w:widowControl w:val="off"/>
      </w:pPr>
      <w:r>
        <w:rPr/>
        <w:t>자연·경관 자원 활용형</w:t>
      </w:r>
    </w:p>
    <w:p>
      <w:pPr>
        <w:pStyle w:val="2"/>
        <w:widowControl w:val="off"/>
      </w:pPr>
      <w:r>
        <w:rPr/>
        <w:t>지역 특산물·먹거리형</w:t>
      </w:r>
    </w:p>
    <w:p>
      <w:pPr>
        <w:pStyle w:val="2"/>
        <w:widowControl w:val="off"/>
      </w:pPr>
      <w:r>
        <w:rPr/>
        <w:t>도심·체류 유도형</w:t>
      </w:r>
    </w:p>
    <w:p>
      <w:pPr>
        <w:pStyle w:val="2"/>
        <w:widowControl w:val="off"/>
      </w:pPr>
      <w:r>
        <w:rPr/>
        <w:t>마을·동네 화합형</w:t>
      </w:r>
    </w:p>
    <w:p>
      <w:pPr>
        <w:pStyle w:val="1"/>
        <w:widowControl w:val="off"/>
      </w:pPr>
      <w:r>
        <w:rPr/>
        <w:t>세부 사항은 표 &lt;II-&gt;에 정리하였음</w:t>
      </w:r>
    </w:p>
    <w:p>
      <w:pPr>
        <w:pStyle w:val="2"/>
        <w:widowControl w:val="off"/>
        <w:rPr/>
      </w:pPr>
    </w:p>
    <w:p>
      <w:pPr>
        <w:pStyle w:val="7"/>
        <w:widowControl w:val="off"/>
      </w:pPr>
      <w:r>
        <w:rPr/>
        <w:t>&lt;표 II-</w:t>
      </w:r>
      <w:fldSimple w:instr="SEQ 표 \* ARABIC">
        <w:r>
          <w:t>3</w:t>
        </w:r>
      </w:fldSimple>
      <w:r>
        <w:rPr/>
        <w:t>&gt; 테마에 기반한 서귀포 축제 유형 분류</w:t>
      </w:r>
    </w:p>
    <w:tbl>
      <w:tblPr>
        <w:tblOverlap w:val="never"/>
        <w:tblW w:w="719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57"/>
        <w:gridCol w:w="596"/>
        <w:gridCol w:w="2535"/>
        <w:gridCol w:w="2204"/>
      </w:tblGrid>
      <w:tr>
        <w:trPr>
          <w:trHeight w:val="56"/>
          <w:tblHeader/>
        </w:trPr>
        <w:tc>
          <w:tcPr>
            <w:tcW w:w="1857"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유형</w:t>
            </w:r>
          </w:p>
        </w:tc>
        <w:tc>
          <w:tcPr>
            <w:tcW w:w="596"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개수</w:t>
            </w:r>
          </w:p>
        </w:tc>
        <w:tc>
          <w:tcPr>
            <w:tcW w:w="2535"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해당 사업</w:t>
            </w:r>
          </w:p>
        </w:tc>
        <w:tc>
          <w:tcPr>
            <w:tcW w:w="2204"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핵심 특징</w:t>
            </w:r>
          </w:p>
        </w:tc>
      </w:tr>
      <w:tr>
        <w:trPr>
          <w:trHeight w:val="56"/>
        </w:trPr>
        <w:tc>
          <w:tcPr>
            <w:tcW w:w="1857"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자연·경관 자원 활용형</w:t>
            </w:r>
          </w:p>
        </w:tc>
        <w:tc>
          <w:tcPr>
            <w:tcW w:w="596"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9</w:t>
            </w:r>
          </w:p>
        </w:tc>
        <w:tc>
          <w:tcPr>
            <w:tcW w:w="2535"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P07, P08, P13, P24, P25, P28, P29, P37, P39</w:t>
            </w:r>
          </w:p>
        </w:tc>
        <w:tc>
          <w:tcPr>
            <w:tcW w:w="2204"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계절성 자원(유채·청보리·고사리 등)을 콘텐츠화</w:t>
            </w:r>
          </w:p>
        </w:tc>
      </w:tr>
      <w:tr>
        <w:trPr>
          <w:trHeight w:val="56"/>
        </w:trPr>
        <w:tc>
          <w:tcPr>
            <w:tcW w:w="185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지역 특산물·먹거리형</w:t>
            </w:r>
          </w:p>
        </w:tc>
        <w:tc>
          <w:tcPr>
            <w:tcW w:w="5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3</w:t>
            </w:r>
          </w:p>
        </w:tc>
        <w:tc>
          <w:tcPr>
            <w:tcW w:w="2535"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P23, P26, P32</w:t>
            </w:r>
          </w:p>
        </w:tc>
        <w:tc>
          <w:tcPr>
            <w:tcW w:w="220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마늘·자리돔·조개 등 향토 산물 홍보·판매</w:t>
            </w:r>
          </w:p>
        </w:tc>
      </w:tr>
      <w:tr>
        <w:trPr>
          <w:trHeight w:val="56"/>
        </w:trPr>
        <w:tc>
          <w:tcPr>
            <w:tcW w:w="185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도심·체류 유도형</w:t>
            </w:r>
          </w:p>
        </w:tc>
        <w:tc>
          <w:tcPr>
            <w:tcW w:w="5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5</w:t>
            </w:r>
          </w:p>
        </w:tc>
        <w:tc>
          <w:tcPr>
            <w:tcW w:w="2535"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P03, P06, P09, P10, P12</w:t>
            </w:r>
          </w:p>
        </w:tc>
        <w:tc>
          <w:tcPr>
            <w:tcW w:w="220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원도심·새연교 등 도심 거점에서 야간·주말 콘텐츠 운영</w:t>
            </w:r>
          </w:p>
        </w:tc>
      </w:tr>
      <w:tr>
        <w:trPr>
          <w:trHeight w:val="56"/>
        </w:trPr>
        <w:tc>
          <w:tcPr>
            <w:tcW w:w="1857"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마을·동네 화합형</w:t>
            </w:r>
          </w:p>
        </w:tc>
        <w:tc>
          <w:tcPr>
            <w:tcW w:w="596"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5</w:t>
            </w:r>
          </w:p>
        </w:tc>
        <w:tc>
          <w:tcPr>
            <w:tcW w:w="2535"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P02, P36, P38, P42, P43</w:t>
            </w:r>
          </w:p>
        </w:tc>
        <w:tc>
          <w:tcPr>
            <w:tcW w:w="2204"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지역커뮤니티 주도, 지역주민·관광객 교류 중심</w:t>
            </w:r>
          </w:p>
        </w:tc>
      </w:tr>
    </w:tbl>
    <w:p>
      <w:pPr>
        <w:pStyle w:val="0"/>
        <w:widowControl w:val="off"/>
        <w:jc w:val="left"/>
      </w:pPr>
    </w:p>
    <w:p>
      <w:pPr>
        <w:pStyle w:val="0"/>
        <w:widowControl w:val="off"/>
        <w:jc w:val="left"/>
        <w:rPr>
          <w:rFonts w:ascii="굴림" w:eastAsia="굴림"/>
          <w:b/>
          <w:color w:val="000000"/>
          <w:shd w:val="clear" w:color="000000"/>
        </w:rPr>
      </w:pPr>
    </w:p>
    <w:p>
      <w:pPr>
        <w:pStyle w:val="2"/>
        <w:widowControl w:val="off"/>
        <w:rPr/>
      </w:pPr>
    </w:p>
    <w:p>
      <w:pPr>
        <w:pStyle w:val="1"/>
        <w:widowControl w:val="off"/>
      </w:pPr>
      <w:r>
        <w:rPr/>
        <w:t>유형 특성으로 보이는 2025년 서귀포 축제사업의 성격은 다음과 같음</w:t>
      </w:r>
    </w:p>
    <w:p>
      <w:pPr>
        <w:pStyle w:val="1"/>
        <w:widowControl w:val="off"/>
      </w:pPr>
      <w:r>
        <w:rPr/>
        <w:t>첫째, ‘자연·경관 자원 활용형’ 축제가 9개(41%)로 가장 높은 비중을 차지하고 있음</w:t>
      </w:r>
    </w:p>
    <w:p>
      <w:pPr>
        <w:pStyle w:val="2"/>
        <w:widowControl w:val="off"/>
      </w:pPr>
      <w:r>
        <w:rPr/>
        <w:t>봄 유채꽃·청보리·고사리·벚꽃, 가을 메밀·해바라기 등 계절성 자원이 적극 활용되고 있음</w:t>
      </w:r>
    </w:p>
    <w:p>
      <w:pPr>
        <w:pStyle w:val="1"/>
        <w:widowControl w:val="off"/>
      </w:pPr>
      <w:r>
        <w:rPr/>
        <w:t>둘째, 도심·체류 유도형 축제는 사업 수는 적지만 예산의 비중은 높으며 외지인을 유치한다는 명확한 목적성을 보이고 있음</w:t>
      </w:r>
    </w:p>
    <w:p>
      <w:pPr>
        <w:pStyle w:val="2"/>
        <w:widowControl w:val="off"/>
      </w:pPr>
      <w:r>
        <w:rPr/>
        <w:t>새연교 주말 공연(P09), 야해 페스티벌(P10), 칠십리 축제(P12) 등이 여기에 해당됨</w:t>
      </w:r>
    </w:p>
    <w:p>
      <w:pPr>
        <w:pStyle w:val="1"/>
        <w:widowControl w:val="off"/>
      </w:pPr>
      <w:r>
        <w:rPr/>
        <w:t>셋째, 마을·동네 화합형 축제는 소액·단기·소규모로 운영되는 특성을 보이고 있으며 지역 커뮤니티에 대한 의존도가 높다는 특성을 보임</w:t>
      </w:r>
    </w:p>
    <w:p>
      <w:pPr>
        <w:pStyle w:val="2"/>
        <w:widowControl w:val="off"/>
      </w:pPr>
      <w:r>
        <w:rPr/>
        <w:t>정월대보름(P38), 칠선녀축제(P42), 논짓물 축제(P43) 등이 여기에 해당됨</w:t>
      </w:r>
    </w:p>
    <w:p>
      <w:pPr>
        <w:pStyle w:val="2"/>
        <w:widowControl w:val="off"/>
        <w:rPr/>
      </w:pPr>
    </w:p>
    <w:p>
      <w:pPr>
        <w:pStyle w:val="5"/>
        <w:widowControl w:val="off"/>
      </w:pPr>
      <w:r>
        <w:rPr/>
        <w:t>사업 회차(연혁) 기반 분류</w:t>
      </w:r>
    </w:p>
    <w:p>
      <w:pPr>
        <w:pStyle w:val="1"/>
        <w:widowControl w:val="off"/>
      </w:pPr>
      <w:r>
        <w:rPr/>
        <w:t>축제의 개최 횟수는 사업의 장기 지속성과 안정성을 가늠하는 지표로 활용될 수 있음</w:t>
      </w:r>
    </w:p>
    <w:p>
      <w:pPr>
        <w:pStyle w:val="1"/>
        <w:widowControl w:val="off"/>
      </w:pPr>
      <w:r>
        <w:rPr/>
        <w:t>&lt;표 II-##&gt;는 회차별 축제 현황을 정리하고 있음</w:t>
      </w:r>
    </w:p>
    <w:p>
      <w:pPr>
        <w:pStyle w:val="2"/>
        <w:widowControl w:val="off"/>
        <w:rPr/>
      </w:pPr>
    </w:p>
    <w:p>
      <w:pPr>
        <w:pStyle w:val="7"/>
        <w:widowControl w:val="off"/>
      </w:pPr>
      <w:r>
        <w:rPr/>
        <w:t>&lt;표 II-</w:t>
      </w:r>
      <w:fldSimple w:instr="SEQ 표 \* ARABIC">
        <w:r>
          <w:t>4</w:t>
        </w:r>
      </w:fldSimple>
      <w:r>
        <w:rPr/>
        <w:t>&gt; 회차별 축제 현황</w:t>
      </w:r>
    </w:p>
    <w:tbl>
      <w:tblPr>
        <w:tblOverlap w:val="never"/>
        <w:tblW w:w="722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91"/>
        <w:gridCol w:w="1332"/>
        <w:gridCol w:w="992"/>
        <w:gridCol w:w="3708"/>
      </w:tblGrid>
      <w:tr>
        <w:trPr>
          <w:trHeight w:val="56"/>
          <w:tblHeader/>
        </w:trPr>
        <w:tc>
          <w:tcPr>
            <w:tcW w:w="1191"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구분</w:t>
            </w:r>
          </w:p>
        </w:tc>
        <w:tc>
          <w:tcPr>
            <w:tcW w:w="1332"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회차 범위</w:t>
            </w:r>
          </w:p>
        </w:tc>
        <w:tc>
          <w:tcPr>
            <w:tcW w:w="992"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개수</w:t>
            </w:r>
          </w:p>
        </w:tc>
        <w:tc>
          <w:tcPr>
            <w:tcW w:w="3708"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대표 사업</w:t>
            </w:r>
          </w:p>
        </w:tc>
      </w:tr>
      <w:tr>
        <w:trPr>
          <w:trHeight w:val="56"/>
        </w:trPr>
        <w:tc>
          <w:tcPr>
            <w:tcW w:w="1191"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전통(20회 이상)</w:t>
            </w:r>
          </w:p>
        </w:tc>
        <w:tc>
          <w:tcPr>
            <w:tcW w:w="1332"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21~42회</w:t>
            </w:r>
          </w:p>
        </w:tc>
        <w:tc>
          <w:tcPr>
            <w:tcW w:w="992"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6</w:t>
            </w:r>
          </w:p>
        </w:tc>
        <w:tc>
          <w:tcPr>
            <w:tcW w:w="3708"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유채꽃축제(P13, 42회), 칠십리축제(P12, 31회), 고사리축제(P25, 29회), 논짓물축제(P43, 23회), 쇠소깍축제(P36, 21회), 보목자리돔(P32, 21회)</w:t>
            </w:r>
          </w:p>
        </w:tc>
      </w:tr>
      <w:tr>
        <w:trPr>
          <w:trHeight w:val="56"/>
        </w:trPr>
        <w:tc>
          <w:tcPr>
            <w:tcW w:w="1191"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정착(10~19회)</w:t>
            </w:r>
          </w:p>
        </w:tc>
        <w:tc>
          <w:tcPr>
            <w:tcW w:w="133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17회</w:t>
            </w:r>
          </w:p>
        </w:tc>
        <w:tc>
          <w:tcPr>
            <w:tcW w:w="99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1</w:t>
            </w:r>
          </w:p>
        </w:tc>
        <w:tc>
          <w:tcPr>
            <w:tcW w:w="370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정월대보름축제(P38, 17회)</w:t>
            </w:r>
          </w:p>
        </w:tc>
      </w:tr>
      <w:tr>
        <w:trPr>
          <w:trHeight w:val="56"/>
        </w:trPr>
        <w:tc>
          <w:tcPr>
            <w:tcW w:w="1191"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신생·초창기(10회 미만)</w:t>
            </w:r>
          </w:p>
        </w:tc>
        <w:tc>
          <w:tcPr>
            <w:tcW w:w="133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4~6회</w:t>
            </w:r>
          </w:p>
        </w:tc>
        <w:tc>
          <w:tcPr>
            <w:tcW w:w="99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4</w:t>
            </w:r>
          </w:p>
        </w:tc>
        <w:tc>
          <w:tcPr>
            <w:tcW w:w="370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안덕 수눌음(P29, 6회), 소상공인 박람회(P02, 4회), 성산 조개바당(P26, 4회), 광평리 메밀(P28)</w:t>
            </w:r>
          </w:p>
        </w:tc>
      </w:tr>
      <w:tr>
        <w:trPr>
          <w:trHeight w:val="56"/>
        </w:trPr>
        <w:tc>
          <w:tcPr>
            <w:tcW w:w="1191"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단년·실험형</w:t>
            </w:r>
          </w:p>
        </w:tc>
        <w:tc>
          <w:tcPr>
            <w:tcW w:w="133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1~2회</w:t>
            </w:r>
          </w:p>
        </w:tc>
        <w:tc>
          <w:tcPr>
            <w:tcW w:w="99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다수</w:t>
            </w:r>
          </w:p>
        </w:tc>
        <w:tc>
          <w:tcPr>
            <w:tcW w:w="370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야해 페스티벌(P10), 서홍 벚꽃(P39), 영천 해바라기(P37) 등</w:t>
            </w:r>
          </w:p>
        </w:tc>
      </w:tr>
      <w:tr>
        <w:trPr>
          <w:trHeight w:val="56"/>
        </w:trPr>
        <w:tc>
          <w:tcPr>
            <w:tcW w:w="1191"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국가행사</w:t>
            </w:r>
          </w:p>
        </w:tc>
        <w:tc>
          <w:tcPr>
            <w:tcW w:w="1332"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w:t>
            </w:r>
          </w:p>
        </w:tc>
        <w:tc>
          <w:tcPr>
            <w:tcW w:w="992"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1</w:t>
            </w:r>
          </w:p>
        </w:tc>
        <w:tc>
          <w:tcPr>
            <w:tcW w:w="3708"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2025 문화의 달(P06, 문체부 공모 선정)</w:t>
            </w:r>
          </w:p>
        </w:tc>
      </w:tr>
    </w:tbl>
    <w:p>
      <w:pPr>
        <w:pStyle w:val="0"/>
        <w:widowControl w:val="off"/>
        <w:jc w:val="left"/>
      </w:pPr>
    </w:p>
    <w:p>
      <w:pPr>
        <w:pStyle w:val="2"/>
        <w:widowControl w:val="off"/>
        <w:rPr/>
      </w:pPr>
    </w:p>
    <w:p>
      <w:pPr>
        <w:pStyle w:val="1"/>
        <w:widowControl w:val="off"/>
      </w:pPr>
      <w:r>
        <w:rPr/>
        <w:t>회차별로 보았을 때 서귀포 축제 사업은 전통 축제군과 신생·실험형 축제군이 양극화되어 있음</w:t>
      </w:r>
    </w:p>
    <w:p>
      <w:pPr>
        <w:pStyle w:val="2"/>
        <w:widowControl w:val="off"/>
      </w:pPr>
      <w:r>
        <w:rPr/>
        <w:t>정착 단계(10~19회)에 머무는 사업은 단 1개 사업으로 상대적으로 적음</w:t>
      </w:r>
    </w:p>
    <w:p>
      <w:pPr>
        <w:pStyle w:val="1"/>
        <w:widowControl w:val="off"/>
      </w:pPr>
      <w:r>
        <w:rPr/>
        <w:t>이는 신규 축제가 일정 기간 누적된 후 정착·전통 단계로 자연 발전하기보다는 단년·실험형으로 끝나거나 곧바로 종료되는 경향이 있음을 시사함</w:t>
      </w:r>
    </w:p>
    <w:p>
      <w:pPr>
        <w:pStyle w:val="2"/>
        <w:widowControl w:val="off"/>
        <w:rPr/>
      </w:pPr>
    </w:p>
    <w:p>
      <w:pPr>
        <w:pStyle w:val="4"/>
        <w:widowControl w:val="off"/>
      </w:pPr>
      <w:r>
        <w:rPr/>
        <w:t>공간 분포 및 개최 시기</w:t>
      </w:r>
    </w:p>
    <w:p>
      <w:pPr>
        <w:pStyle w:val="0"/>
        <w:widowControl w:val="off"/>
        <w:rPr/>
      </w:pPr>
    </w:p>
    <w:p>
      <w:pPr>
        <w:pStyle w:val="5"/>
        <w:widowControl w:val="off"/>
      </w:pPr>
      <w:r>
        <w:rPr/>
        <w:t>행정조직 계층별 분포</w:t>
      </w:r>
    </w:p>
    <w:p>
      <w:pPr>
        <w:pStyle w:val="1"/>
        <w:widowControl w:val="off"/>
      </w:pPr>
      <w:r>
        <w:rPr/>
        <w:t xml:space="preserve">서귀포 2025년 축제 사업 주관 부서는 (1) 시 단위 </w:t>
      </w:r>
      <w:r>
        <w:rPr/>
        <w:t>–</w:t>
      </w:r>
      <w:r>
        <w:rPr/>
        <w:t xml:space="preserve"> 서귀포시 본청, (2) 읍·면 단위, 그리고 (3) 동 단위 세 계층으로 분류함</w:t>
      </w:r>
    </w:p>
    <w:p>
      <w:pPr>
        <w:pStyle w:val="2"/>
        <w:widowControl w:val="off"/>
        <w:rPr/>
      </w:pPr>
    </w:p>
    <w:p>
      <w:pPr>
        <w:pStyle w:val="7"/>
        <w:widowControl w:val="off"/>
      </w:pPr>
      <w:r>
        <w:rPr/>
        <w:t>&lt;표 II-</w:t>
      </w:r>
      <w:fldSimple w:instr="SEQ 표 \* ARABIC">
        <w:r>
          <w:t>5</w:t>
        </w:r>
      </w:fldSimple>
      <w:r>
        <w:rPr/>
        <w:t>&gt; 행정조직 계층별 축제 분포</w:t>
      </w:r>
    </w:p>
    <w:tbl>
      <w:tblPr>
        <w:tblOverlap w:val="never"/>
        <w:tblW w:w="714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17"/>
        <w:gridCol w:w="440"/>
        <w:gridCol w:w="1194"/>
        <w:gridCol w:w="1307"/>
        <w:gridCol w:w="3391"/>
      </w:tblGrid>
      <w:tr>
        <w:trPr>
          <w:trHeight w:val="56"/>
          <w:tblHeader/>
        </w:trPr>
        <w:tc>
          <w:tcPr>
            <w:tcW w:w="817"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계층</w:t>
            </w:r>
          </w:p>
        </w:tc>
        <w:tc>
          <w:tcPr>
            <w:tcW w:w="44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개수</w:t>
            </w:r>
          </w:p>
        </w:tc>
        <w:tc>
          <w:tcPr>
            <w:tcW w:w="1194"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예산 합계(M원)</w:t>
            </w:r>
          </w:p>
        </w:tc>
        <w:tc>
          <w:tcPr>
            <w:tcW w:w="1307"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평균 예산(M원)</w:t>
            </w:r>
          </w:p>
        </w:tc>
        <w:tc>
          <w:tcPr>
            <w:tcW w:w="3391"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14"/>
              <w:widowControl w:val="off"/>
            </w:pPr>
            <w:r>
              <w:rPr/>
              <w:t>주관 부서</w:t>
            </w:r>
          </w:p>
        </w:tc>
      </w:tr>
      <w:tr>
        <w:trPr>
          <w:trHeight w:val="56"/>
        </w:trPr>
        <w:tc>
          <w:tcPr>
            <w:tcW w:w="817"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시본청 과</w:t>
            </w:r>
          </w:p>
        </w:tc>
        <w:tc>
          <w:tcPr>
            <w:tcW w:w="44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9</w:t>
            </w:r>
          </w:p>
        </w:tc>
        <w:tc>
          <w:tcPr>
            <w:tcW w:w="1194"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3,370.5</w:t>
            </w:r>
          </w:p>
        </w:tc>
        <w:tc>
          <w:tcPr>
            <w:tcW w:w="1307"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374.5</w:t>
            </w:r>
          </w:p>
        </w:tc>
        <w:tc>
          <w:tcPr>
            <w:tcW w:w="3391"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경제일자리과(2), 문화예술과(1), 관광진흥과(6)</w:t>
            </w:r>
          </w:p>
        </w:tc>
      </w:tr>
      <w:tr>
        <w:trPr>
          <w:trHeight w:val="56"/>
        </w:trPr>
        <w:tc>
          <w:tcPr>
            <w:tcW w:w="81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읍·면</w:t>
            </w:r>
          </w:p>
        </w:tc>
        <w:tc>
          <w:tcPr>
            <w:tcW w:w="44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6</w:t>
            </w:r>
          </w:p>
        </w:tc>
        <w:tc>
          <w:tcPr>
            <w:tcW w:w="119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431.7</w:t>
            </w:r>
          </w:p>
        </w:tc>
        <w:tc>
          <w:tcPr>
            <w:tcW w:w="130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71.9</w:t>
            </w:r>
          </w:p>
        </w:tc>
        <w:tc>
          <w:tcPr>
            <w:tcW w:w="3391"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대정읍(2), 남원읍(1), 성산읍(1), 안덕면(2)</w:t>
            </w:r>
          </w:p>
        </w:tc>
      </w:tr>
      <w:tr>
        <w:trPr>
          <w:trHeight w:val="56"/>
        </w:trPr>
        <w:tc>
          <w:tcPr>
            <w:tcW w:w="81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동</w:t>
            </w:r>
          </w:p>
        </w:tc>
        <w:tc>
          <w:tcPr>
            <w:tcW w:w="44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7</w:t>
            </w:r>
          </w:p>
        </w:tc>
        <w:tc>
          <w:tcPr>
            <w:tcW w:w="119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526.0</w:t>
            </w:r>
          </w:p>
        </w:tc>
        <w:tc>
          <w:tcPr>
            <w:tcW w:w="130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75.1</w:t>
            </w:r>
          </w:p>
        </w:tc>
        <w:tc>
          <w:tcPr>
            <w:tcW w:w="3391"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14"/>
              <w:widowControl w:val="off"/>
            </w:pPr>
            <w:r>
              <w:rPr/>
              <w:t>송산·효돈·영천·동홍·서홍·중문·예래 (각 1개)</w:t>
            </w:r>
          </w:p>
        </w:tc>
      </w:tr>
      <w:tr>
        <w:trPr>
          <w:trHeight w:val="56"/>
        </w:trPr>
        <w:tc>
          <w:tcPr>
            <w:tcW w:w="817"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합계</w:t>
            </w:r>
          </w:p>
        </w:tc>
        <w:tc>
          <w:tcPr>
            <w:tcW w:w="44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22</w:t>
            </w:r>
          </w:p>
        </w:tc>
        <w:tc>
          <w:tcPr>
            <w:tcW w:w="1194"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4,328.2</w:t>
            </w:r>
          </w:p>
        </w:tc>
        <w:tc>
          <w:tcPr>
            <w:tcW w:w="1307"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196.7</w:t>
            </w:r>
          </w:p>
        </w:tc>
        <w:tc>
          <w:tcPr>
            <w:tcW w:w="3391"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14"/>
              <w:widowControl w:val="off"/>
            </w:pPr>
            <w:r>
              <w:rPr/>
              <w:t>-</w:t>
            </w:r>
          </w:p>
        </w:tc>
      </w:tr>
    </w:tbl>
    <w:p>
      <w:pPr>
        <w:pStyle w:val="0"/>
        <w:widowControl w:val="off"/>
        <w:jc w:val="left"/>
      </w:pPr>
    </w:p>
    <w:p>
      <w:pPr>
        <w:pStyle w:val="1"/>
        <w:widowControl w:val="off"/>
        <w:rPr/>
      </w:pPr>
    </w:p>
    <w:p>
      <w:pPr>
        <w:pStyle w:val="1"/>
        <w:widowControl w:val="off"/>
      </w:pPr>
      <w:r>
        <w:rPr/>
        <w:t>행정조직 계층별 특징은 다음과 같이 나타남</w:t>
      </w:r>
    </w:p>
    <w:p>
      <w:pPr>
        <w:pStyle w:val="1"/>
        <w:widowControl w:val="off"/>
      </w:pPr>
      <w:r>
        <w:rPr/>
        <w:t>첫째, 서귀포시 본청과 단위 9개 사업이 전체 예산의 77.9%를 차지함</w:t>
      </w:r>
    </w:p>
    <w:p>
      <w:pPr>
        <w:pStyle w:val="2"/>
        <w:widowControl w:val="off"/>
      </w:pPr>
      <w:r>
        <w:rPr/>
        <w:t>대규모 광역형 축제가 시본청 관광진흥과를 중심으로 집중되어 있음</w:t>
      </w:r>
    </w:p>
    <w:p>
      <w:pPr>
        <w:pStyle w:val="1"/>
        <w:widowControl w:val="off"/>
      </w:pPr>
      <w:r>
        <w:rPr/>
        <w:t>둘째, 읍·면 단위 6개와 동 단위 7개 사업은 평균예산 70백만 원대로 유사한 규모임</w:t>
      </w:r>
    </w:p>
    <w:p>
      <w:pPr>
        <w:pStyle w:val="2"/>
        <w:widowControl w:val="off"/>
      </w:pPr>
      <w:r>
        <w:rPr/>
        <w:t>마을 차원의 소규모 축제가 분권형으로 분산되어 있음</w:t>
      </w:r>
    </w:p>
    <w:p>
      <w:pPr>
        <w:pStyle w:val="1"/>
        <w:widowControl w:val="off"/>
      </w:pPr>
      <w:r>
        <w:rPr/>
        <w:t>셋째, 서귀포시 본청 관광진흥과가 6개 (축제·국제대회 포함) 사업을 단독 운영하고 있음</w:t>
      </w:r>
    </w:p>
    <w:p>
      <w:pPr>
        <w:pStyle w:val="2"/>
        <w:widowControl w:val="off"/>
      </w:pPr>
      <w:r>
        <w:rPr/>
        <w:t>관광 기반 축제의 기획과 실행이 한 부서에 집중되어 있는 구조임을 시사하는 결과임</w:t>
      </w:r>
    </w:p>
    <w:p>
      <w:pPr>
        <w:pStyle w:val="2"/>
        <w:widowControl w:val="off"/>
        <w:rPr/>
      </w:pPr>
    </w:p>
    <w:p>
      <w:pPr>
        <w:pStyle w:val="5"/>
        <w:widowControl w:val="off"/>
      </w:pPr>
      <w:r>
        <w:rPr/>
        <w:t>개최 시기 분포</w:t>
      </w:r>
    </w:p>
    <w:p>
      <w:pPr>
        <w:pStyle w:val="1"/>
        <w:widowControl w:val="off"/>
      </w:pPr>
      <w:r>
        <w:rPr/>
        <w:t>22개 축제 사업의 개최 시점을 월별로 정리하면 아래의 &lt;표 II-##&gt;와 같음</w:t>
      </w:r>
    </w:p>
    <w:p>
      <w:pPr>
        <w:pStyle w:val="1"/>
        <w:widowControl w:val="off"/>
        <w:rPr/>
      </w:pPr>
    </w:p>
    <w:p>
      <w:pPr>
        <w:pStyle w:val="7"/>
        <w:widowControl w:val="off"/>
      </w:pPr>
      <w:r>
        <w:rPr/>
        <w:t>&lt;표 II-</w:t>
      </w:r>
      <w:fldSimple w:instr="SEQ 표 \* ARABIC">
        <w:r>
          <w:t>6</w:t>
        </w:r>
      </w:fldSimple>
      <w:r>
        <w:rPr/>
        <w:t>&gt; 개최 월별 축제 분포</w:t>
      </w:r>
    </w:p>
    <w:tbl>
      <w:tblPr>
        <w:tblOverlap w:val="never"/>
        <w:tblW w:w="684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90"/>
        <w:gridCol w:w="949"/>
        <w:gridCol w:w="4900"/>
      </w:tblGrid>
      <w:tr>
        <w:trPr>
          <w:trHeight w:val="56"/>
        </w:trPr>
        <w:tc>
          <w:tcPr>
            <w:tcW w:w="99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시기</w:t>
            </w:r>
          </w:p>
        </w:tc>
        <w:tc>
          <w:tcPr>
            <w:tcW w:w="949"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사업수</w:t>
            </w:r>
          </w:p>
        </w:tc>
        <w:tc>
          <w:tcPr>
            <w:tcW w:w="490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주요 사업</w:t>
            </w:r>
          </w:p>
        </w:tc>
      </w:tr>
      <w:tr>
        <w:trPr>
          <w:trHeight w:val="56"/>
        </w:trPr>
        <w:tc>
          <w:tcPr>
            <w:tcW w:w="99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1월</w:t>
            </w:r>
          </w:p>
        </w:tc>
        <w:tc>
          <w:tcPr>
            <w:tcW w:w="949"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w:t>
            </w:r>
          </w:p>
        </w:tc>
        <w:tc>
          <w:tcPr>
            <w:tcW w:w="490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P08 펭귄수영대회(겨울바다)</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P38 정월대보름축제</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P07 유채꽃 걷기대회, P13 유채꽃축제</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P24 가파도 청보리, P25 고사리축제, P39 서홍 벚꽃</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P32 보목 자리돔</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P23 대정 마늘, P28 광평리 메밀, P29 안덕 수눌음</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P43 예래 논짓물</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7~10월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P09 새연교 주말 공연 (매주 금·토, 총 26회)</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8월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P26 성산 조개바당</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P36 쇠소깍축제, P42 중문 칠선녀</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P10 야해 페스티벌, P12 칠십리축제, P37 영천 해바라기</w:t>
            </w:r>
          </w:p>
        </w:tc>
      </w:tr>
      <w:tr>
        <w:trPr>
          <w:trHeight w:val="56"/>
        </w:trPr>
        <w:tc>
          <w:tcPr>
            <w:tcW w:w="9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11월</w:t>
            </w:r>
          </w:p>
        </w:tc>
        <w:tc>
          <w:tcPr>
            <w:tcW w:w="94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w:t>
            </w:r>
          </w:p>
        </w:tc>
        <w:tc>
          <w:tcPr>
            <w:tcW w:w="49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P02 소상공인 박람회</w:t>
            </w:r>
          </w:p>
        </w:tc>
      </w:tr>
      <w:tr>
        <w:trPr>
          <w:trHeight w:val="56"/>
        </w:trPr>
        <w:tc>
          <w:tcPr>
            <w:tcW w:w="99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연중·복수회</w:t>
            </w:r>
          </w:p>
        </w:tc>
        <w:tc>
          <w:tcPr>
            <w:tcW w:w="949"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2</w:t>
            </w:r>
          </w:p>
        </w:tc>
        <w:tc>
          <w:tcPr>
            <w:tcW w:w="490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P06 문화의 달(연중), P10 야해 페스티벌(6월·10월 2회)</w:t>
            </w:r>
          </w:p>
        </w:tc>
      </w:tr>
    </w:tbl>
    <w:p>
      <w:pPr>
        <w:pStyle w:val="0"/>
        <w:widowControl w:val="off"/>
        <w:jc w:val="left"/>
      </w:pPr>
    </w:p>
    <w:p>
      <w:pPr>
        <w:pStyle w:val="1"/>
        <w:widowControl w:val="off"/>
        <w:rPr/>
      </w:pPr>
    </w:p>
    <w:p>
      <w:pPr>
        <w:pStyle w:val="1"/>
        <w:widowControl w:val="off"/>
      </w:pPr>
      <w:r>
        <w:rPr/>
        <w:t>개최 시기로 나타나는 서귀포시 축제 특성은 다음과 같음</w:t>
      </w:r>
    </w:p>
    <w:p>
      <w:pPr>
        <w:pStyle w:val="1"/>
        <w:widowControl w:val="off"/>
      </w:pPr>
      <w:r>
        <w:rPr/>
        <w:t>첫째, 봄철(3~5월) 6개, 초여름 및 여름(6~8월) 6개 사업으로 상반기에 12개 사업이 집중되고 있음</w:t>
      </w:r>
    </w:p>
    <w:p>
      <w:pPr>
        <w:pStyle w:val="2"/>
        <w:widowControl w:val="off"/>
      </w:pPr>
      <w:r>
        <w:rPr/>
        <w:t>이는 꽃이나 해산물 등 계절성 자연자원을 활용한 축제의 영향으로 보임</w:t>
      </w:r>
    </w:p>
    <w:p>
      <w:pPr>
        <w:pStyle w:val="1"/>
        <w:widowControl w:val="off"/>
      </w:pPr>
      <w:r>
        <w:rPr/>
        <w:t>둘째, 가을(9~10월) 5개, 겨울(11~2월)3개로 후반기 사업은 상대적으로 분산되어 있음</w:t>
      </w:r>
    </w:p>
    <w:p>
      <w:pPr>
        <w:pStyle w:val="2"/>
        <w:widowControl w:val="off"/>
      </w:pPr>
      <w:r>
        <w:rPr/>
        <w:t>가을 단풍 및 수확물 축제와 겨울 특수 이벤트가 일부 분포하고 있음</w:t>
      </w:r>
    </w:p>
    <w:p>
      <w:pPr>
        <w:pStyle w:val="1"/>
        <w:widowControl w:val="off"/>
      </w:pPr>
      <w:r>
        <w:rPr/>
        <w:t>12월에는 개최되는 축제가 없음</w:t>
      </w:r>
    </w:p>
    <w:p>
      <w:pPr>
        <w:pStyle w:val="2"/>
        <w:widowControl w:val="off"/>
      </w:pPr>
      <w:r>
        <w:rPr/>
        <w:t>연말 휴가, 새해 관광 수요가 존재함에도 불구하고 축제 콘텐츠가 부재한 공급 공백기가 존재함</w:t>
      </w:r>
    </w:p>
    <w:p>
      <w:pPr>
        <w:pStyle w:val="2"/>
        <w:widowControl w:val="off"/>
        <w:rPr/>
      </w:pPr>
    </w:p>
    <w:p>
      <w:pPr>
        <w:pStyle w:val="5"/>
        <w:widowControl w:val="off"/>
      </w:pPr>
      <w:r>
        <w:rPr/>
        <w:t>축제 사업 공간 분포</w:t>
      </w:r>
    </w:p>
    <w:p>
      <w:pPr>
        <w:pStyle w:val="1"/>
        <w:widowControl w:val="off"/>
      </w:pPr>
      <w:r>
        <w:rPr/>
        <w:t>22개 축제의 개최 지역을 권역별로 정리하면 아래의 &lt;표 II-##&gt;와 같음</w:t>
      </w:r>
    </w:p>
    <w:p>
      <w:pPr>
        <w:pStyle w:val="1"/>
        <w:widowControl w:val="off"/>
        <w:rPr/>
      </w:pPr>
    </w:p>
    <w:p>
      <w:pPr>
        <w:pStyle w:val="7"/>
        <w:widowControl w:val="off"/>
      </w:pPr>
      <w:r>
        <w:rPr/>
        <w:t>&lt;표 II-</w:t>
      </w:r>
      <w:fldSimple w:instr="SEQ 표 \* ARABIC">
        <w:r>
          <w:t>7</w:t>
        </w:r>
      </w:fldSimple>
      <w:r>
        <w:rPr/>
        <w:t>&gt; 서귀포 권역별 축제 분포</w:t>
      </w:r>
    </w:p>
    <w:tbl>
      <w:tblPr>
        <w:tblOverlap w:val="never"/>
        <w:tblW w:w="838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30"/>
        <w:gridCol w:w="780"/>
        <w:gridCol w:w="5677"/>
      </w:tblGrid>
      <w:tr>
        <w:trPr>
          <w:trHeight w:val="56"/>
        </w:trPr>
        <w:tc>
          <w:tcPr>
            <w:tcW w:w="193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권역</w:t>
            </w:r>
          </w:p>
        </w:tc>
        <w:tc>
          <w:tcPr>
            <w:tcW w:w="78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개수</w:t>
            </w:r>
          </w:p>
        </w:tc>
        <w:tc>
          <w:tcPr>
            <w:tcW w:w="5677"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대표 사업</w:t>
            </w:r>
          </w:p>
        </w:tc>
      </w:tr>
      <w:tr>
        <w:trPr>
          <w:trHeight w:val="56"/>
        </w:trPr>
        <w:tc>
          <w:tcPr>
            <w:tcW w:w="193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서귀포 원도심</w:t>
            </w:r>
          </w:p>
        </w:tc>
        <w:tc>
          <w:tcPr>
            <w:tcW w:w="78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w:t>
            </w:r>
          </w:p>
        </w:tc>
        <w:tc>
          <w:tcPr>
            <w:tcW w:w="5677"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P02, P03, P06, P09, P10, P12, P38</w:t>
            </w:r>
          </w:p>
        </w:tc>
      </w:tr>
      <w:tr>
        <w:trPr>
          <w:trHeight w:val="56"/>
        </w:trPr>
        <w:tc>
          <w:tcPr>
            <w:tcW w:w="193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동지역(원도심 외)</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w:t>
            </w:r>
          </w:p>
        </w:tc>
        <w:tc>
          <w:tcPr>
            <w:tcW w:w="56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P36(효돈), P37(영천), P39(서홍), P42(중문), P43(예래), P32(송산)</w:t>
            </w:r>
          </w:p>
        </w:tc>
      </w:tr>
      <w:tr>
        <w:trPr>
          <w:trHeight w:val="56"/>
        </w:trPr>
        <w:tc>
          <w:tcPr>
            <w:tcW w:w="193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서부 읍·면</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w:t>
            </w:r>
          </w:p>
        </w:tc>
        <w:tc>
          <w:tcPr>
            <w:tcW w:w="56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P23·P24(대정), P28·P29(안덕)</w:t>
            </w:r>
          </w:p>
        </w:tc>
      </w:tr>
      <w:tr>
        <w:trPr>
          <w:trHeight w:val="56"/>
        </w:trPr>
        <w:tc>
          <w:tcPr>
            <w:tcW w:w="193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동부 읍·면</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w:t>
            </w:r>
          </w:p>
        </w:tc>
        <w:tc>
          <w:tcPr>
            <w:tcW w:w="56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P25(남원), P26(성산)</w:t>
            </w:r>
          </w:p>
        </w:tc>
      </w:tr>
      <w:tr>
        <w:trPr>
          <w:trHeight w:val="56"/>
        </w:trPr>
        <w:tc>
          <w:tcPr>
            <w:tcW w:w="193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광역(서귀포시 일원)</w:t>
            </w:r>
          </w:p>
        </w:tc>
        <w:tc>
          <w:tcPr>
            <w:tcW w:w="78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3</w:t>
            </w:r>
          </w:p>
        </w:tc>
        <w:tc>
          <w:tcPr>
            <w:tcW w:w="5677"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P07, P08, P13</w:t>
            </w:r>
          </w:p>
        </w:tc>
      </w:tr>
    </w:tbl>
    <w:p>
      <w:pPr>
        <w:pStyle w:val="0"/>
        <w:widowControl w:val="off"/>
        <w:jc w:val="left"/>
      </w:pPr>
    </w:p>
    <w:p>
      <w:pPr>
        <w:pStyle w:val="1"/>
        <w:widowControl w:val="off"/>
        <w:rPr/>
      </w:pPr>
    </w:p>
    <w:p>
      <w:pPr>
        <w:pStyle w:val="1"/>
        <w:widowControl w:val="off"/>
      </w:pPr>
      <w:r>
        <w:rPr/>
        <w:t>서귀포 원도심권 및 인접 동지역에 축제가 집중되어 있으나 외곽 읍·면 권역에도 빠진 지역 없이 상대적으로 균형있게 분포한 것으로 보임</w:t>
      </w:r>
    </w:p>
    <w:p>
      <w:pPr>
        <w:pStyle w:val="1"/>
        <w:widowControl w:val="off"/>
        <w:rPr/>
      </w:pPr>
    </w:p>
    <w:p>
      <w:pPr>
        <w:pStyle w:val="4"/>
        <w:widowControl w:val="off"/>
      </w:pPr>
      <w:r>
        <w:rPr/>
        <w:t>예산 및 참여 규모 특성</w:t>
      </w:r>
    </w:p>
    <w:p>
      <w:pPr>
        <w:pStyle w:val="5"/>
        <w:widowControl w:val="off"/>
      </w:pPr>
      <w:r>
        <w:rPr/>
        <w:t>예산 분포</w:t>
      </w:r>
    </w:p>
    <w:p>
      <w:pPr>
        <w:pStyle w:val="1"/>
        <w:widowControl w:val="off"/>
      </w:pPr>
      <w:r>
        <w:rPr/>
        <w:t>22개 축제 예산은 2,700만 원부터 20억 원까지 폭넓게 분포하고 있음</w:t>
      </w:r>
    </w:p>
    <w:p>
      <w:pPr>
        <w:pStyle w:val="1"/>
        <w:widowControl w:val="off"/>
        <w:rPr/>
      </w:pPr>
    </w:p>
    <w:p>
      <w:pPr>
        <w:pStyle w:val="7"/>
        <w:widowControl w:val="off"/>
      </w:pPr>
      <w:r>
        <w:rPr/>
        <w:t>&lt;표 II-</w:t>
      </w:r>
      <w:fldSimple w:instr="SEQ 표 \* ARABIC">
        <w:r>
          <w:t>8</w:t>
        </w:r>
      </w:fldSimple>
      <w:r>
        <w:rPr/>
        <w:t>&gt; 예산 규모별 축제 분포</w:t>
      </w:r>
    </w:p>
    <w:tbl>
      <w:tblPr>
        <w:tblOverlap w:val="never"/>
        <w:tblW w:w="761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90"/>
        <w:gridCol w:w="893"/>
        <w:gridCol w:w="946"/>
        <w:gridCol w:w="4581"/>
      </w:tblGrid>
      <w:tr>
        <w:trPr>
          <w:trHeight w:val="56"/>
          <w:tblHeader/>
        </w:trPr>
        <w:tc>
          <w:tcPr>
            <w:tcW w:w="119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예산 구간</w:t>
            </w:r>
          </w:p>
        </w:tc>
        <w:tc>
          <w:tcPr>
            <w:tcW w:w="893"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개수</w:t>
            </w:r>
          </w:p>
        </w:tc>
        <w:tc>
          <w:tcPr>
            <w:tcW w:w="946"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비중</w:t>
            </w:r>
          </w:p>
        </w:tc>
        <w:tc>
          <w:tcPr>
            <w:tcW w:w="4581"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해당 사업 (백만 원)</w:t>
            </w:r>
          </w:p>
        </w:tc>
      </w:tr>
      <w:tr>
        <w:trPr>
          <w:trHeight w:val="56"/>
        </w:trPr>
        <w:tc>
          <w:tcPr>
            <w:tcW w:w="119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50 미만</w:t>
            </w:r>
          </w:p>
        </w:tc>
        <w:tc>
          <w:tcPr>
            <w:tcW w:w="893"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w:t>
            </w:r>
          </w:p>
        </w:tc>
        <w:tc>
          <w:tcPr>
            <w:tcW w:w="946"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31.8%</w:t>
            </w:r>
          </w:p>
        </w:tc>
        <w:tc>
          <w:tcPr>
            <w:tcW w:w="4581"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P03(27), P28(40), P29(40), P38(40), P24(47), P42(48), P39(50)</w:t>
            </w:r>
          </w:p>
        </w:tc>
      </w:tr>
      <w:tr>
        <w:trPr>
          <w:trHeight w:val="56"/>
        </w:trPr>
        <w:tc>
          <w:tcPr>
            <w:tcW w:w="11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50~100</w:t>
            </w:r>
          </w:p>
        </w:tc>
        <w:tc>
          <w:tcPr>
            <w:tcW w:w="89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w:t>
            </w:r>
          </w:p>
        </w:tc>
        <w:tc>
          <w:tcPr>
            <w:tcW w:w="94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31.8%</w:t>
            </w:r>
          </w:p>
        </w:tc>
        <w:tc>
          <w:tcPr>
            <w:tcW w:w="4581"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P02(56), P36(58), P43(58), P10(60), P08(86), P23(92), P32(92)</w:t>
            </w:r>
          </w:p>
        </w:tc>
      </w:tr>
      <w:tr>
        <w:trPr>
          <w:trHeight w:val="56"/>
        </w:trPr>
        <w:tc>
          <w:tcPr>
            <w:tcW w:w="11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100~200</w:t>
            </w:r>
          </w:p>
        </w:tc>
        <w:tc>
          <w:tcPr>
            <w:tcW w:w="89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w:t>
            </w:r>
          </w:p>
        </w:tc>
        <w:tc>
          <w:tcPr>
            <w:tcW w:w="94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13.6%</w:t>
            </w:r>
          </w:p>
        </w:tc>
        <w:tc>
          <w:tcPr>
            <w:tcW w:w="4581"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P25(100), P26(113), P07(130)</w:t>
            </w:r>
          </w:p>
        </w:tc>
      </w:tr>
      <w:tr>
        <w:trPr>
          <w:trHeight w:val="56"/>
        </w:trPr>
        <w:tc>
          <w:tcPr>
            <w:tcW w:w="11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200~500</w:t>
            </w:r>
          </w:p>
        </w:tc>
        <w:tc>
          <w:tcPr>
            <w:tcW w:w="89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w:t>
            </w:r>
          </w:p>
        </w:tc>
        <w:tc>
          <w:tcPr>
            <w:tcW w:w="94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13.6%</w:t>
            </w:r>
          </w:p>
        </w:tc>
        <w:tc>
          <w:tcPr>
            <w:tcW w:w="4581"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P37(180), P13(240), P09(272)</w:t>
            </w:r>
          </w:p>
        </w:tc>
      </w:tr>
      <w:tr>
        <w:trPr>
          <w:trHeight w:val="56"/>
        </w:trPr>
        <w:tc>
          <w:tcPr>
            <w:tcW w:w="119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500 이상</w:t>
            </w:r>
          </w:p>
        </w:tc>
        <w:tc>
          <w:tcPr>
            <w:tcW w:w="89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w:t>
            </w:r>
          </w:p>
        </w:tc>
        <w:tc>
          <w:tcPr>
            <w:tcW w:w="94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9.1%</w:t>
            </w:r>
          </w:p>
        </w:tc>
        <w:tc>
          <w:tcPr>
            <w:tcW w:w="4581"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P12(500), P06(2,000)</w:t>
            </w:r>
          </w:p>
        </w:tc>
      </w:tr>
      <w:tr>
        <w:trPr>
          <w:trHeight w:val="56"/>
        </w:trPr>
        <w:tc>
          <w:tcPr>
            <w:tcW w:w="119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합계</w:t>
            </w:r>
          </w:p>
        </w:tc>
        <w:tc>
          <w:tcPr>
            <w:tcW w:w="893"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22</w:t>
            </w:r>
          </w:p>
        </w:tc>
        <w:tc>
          <w:tcPr>
            <w:tcW w:w="946"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100%</w:t>
            </w:r>
          </w:p>
        </w:tc>
        <w:tc>
          <w:tcPr>
            <w:tcW w:w="4581"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4,328.2</w:t>
            </w:r>
          </w:p>
        </w:tc>
      </w:tr>
    </w:tbl>
    <w:p>
      <w:pPr>
        <w:pStyle w:val="0"/>
        <w:widowControl w:val="off"/>
        <w:jc w:val="left"/>
      </w:pPr>
    </w:p>
    <w:p>
      <w:pPr>
        <w:pStyle w:val="1"/>
        <w:widowControl w:val="off"/>
        <w:rPr/>
      </w:pPr>
    </w:p>
    <w:p>
      <w:pPr>
        <w:pStyle w:val="1"/>
        <w:widowControl w:val="off"/>
      </w:pPr>
      <w:r>
        <w:rPr/>
        <w:t>예산 분포의 측면에서 본 축제 사업의 특성은 다음과 같이 정리할 수 있음</w:t>
      </w:r>
    </w:p>
    <w:p>
      <w:pPr>
        <w:pStyle w:val="1"/>
        <w:widowControl w:val="off"/>
      </w:pPr>
      <w:r>
        <w:rPr/>
        <w:t>첫째, 중위 예산은 7,300만 원, 평균은 1.96억 원으로 평균이 중위의 2.7배 수준임</w:t>
      </w:r>
    </w:p>
    <w:p>
      <w:pPr>
        <w:pStyle w:val="2"/>
        <w:widowControl w:val="off"/>
      </w:pPr>
      <w:r>
        <w:rPr/>
        <w:t>이는 1개 대규모 축제(P06 문화의 달, 20억 원)이 평균을 크게 높였기 때문임</w:t>
      </w:r>
    </w:p>
    <w:p>
      <w:pPr>
        <w:pStyle w:val="1"/>
        <w:widowControl w:val="off"/>
      </w:pPr>
      <w:r>
        <w:rPr/>
        <w:t>둘째, 1억 원 미만의 소규모 축제가 12개 (54.5%)로 절반 이상을 차지함</w:t>
      </w:r>
    </w:p>
    <w:p>
      <w:pPr>
        <w:pStyle w:val="2"/>
        <w:widowControl w:val="off"/>
      </w:pPr>
      <w:r>
        <w:rPr/>
        <w:t>읍·면·동 단위 마을 축제가 대부분 여기에 속함</w:t>
      </w:r>
    </w:p>
    <w:p>
      <w:pPr>
        <w:pStyle w:val="1"/>
        <w:widowControl w:val="off"/>
      </w:pPr>
      <w:r>
        <w:rPr/>
        <w:t>셋째, 5억 원 이상의 대규모 축제는 P06 1개 사업임</w:t>
      </w:r>
    </w:p>
    <w:p>
      <w:pPr>
        <w:pStyle w:val="2"/>
        <w:widowControl w:val="off"/>
      </w:pPr>
      <w:r>
        <w:rPr/>
        <w:t>이는 문체부 공모 선정에 따른 국가행사의 특성을 반영하고 있음</w:t>
      </w:r>
    </w:p>
    <w:p>
      <w:pPr>
        <w:pStyle w:val="2"/>
        <w:widowControl w:val="off"/>
        <w:rPr/>
      </w:pPr>
    </w:p>
    <w:p>
      <w:pPr>
        <w:pStyle w:val="5"/>
        <w:widowControl w:val="off"/>
      </w:pPr>
      <w:r>
        <w:rPr/>
        <w:t>참여·방문 규모</w:t>
      </w:r>
    </w:p>
    <w:p>
      <w:pPr>
        <w:pStyle w:val="1"/>
        <w:widowControl w:val="off"/>
      </w:pPr>
      <w:r>
        <w:rPr/>
        <w:t>22개 축제의 참여자 및 방문객 규모는 &lt;표 II-##&gt;에 정리하였음</w:t>
      </w:r>
    </w:p>
    <w:p>
      <w:pPr>
        <w:pStyle w:val="1"/>
        <w:widowControl w:val="off"/>
        <w:rPr/>
      </w:pPr>
    </w:p>
    <w:p>
      <w:pPr>
        <w:pStyle w:val="7"/>
        <w:widowControl w:val="off"/>
      </w:pPr>
      <w:r>
        <w:rPr/>
        <w:t>&lt;표 II-</w:t>
      </w:r>
      <w:fldSimple w:instr="SEQ 표 \* ARABIC">
        <w:r>
          <w:t>9</w:t>
        </w:r>
      </w:fldSimple>
      <w:r>
        <w:rPr/>
        <w:t>&gt; 방문객 규모별 축제 분포</w:t>
      </w:r>
    </w:p>
    <w:tbl>
      <w:tblPr>
        <w:tblOverlap w:val="never"/>
        <w:tblW w:w="77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30"/>
        <w:gridCol w:w="780"/>
        <w:gridCol w:w="5448"/>
      </w:tblGrid>
      <w:tr>
        <w:trPr>
          <w:trHeight w:val="56"/>
        </w:trPr>
        <w:tc>
          <w:tcPr>
            <w:tcW w:w="153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규모 구간</w:t>
            </w:r>
          </w:p>
        </w:tc>
        <w:tc>
          <w:tcPr>
            <w:tcW w:w="78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개수</w:t>
            </w:r>
          </w:p>
        </w:tc>
        <w:tc>
          <w:tcPr>
            <w:tcW w:w="5448"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대표 사업 (방문객)</w:t>
            </w:r>
          </w:p>
        </w:tc>
      </w:tr>
      <w:tr>
        <w:trPr>
          <w:trHeight w:val="56"/>
        </w:trPr>
        <w:tc>
          <w:tcPr>
            <w:tcW w:w="153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50,000명 이상</w:t>
            </w:r>
          </w:p>
        </w:tc>
        <w:tc>
          <w:tcPr>
            <w:tcW w:w="78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w:t>
            </w:r>
          </w:p>
        </w:tc>
        <w:tc>
          <w:tcPr>
            <w:tcW w:w="5448"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P06 문화의 달(72,000), P12 칠십리축제(72,000), P24 가파도 청보리(55,000)</w:t>
            </w:r>
          </w:p>
        </w:tc>
      </w:tr>
      <w:tr>
        <w:trPr>
          <w:trHeight w:val="56"/>
        </w:trPr>
        <w:tc>
          <w:tcPr>
            <w:tcW w:w="153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10,000~50,000명</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w:t>
            </w:r>
          </w:p>
        </w:tc>
        <w:tc>
          <w:tcPr>
            <w:tcW w:w="544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P09 새연교(42,866), P25 고사리축제(29,000), P13 유채꽃축제(20,865), P26 조개바당(10,000)</w:t>
            </w:r>
          </w:p>
        </w:tc>
      </w:tr>
      <w:tr>
        <w:trPr>
          <w:trHeight w:val="56"/>
        </w:trPr>
        <w:tc>
          <w:tcPr>
            <w:tcW w:w="153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1,000~10,000명</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11</w:t>
            </w:r>
          </w:p>
        </w:tc>
        <w:tc>
          <w:tcPr>
            <w:tcW w:w="544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P37 해바라기(8,000), P36 쇠소깍(6,000), P07 걷기대회(5,000), P10 야해(3,300), P42 칠선녀(3,000) 등</w:t>
            </w:r>
          </w:p>
        </w:tc>
      </w:tr>
      <w:tr>
        <w:trPr>
          <w:trHeight w:val="56"/>
        </w:trPr>
        <w:tc>
          <w:tcPr>
            <w:tcW w:w="153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1,000명 미만</w:t>
            </w:r>
          </w:p>
        </w:tc>
        <w:tc>
          <w:tcPr>
            <w:tcW w:w="78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4</w:t>
            </w:r>
          </w:p>
        </w:tc>
        <w:tc>
          <w:tcPr>
            <w:tcW w:w="5448"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P28 메밀축제(800), P38 정월대보름(500), P29 안덕 수눌음(80~108)</w:t>
            </w:r>
          </w:p>
        </w:tc>
      </w:tr>
    </w:tbl>
    <w:p>
      <w:pPr>
        <w:pStyle w:val="0"/>
        <w:widowControl w:val="off"/>
        <w:jc w:val="left"/>
      </w:pPr>
    </w:p>
    <w:p>
      <w:pPr>
        <w:pStyle w:val="1"/>
        <w:widowControl w:val="off"/>
        <w:rPr/>
      </w:pPr>
    </w:p>
    <w:p>
      <w:pPr>
        <w:pStyle w:val="1"/>
        <w:widowControl w:val="off"/>
      </w:pPr>
      <w:r>
        <w:rPr/>
        <w:t>방문객 규모의 측면에서 축제 사업의 특성은 다음과 같이 정리할 수 있음</w:t>
      </w:r>
    </w:p>
    <w:p>
      <w:pPr>
        <w:pStyle w:val="1"/>
        <w:widowControl w:val="off"/>
      </w:pPr>
      <w:r>
        <w:rPr/>
        <w:t>첫째, 2025년 22개 축제 사업에 의한 총 방문객은 약 33만 8천여 명으로 추정됨</w:t>
      </w:r>
    </w:p>
    <w:p>
      <w:pPr>
        <w:pStyle w:val="2"/>
        <w:widowControl w:val="off"/>
      </w:pPr>
      <w:r>
        <w:rPr/>
        <w:t>다만 이는 단순 합산수치이며 중복을 제외한 총 방문객은 별도 추정이 필요함</w:t>
      </w:r>
    </w:p>
    <w:p>
      <w:pPr>
        <w:pStyle w:val="1"/>
        <w:widowControl w:val="off"/>
      </w:pPr>
      <w:r>
        <w:rPr/>
        <w:t>둘째, 1만 명 이상이 참여한 대형 축제는 7개 사업으로 이는 전체 방문객의 91%를 차지함</w:t>
      </w:r>
    </w:p>
    <w:p>
      <w:pPr>
        <w:pStyle w:val="2"/>
        <w:widowControl w:val="off"/>
      </w:pPr>
      <w:r>
        <w:rPr/>
        <w:t>P06, P12 두 축제가 각각 7.2만 명으로 총 방문객의 42.6%를 차지하고 있음</w:t>
      </w:r>
    </w:p>
    <w:p>
      <w:pPr>
        <w:pStyle w:val="1"/>
        <w:widowControl w:val="off"/>
      </w:pPr>
      <w:r>
        <w:rPr/>
        <w:t>셋째, 1,000명 미만의 소규모 축제 4건은 지역 커뮤니티 주도의 마을 단위 행사가 중심임</w:t>
      </w:r>
    </w:p>
    <w:p>
      <w:pPr>
        <w:pStyle w:val="2"/>
        <w:widowControl w:val="off"/>
      </w:pPr>
      <w:r>
        <w:rPr/>
        <w:t>해당 사업들은 지역주민의 화합이 중요 목적으로 외지인 유치 비중은 상대적으로 낮음</w:t>
      </w:r>
    </w:p>
    <w:p>
      <w:pPr>
        <w:pStyle w:val="2"/>
        <w:widowControl w:val="off"/>
        <w:rPr/>
      </w:pPr>
    </w:p>
    <w:p>
      <w:pPr>
        <w:pStyle w:val="4"/>
        <w:widowControl w:val="off"/>
      </w:pPr>
      <w:r>
        <w:rPr/>
        <w:t>자료 완비성</w:t>
      </w:r>
    </w:p>
    <w:p>
      <w:pPr>
        <w:pStyle w:val="5"/>
        <w:widowControl w:val="off"/>
      </w:pPr>
      <w:r>
        <w:rPr/>
        <w:t>데이터 완비도</w:t>
      </w:r>
    </w:p>
    <w:p>
      <w:pPr>
        <w:pStyle w:val="1"/>
        <w:widowControl w:val="off"/>
      </w:pPr>
      <w:r>
        <w:rPr/>
        <w:t>제공받은 22개 축제의 자료 완비수준을 2개 등급으로 구분하여 &lt;표 II-##&gt;에 정리하였음</w:t>
      </w:r>
    </w:p>
    <w:p>
      <w:pPr>
        <w:pStyle w:val="1"/>
        <w:widowControl w:val="off"/>
        <w:rPr/>
      </w:pPr>
    </w:p>
    <w:tbl>
      <w:tblPr>
        <w:tblOverlap w:val="never"/>
        <w:tblW w:w="797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0"/>
        <w:gridCol w:w="3211"/>
        <w:gridCol w:w="836"/>
        <w:gridCol w:w="3144"/>
      </w:tblGrid>
      <w:tr>
        <w:trPr>
          <w:trHeight w:val="56"/>
        </w:trPr>
        <w:tc>
          <w:tcPr>
            <w:tcW w:w="780"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등급</w:t>
            </w:r>
          </w:p>
        </w:tc>
        <w:tc>
          <w:tcPr>
            <w:tcW w:w="3211"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정의</w:t>
            </w:r>
          </w:p>
        </w:tc>
        <w:tc>
          <w:tcPr>
            <w:tcW w:w="836"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개수</w:t>
            </w:r>
          </w:p>
        </w:tc>
        <w:tc>
          <w:tcPr>
            <w:tcW w:w="3144" w:type="dxa"/>
            <w:tcBorders>
              <w:top w:val="single" w:color="000000" w:sz="3"/>
              <w:left w:val="single" w:color="000000" w:sz="3"/>
              <w:bottom w:val="single" w:color="000000" w:sz="3"/>
              <w:right w:val="single" w:color="000000" w:sz="3"/>
            </w:tcBorders>
            <w:shd w:val="clear" w:fill="d9d9d9"/>
            <w:tcMar>
              <w:top w:w="100" w:type="dxa"/>
              <w:left w:w="100" w:type="dxa"/>
              <w:bottom w:w="100" w:type="dxa"/>
              <w:right w:w="100" w:type="dxa"/>
            </w:tcMar>
            <w:vAlign w:val="top"/>
          </w:tcPr>
          <w:p>
            <w:pPr>
              <w:pStyle w:val="8"/>
              <w:widowControl w:val="off"/>
            </w:pPr>
            <w:r>
              <w:rPr/>
              <w:t>대표 사업</w:t>
            </w:r>
          </w:p>
        </w:tc>
      </w:tr>
      <w:tr>
        <w:trPr>
          <w:trHeight w:val="56"/>
        </w:trPr>
        <w:tc>
          <w:tcPr>
            <w:tcW w:w="78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L1</w:t>
            </w:r>
          </w:p>
        </w:tc>
        <w:tc>
          <w:tcPr>
            <w:tcW w:w="3211"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예산 세부내역 + 참여자/방문객 자료 + 만족도조사·결과보고서 등 세부 자료 보유</w:t>
            </w:r>
          </w:p>
        </w:tc>
        <w:tc>
          <w:tcPr>
            <w:tcW w:w="836"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8</w:t>
            </w:r>
          </w:p>
        </w:tc>
        <w:tc>
          <w:tcPr>
            <w:tcW w:w="3144"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P02, P03, P07, P08, P09, P28, P32, P36</w:t>
            </w:r>
          </w:p>
        </w:tc>
      </w:tr>
      <w:tr>
        <w:trPr>
          <w:trHeight w:val="56"/>
        </w:trPr>
        <w:tc>
          <w:tcPr>
            <w:tcW w:w="78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L2</w:t>
            </w:r>
          </w:p>
        </w:tc>
        <w:tc>
          <w:tcPr>
            <w:tcW w:w="3211"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예산 세부내역 + 참여자/방문객 자료 보유 (세부 자료 미비)</w:t>
            </w:r>
          </w:p>
        </w:tc>
        <w:tc>
          <w:tcPr>
            <w:tcW w:w="836"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14</w:t>
            </w:r>
          </w:p>
        </w:tc>
        <w:tc>
          <w:tcPr>
            <w:tcW w:w="3144"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P06, P10, P12, P13, P23, P24, P25, P26, P29, P37, P38, P39, P42, P43</w:t>
            </w:r>
          </w:p>
        </w:tc>
      </w:tr>
    </w:tbl>
    <w:p>
      <w:pPr>
        <w:pStyle w:val="0"/>
        <w:widowControl w:val="off"/>
        <w:jc w:val="left"/>
      </w:pPr>
    </w:p>
    <w:p>
      <w:pPr>
        <w:pStyle w:val="1"/>
        <w:widowControl w:val="off"/>
        <w:rPr/>
      </w:pPr>
    </w:p>
    <w:p>
      <w:pPr>
        <w:pStyle w:val="1"/>
        <w:widowControl w:val="off"/>
      </w:pPr>
      <w:r>
        <w:rPr/>
        <w:t>우선, 자료 완비도가 가장 높은 8개 축제 사업의 경우는 예산 세부내역과 함께 축제 참가자들에 대한 만족도조사 혹은 결과보고서가 있어 외지인의 거주지 분포와 같은 실측값을 효과 산정에 활용할 수 있음</w:t>
      </w:r>
    </w:p>
    <w:p>
      <w:pPr>
        <w:pStyle w:val="2"/>
        <w:widowControl w:val="off"/>
      </w:pPr>
      <w:r>
        <w:rPr/>
        <w:t>경제효과 분석에 있어서 가장 신뢰성 높은 추정 가능</w:t>
      </w:r>
    </w:p>
    <w:p>
      <w:pPr>
        <w:pStyle w:val="1"/>
        <w:widowControl w:val="off"/>
      </w:pPr>
      <w:r>
        <w:rPr/>
        <w:t>나머지 14개 자료는 예산 및 참여자 정보는 있으나 외지인 비율 및 지출 정보 등은 추정을 통해 보완해야 함</w:t>
      </w:r>
    </w:p>
    <w:p>
      <w:pPr>
        <w:pStyle w:val="2"/>
        <w:widowControl w:val="off"/>
      </w:pPr>
      <w:r>
        <w:rPr/>
        <w:t>경제효과 분석시 추정에 기반한 효과 추정 부분은 상대적으로 신뢰도가 하락함</w:t>
      </w:r>
    </w:p>
    <w:p>
      <w:pPr>
        <w:pStyle w:val="2"/>
        <w:widowControl w:val="off"/>
        <w:rPr/>
      </w:pPr>
    </w:p>
    <w:p>
      <w:pPr>
        <w:pStyle w:val="5"/>
        <w:widowControl w:val="off"/>
      </w:pPr>
      <w:r>
        <w:rPr/>
        <w:t>자료 가용성에 의한 분석의 한계</w:t>
      </w:r>
    </w:p>
    <w:p>
      <w:pPr>
        <w:pStyle w:val="1"/>
        <w:widowControl w:val="off"/>
      </w:pPr>
      <w:r>
        <w:rPr/>
        <w:t>자료 확보 수준은 사업의 행정 위계 및 담당 부서의 역량에 따른 차이에 기인한 것으로 보임</w:t>
      </w:r>
    </w:p>
    <w:p>
      <w:pPr>
        <w:pStyle w:val="1"/>
        <w:widowControl w:val="off"/>
      </w:pPr>
      <w:r>
        <w:rPr/>
        <w:t>첫째, 세부적 결과보고서 및 만족도조사가 축적되어 있는 축제는 서귀포시 본청이 주도한 사업이었음</w:t>
      </w:r>
    </w:p>
    <w:p>
      <w:pPr>
        <w:pStyle w:val="2"/>
        <w:widowControl w:val="off"/>
      </w:pPr>
      <w:r>
        <w:rPr/>
        <w:t>서귀포시 관광진흥과가 담당한 P09(새연교), P10(야해)는 직접 응답자를 대상으로 조사한 만족도 조사 자료를 보유하고 있음</w:t>
      </w:r>
    </w:p>
    <w:p>
      <w:pPr>
        <w:pStyle w:val="1"/>
        <w:widowControl w:val="off"/>
      </w:pPr>
      <w:r>
        <w:rPr/>
        <w:t>둘째, 읍·면·동 단위 마을 축제의 경우 결과보고서가 다양한 형태의 자료 형식으로 수록되어 있었음</w:t>
      </w:r>
    </w:p>
    <w:p>
      <w:pPr>
        <w:pStyle w:val="2"/>
        <w:widowControl w:val="off"/>
      </w:pPr>
      <w:r>
        <w:rPr/>
        <w:t>이로 인해 통계화가 가능한 형태의 정리 작업이 부족한 실정임</w:t>
      </w:r>
    </w:p>
    <w:p>
      <w:pPr>
        <w:pStyle w:val="1"/>
        <w:widowControl w:val="off"/>
      </w:pPr>
      <w:r>
        <w:rPr/>
        <w:t>셋째, L2 등급의 자료의 경우 대부분 단순 참여자수 정보만 있고 외지인 비율이나 도내 참여자 거주지 분포 자료 등 세부 자료가 부재하였음</w:t>
      </w:r>
    </w:p>
    <w:p>
      <w:pPr>
        <w:pStyle w:val="2"/>
        <w:widowControl w:val="off"/>
      </w:pPr>
      <w:r>
        <w:rPr/>
        <w:t>따라서 이러한 사업들은 추정에 의한 보정이 불가피함</w:t>
      </w:r>
    </w:p>
    <w:p>
      <w:pPr>
        <w:pStyle w:val="2"/>
        <w:widowControl w:val="off"/>
        <w:rPr/>
      </w:pPr>
    </w:p>
    <w:p>
      <w:pPr>
        <w:pStyle w:val="5"/>
        <w:widowControl w:val="off"/>
      </w:pPr>
      <w:r>
        <w:rPr/>
        <w:t>신뢰성 있는 추정을 위한 자료 축적 방식 제안</w:t>
      </w:r>
    </w:p>
    <w:p>
      <w:pPr>
        <w:pStyle w:val="1"/>
        <w:widowControl w:val="off"/>
      </w:pPr>
      <w:r>
        <w:rPr/>
        <w:t>향후 축제사업의 경제효과 분석의 신뢰도를 높이기 위해서는 다음과 같은 정책 가이드라인을 고려할 필요가 있음</w:t>
      </w:r>
    </w:p>
    <w:p>
      <w:pPr>
        <w:pStyle w:val="1"/>
        <w:widowControl w:val="off"/>
      </w:pPr>
      <w:r>
        <w:rPr/>
        <w:t>첫째, 축제 사업 참여자를 대상으로 한 만족도조사 표준 양식을 도입할 필요가 있음</w:t>
      </w:r>
    </w:p>
    <w:p>
      <w:pPr>
        <w:pStyle w:val="2"/>
        <w:widowControl w:val="off"/>
      </w:pPr>
      <w:r>
        <w:rPr/>
        <w:t>특히 경제효과 분석에 중요한 자료인 (1) 참여자의 거주지(시·도 단위), (2) 1인당 지출액, (3) 체류 일수와 관련한 항목에 대한 공통 질문을 도입하여 조사의 일관성을 확보함</w:t>
      </w:r>
    </w:p>
    <w:p>
      <w:pPr>
        <w:pStyle w:val="1"/>
        <w:widowControl w:val="off"/>
      </w:pPr>
      <w:r>
        <w:rPr/>
        <w:t>둘째, 방문객 계측의 방식을 통일해야 함</w:t>
      </w:r>
    </w:p>
    <w:p>
      <w:pPr>
        <w:pStyle w:val="2"/>
        <w:widowControl w:val="off"/>
      </w:pPr>
      <w:r>
        <w:rPr/>
        <w:t>현장 카운팅 방식, QR 등록, 휴대폰 이동 데이터 등과 같은 방식을 고려하되, 사업 규모에 따른 표준적 계측 방식을 확립하여 방문객 추정 방식에 의한 오차를 최소화해야 함</w:t>
      </w:r>
    </w:p>
    <w:p>
      <w:pPr>
        <w:pStyle w:val="1"/>
        <w:widowControl w:val="off"/>
      </w:pPr>
      <w:r>
        <w:rPr/>
        <w:t>셋째, 일관된 형식의 결과보고서를 수집할 수 있어야 함</w:t>
      </w:r>
    </w:p>
    <w:p>
      <w:pPr>
        <w:pStyle w:val="2"/>
        <w:widowControl w:val="off"/>
      </w:pPr>
      <w:r>
        <w:rPr/>
        <w:t>규모에 따른 축제 결과 보고서의 공통 양식을 도입하여 사업 효과 정량화의 객관성과 타당성을 확보할 수 있어야 함</w:t>
      </w:r>
    </w:p>
    <w:p>
      <w:pPr>
        <w:pStyle w:val="2"/>
        <w:widowControl w:val="off"/>
        <w:rPr/>
      </w:pPr>
    </w:p>
    <w:p>
      <w:pPr>
        <w:pStyle w:val="2"/>
        <w:widowControl w:val="off"/>
        <w:rPr/>
      </w:pPr>
    </w:p>
    <w:p>
      <w:pPr>
        <w:pStyle w:val="4"/>
        <w:widowControl w:val="off"/>
      </w:pPr>
      <w:r>
        <w:rPr/>
        <w:t>소결</w:t>
      </w:r>
    </w:p>
    <w:p>
      <w:pPr>
        <w:pStyle w:val="1"/>
        <w:widowControl w:val="off"/>
      </w:pPr>
      <w:r>
        <w:rPr/>
        <w:t>본 장에서는 서귀포시가 2025년 추진하는 축제사업 22개의 현황을 정리하였음</w:t>
      </w:r>
    </w:p>
    <w:p>
      <w:pPr>
        <w:pStyle w:val="1"/>
        <w:widowControl w:val="off"/>
      </w:pPr>
      <w:r>
        <w:rPr/>
        <w:t>축제는 테마에 따른 4개 유형 (자연·경관, 특산물, 도심·체류, 마을·화합)으로 구분하였으며, 이 중 자연·경관 자원 활용 유형이 41%로 가장 높은 비중을 차지하였음</w:t>
      </w:r>
    </w:p>
    <w:p>
      <w:pPr>
        <w:pStyle w:val="1"/>
        <w:widowControl w:val="off"/>
      </w:pPr>
      <w:r>
        <w:rPr/>
        <w:t>예산 규모별로는 서귀포시 본청에서 추진한 9개 축제가 전체 예산의 77.9%를 차지하고 있었으며, 읍·면·동 단위의 소규모 단위로 13개가 분산 분포하고 있음</w:t>
      </w:r>
    </w:p>
    <w:p>
      <w:pPr>
        <w:pStyle w:val="2"/>
        <w:widowControl w:val="off"/>
      </w:pPr>
      <w:r>
        <w:rPr/>
        <w:t>특히 예산은 최소 2,700만 원에서 최대 20억 원으로 편차가 크며 중위값은 7,300만 원, 평균은 1.96억 원이었음</w:t>
      </w:r>
    </w:p>
    <w:p>
      <w:pPr>
        <w:pStyle w:val="1"/>
        <w:widowControl w:val="off"/>
      </w:pPr>
      <w:r>
        <w:rPr/>
        <w:t>개최 시기는 3~8월 상반기에 12개(54.5%)가 집중되며 12월은 공백기로 나타남</w:t>
      </w:r>
    </w:p>
    <w:p>
      <w:pPr>
        <w:pStyle w:val="2"/>
        <w:widowControl w:val="off"/>
      </w:pPr>
      <w:r>
        <w:rPr/>
        <w:t>계절성 자연자원에 의존하는 축제의 비중이 높은 특성을 반영하는 것으로 보이나 비수기가 아닌 12월에 축제가 없는 것은 개선의 여지가 있는 것으로 사료됨</w:t>
      </w:r>
    </w:p>
    <w:p>
      <w:pPr>
        <w:pStyle w:val="1"/>
        <w:widowControl w:val="off"/>
      </w:pPr>
      <w:r>
        <w:rPr/>
        <w:t>제공받은 자료의 완비성은 최소 기준은 충족하였으나 향후 일관된 자료 확보 정책을 도입하여 신뢰성을 높일 수 있는 여지가 있을 것으로 보임</w:t>
      </w:r>
    </w:p>
    <w:p>
      <w:pPr>
        <w:pStyle w:val="2"/>
        <w:widowControl w:val="off"/>
        <w:rPr/>
      </w:pPr>
    </w:p>
    <w:p>
      <w:r>
        <w:br w:type="page"/>
      </w:r>
    </w:p>
    <w:p>
      <w:pPr>
        <w:pStyle w:val="3"/>
        <w:widowControl w:val="off"/>
      </w:pPr>
      <w:r>
        <w:rPr/>
        <w:t>경제효과 분석</w:t>
      </w:r>
    </w:p>
    <w:p>
      <w:pPr>
        <w:pStyle w:val="1"/>
        <w:widowControl w:val="off"/>
      </w:pPr>
      <w:r>
        <w:rPr/>
        <w:t>본 장은 앞 장에서 정리한 서귀포시 축제사업 22건을 대상으로 지역산업연관분석(RIO)을 적용한 경제적 파급효과 정량 추정 결과를 제시함</w:t>
      </w:r>
    </w:p>
    <w:p>
      <w:pPr>
        <w:pStyle w:val="2"/>
        <w:widowControl w:val="off"/>
      </w:pPr>
      <w:r>
        <w:rPr/>
        <w:t>핵심 도구는 한국은행 2020년 제주 지역산업연관표 중분류 83부문이며, 각 부문별 생산유발·부가가치유발·고용유발 계수를 도내·도외로 구분 적용함</w:t>
      </w:r>
    </w:p>
    <w:p>
      <w:pPr>
        <w:pStyle w:val="2"/>
        <w:widowControl w:val="off"/>
      </w:pPr>
      <w:r>
        <w:rPr/>
        <w:t>비축제 21건(스포츠 대회·상설 운영사업 등)의 동일 방법론 적용 결과는 부록에 별도 수록함</w:t>
      </w:r>
    </w:p>
    <w:p>
      <w:pPr>
        <w:pStyle w:val="1"/>
        <w:widowControl w:val="off"/>
      </w:pPr>
      <w:r>
        <w:rPr/>
        <w:t>본 분석은 효과 발생 경로를 두 가지로 명시적으로 분리하며, 두 경로의 자료 신뢰도가 본질적으로 다른 점을 결과 해석의 핵심 전제로 둠</w:t>
      </w:r>
    </w:p>
    <w:p>
      <w:pPr>
        <w:pStyle w:val="2"/>
        <w:widowControl w:val="off"/>
      </w:pPr>
      <w:r>
        <w:rPr/>
        <w:t>정책지출 효과: 운영 예산이 지역 vendor로 발주되며 발생하는 직·간접 효과. 사업별 예산세부내역과 RIO 유발계수의 조합으로 산정되어 사업별 신뢰도 균질</w:t>
      </w:r>
    </w:p>
    <w:p>
      <w:pPr>
        <w:pStyle w:val="2"/>
        <w:widowControl w:val="off"/>
      </w:pPr>
      <w:r>
        <w:rPr/>
        <w:t>참여자 효과: 외지인 방문에 따른 행사현장·부수체류 소비. 외지인 모집단·1인당 지출·행사목적 가중치의 추정 정확도가 사업별로 큰 편차를 보임</w:t>
      </w:r>
    </w:p>
    <w:p>
      <w:pPr>
        <w:pStyle w:val="1"/>
        <w:widowControl w:val="off"/>
      </w:pPr>
      <w:r>
        <w:rPr/>
        <w:t xml:space="preserve">정책지출 효과 자료원은 </w:t>
      </w:r>
      <w:r>
        <w:rPr/>
        <w:t>「지역경제분석</w:t>
      </w:r>
      <w:r>
        <w:rPr/>
        <w:t xml:space="preserve"> 자료(수합)</w:t>
      </w:r>
      <w:r>
        <w:rPr/>
        <w:t>」</w:t>
      </w:r>
      <w:r>
        <w:rPr/>
        <w:t xml:space="preserve"> DOCX의 사업별 </w:t>
      </w:r>
      <w:r>
        <w:rPr/>
        <w:t>「예산세부내역」</w:t>
      </w:r>
      <w:r>
        <w:rPr/>
        <w:t xml:space="preserve"> 표 직접 추출</w:t>
      </w:r>
    </w:p>
    <w:p>
      <w:pPr>
        <w:pStyle w:val="2"/>
        <w:widowControl w:val="off"/>
      </w:pPr>
      <w:r>
        <w:rPr/>
        <w:t xml:space="preserve">22건 모두 </w:t>
      </w:r>
      <w:r>
        <w:rPr/>
        <w:t>「예산세부내역」</w:t>
      </w:r>
      <w:r>
        <w:rPr/>
        <w:t xml:space="preserve"> 표가 DOCX 원자료에 직접 명시되어 자료 등급은 일관됨</w:t>
      </w:r>
    </w:p>
    <w:p>
      <w:pPr>
        <w:pStyle w:val="1"/>
        <w:widowControl w:val="off"/>
      </w:pPr>
      <w:r>
        <w:rPr/>
        <w:t>참여자 효과 자료원은 4등급으로 구분됨</w:t>
      </w:r>
    </w:p>
    <w:p>
      <w:pPr>
        <w:pStyle w:val="2"/>
        <w:widowControl w:val="off"/>
      </w:pPr>
      <w:r>
        <w:rPr/>
        <w:t>A등급(만족도조사 1,000건 이상 실측): P09 새연교 주말 문화공연(1,519건). 거주지·1인당 지출·체류일수·가중치 모두 실측</w:t>
      </w:r>
    </w:p>
    <w:p>
      <w:pPr>
        <w:pStyle w:val="2"/>
        <w:widowControl w:val="off"/>
      </w:pPr>
      <w:r>
        <w:rPr/>
        <w:t>B등급(만족도조사 보유, 거주지만 실측): P10 야해 페스티벌(265건). 1인당 지출은 표준값</w:t>
      </w:r>
    </w:p>
    <w:p>
      <w:pPr>
        <w:pStyle w:val="2"/>
        <w:widowControl w:val="off"/>
      </w:pPr>
      <w:r>
        <w:rPr/>
        <w:t>C등급(방문객 보고치 + 표준 외지인 비율 32%): 20건</w:t>
      </w:r>
    </w:p>
    <w:p>
      <w:pPr>
        <w:pStyle w:val="2"/>
        <w:widowControl w:val="off"/>
      </w:pPr>
      <w:r>
        <w:rPr/>
        <w:t>D등급(방문객 미수집): 22건 축제 중 없음</w:t>
      </w:r>
    </w:p>
    <w:p>
      <w:pPr>
        <w:pStyle w:val="1"/>
        <w:widowControl w:val="off"/>
      </w:pPr>
      <w:r>
        <w:rPr/>
        <w:t>22건 합산 결과는 정책지출 효과를 1차 기준으로 보고함</w:t>
      </w:r>
    </w:p>
    <w:p>
      <w:pPr>
        <w:pStyle w:val="2"/>
        <w:widowControl w:val="off"/>
      </w:pPr>
      <w:r>
        <w:rPr/>
        <w:t>투입예산 약 4,328.2M원, 정책지출 도내 효과 5,528.4M원(승수 약 1.28배). 한국은행 RIO 계수의 1차 직·간접 승수에 해당하며 사업 간 비교 가능성 높음</w:t>
      </w:r>
    </w:p>
    <w:p>
      <w:pPr>
        <w:pStyle w:val="2"/>
        <w:widowControl w:val="off"/>
      </w:pPr>
      <w:r>
        <w:rPr/>
        <w:t>참여자 효과는 약 68,990.5M원으로 추정되나 자료 등급별 신뢰 구간 편차가 크므로 외지인 유치 잠재력의 보조 지표로 활용함</w:t>
      </w:r>
    </w:p>
    <w:p>
      <w:pPr>
        <w:pStyle w:val="2"/>
        <w:widowControl w:val="off"/>
      </w:pPr>
      <w:r>
        <w:rPr/>
        <w:t>통합 효율(정책지출+참여자) 약 17배는 외지인 방문객 누적 규모(P09 26회·42,866명, P12 72,000명 등)와 KTO 1박 단가의 결합 결과로, 단독 사업 비교 지표로 사용하기에 부적합</w:t>
      </w:r>
    </w:p>
    <w:p>
      <w:pPr>
        <w:pStyle w:val="1"/>
        <w:widowControl w:val="off"/>
      </w:pPr>
      <w:r>
        <w:rPr/>
        <w:t>본 장의 구성은 다음과 같음</w:t>
      </w:r>
    </w:p>
    <w:p>
      <w:pPr>
        <w:pStyle w:val="2"/>
        <w:widowControl w:val="off"/>
      </w:pPr>
      <w:r>
        <w:rPr/>
        <w:t>1절: 분석 방법론과 매개변수의 출처·산정 근거</w:t>
      </w:r>
    </w:p>
    <w:p>
      <w:pPr>
        <w:pStyle w:val="2"/>
        <w:widowControl w:val="off"/>
      </w:pPr>
      <w:r>
        <w:rPr/>
        <w:t xml:space="preserve">2절: 정책지출 효과(사업별 결과) </w:t>
      </w:r>
      <w:r>
        <w:rPr/>
        <w:t>—</w:t>
      </w:r>
      <w:r>
        <w:rPr/>
        <w:t xml:space="preserve"> 1차 분석</w:t>
      </w:r>
    </w:p>
    <w:p>
      <w:pPr>
        <w:pStyle w:val="2"/>
        <w:widowControl w:val="off"/>
      </w:pPr>
      <w:r>
        <w:rPr/>
        <w:t xml:space="preserve">3절: 참여자 효과 </w:t>
      </w:r>
      <w:r>
        <w:rPr/>
        <w:t>—</w:t>
      </w:r>
      <w:r>
        <w:rPr/>
        <w:t xml:space="preserve"> 자료 등급별 보조 분석</w:t>
      </w:r>
    </w:p>
    <w:p>
      <w:pPr>
        <w:pStyle w:val="2"/>
        <w:widowControl w:val="off"/>
      </w:pPr>
      <w:r>
        <w:rPr/>
        <w:t>4절: 결론과 정책 시사점, 자료 고도화 방향</w:t>
      </w:r>
    </w:p>
    <w:p>
      <w:pPr>
        <w:pStyle w:val="2"/>
        <w:widowControl w:val="off"/>
        <w:rPr/>
      </w:pPr>
    </w:p>
    <w:p>
      <w:pPr>
        <w:pStyle w:val="4"/>
        <w:widowControl w:val="off"/>
      </w:pPr>
      <w:r>
        <w:rPr/>
        <w:t>분석 방법론</w:t>
      </w:r>
    </w:p>
    <w:p>
      <w:pPr>
        <w:pStyle w:val="5"/>
        <w:widowControl w:val="off"/>
      </w:pPr>
      <w:r>
        <w:rPr/>
        <w:t>개요</w:t>
      </w:r>
    </w:p>
    <w:p>
      <w:pPr>
        <w:pStyle w:val="1"/>
        <w:widowControl w:val="off"/>
      </w:pPr>
      <w:r>
        <w:rPr/>
        <w:t>본 절은 본 장 분석의 방법론, 자료원, 매개변수 산정 근거를 정리함</w:t>
      </w:r>
    </w:p>
    <w:p>
      <w:pPr>
        <w:pStyle w:val="1"/>
        <w:widowControl w:val="off"/>
      </w:pPr>
      <w:r>
        <w:rPr/>
        <w:t>분석 도구: 한국은행 2020년 제주 지역산업연관표(중분류 83부문)</w:t>
      </w:r>
    </w:p>
    <w:p>
      <w:pPr>
        <w:pStyle w:val="1"/>
        <w:widowControl w:val="off"/>
      </w:pPr>
      <w:r>
        <w:rPr/>
        <w:t>효과 구분: 정책지출, 행사현장 소비, 부수체류 소비의 세 경로</w:t>
      </w:r>
    </w:p>
    <w:p>
      <w:pPr>
        <w:pStyle w:val="1"/>
        <w:widowControl w:val="off"/>
      </w:pPr>
      <w:r>
        <w:rPr/>
        <w:t>사업별 자료 완비도 편차를 반영해 Type A~F 5단계 차등 방법론 적용</w:t>
      </w:r>
    </w:p>
    <w:p>
      <w:pPr>
        <w:pStyle w:val="0"/>
        <w:widowControl w:val="off"/>
        <w:spacing w:line="331" w:lineRule="auto"/>
        <w:ind w:left="-1200"/>
        <w:rPr>
          <w:rFonts w:ascii="굴림" w:eastAsia="굴림"/>
          <w:b/>
          <w:color w:val="000000"/>
          <w:shd w:val="clear" w:color="000000"/>
        </w:rPr>
      </w:pPr>
    </w:p>
    <w:p>
      <w:pPr>
        <w:pStyle w:val="5"/>
        <w:widowControl w:val="off"/>
      </w:pPr>
      <w:r>
        <w:rPr/>
        <w:t>분석 대상 및 범위</w:t>
      </w:r>
    </w:p>
    <w:p>
      <w:pPr>
        <w:pStyle w:val="7"/>
        <w:widowControl w:val="off"/>
        <w:rPr/>
      </w:pPr>
    </w:p>
    <w:p>
      <w:pPr>
        <w:pStyle w:val="7"/>
        <w:widowControl w:val="off"/>
      </w:pPr>
      <w:r>
        <w:rPr/>
        <w:t xml:space="preserve">&lt;표 </w:t>
      </w:r>
      <w:r>
        <w:rPr/>
        <w:t>Ⅲ</w:t>
      </w:r>
      <w:r>
        <w:rPr/>
        <w:t>-1-1&gt; 분석 대상 및 범위</w:t>
      </w:r>
    </w:p>
    <w:tbl>
      <w:tblPr>
        <w:tblOverlap w:val="never"/>
        <w:tblW w:w="757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70"/>
        <w:gridCol w:w="6200"/>
      </w:tblGrid>
      <w:tr>
        <w:trPr>
          <w:trHeight w:val="56"/>
        </w:trPr>
        <w:tc>
          <w:tcPr>
            <w:tcW w:w="137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항목</w:t>
            </w:r>
          </w:p>
        </w:tc>
        <w:tc>
          <w:tcPr>
            <w:tcW w:w="620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내용</w:t>
            </w:r>
          </w:p>
        </w:tc>
      </w:tr>
      <w:tr>
        <w:trPr>
          <w:trHeight w:val="56"/>
        </w:trPr>
        <w:tc>
          <w:tcPr>
            <w:tcW w:w="137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분석 대상</w:t>
            </w:r>
          </w:p>
        </w:tc>
        <w:tc>
          <w:tcPr>
            <w:tcW w:w="620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서귀포시 추진 축제사업 22개 (2025년 기준)</w:t>
            </w:r>
          </w:p>
        </w:tc>
      </w:tr>
      <w:tr>
        <w:trPr>
          <w:trHeight w:val="56"/>
        </w:trPr>
        <w:tc>
          <w:tcPr>
            <w:tcW w:w="13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분석 기준연도</w:t>
            </w:r>
          </w:p>
        </w:tc>
        <w:tc>
          <w:tcPr>
            <w:tcW w:w="62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2025년(예정)</w:t>
            </w:r>
          </w:p>
        </w:tc>
      </w:tr>
      <w:tr>
        <w:trPr>
          <w:trHeight w:val="56"/>
        </w:trPr>
        <w:tc>
          <w:tcPr>
            <w:tcW w:w="13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공간 범위</w:t>
            </w:r>
          </w:p>
        </w:tc>
        <w:tc>
          <w:tcPr>
            <w:tcW w:w="62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제주도 도내/도외 구분 분석</w:t>
            </w:r>
          </w:p>
        </w:tc>
      </w:tr>
      <w:tr>
        <w:trPr>
          <w:trHeight w:val="56"/>
        </w:trPr>
        <w:tc>
          <w:tcPr>
            <w:tcW w:w="13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분석 방법</w:t>
            </w:r>
          </w:p>
        </w:tc>
        <w:tc>
          <w:tcPr>
            <w:tcW w:w="62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지역산업연관분석(RIO) 다단계 효과 추정</w:t>
            </w:r>
          </w:p>
        </w:tc>
      </w:tr>
      <w:tr>
        <w:trPr>
          <w:trHeight w:val="56"/>
        </w:trPr>
        <w:tc>
          <w:tcPr>
            <w:tcW w:w="13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기본 계수</w:t>
            </w:r>
          </w:p>
        </w:tc>
        <w:tc>
          <w:tcPr>
            <w:tcW w:w="620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한국은행 2020년 제주 RIO 중분류 83부문</w:t>
            </w:r>
          </w:p>
        </w:tc>
      </w:tr>
      <w:tr>
        <w:trPr>
          <w:trHeight w:val="56"/>
        </w:trPr>
        <w:tc>
          <w:tcPr>
            <w:tcW w:w="137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부록 별도</w:t>
            </w:r>
          </w:p>
        </w:tc>
        <w:tc>
          <w:tcPr>
            <w:tcW w:w="620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비축제 21건(스포츠·상설 운영사업)은 동일 방법론으로 부록 수록</w:t>
            </w:r>
          </w:p>
        </w:tc>
      </w:tr>
    </w:tbl>
    <w:p>
      <w:pPr>
        <w:pStyle w:val="0"/>
        <w:widowControl w:val="off"/>
        <w:jc w:val="left"/>
      </w:pPr>
    </w:p>
    <w:p>
      <w:pPr>
        <w:pStyle w:val="0"/>
        <w:widowControl w:val="off"/>
        <w:rPr>
          <w:rFonts w:ascii="굴림" w:eastAsia="굴림"/>
          <w:b/>
          <w:color w:val="000000"/>
          <w:shd w:val="clear" w:color="000000"/>
        </w:rPr>
      </w:pPr>
    </w:p>
    <w:p>
      <w:pPr>
        <w:pStyle w:val="5"/>
        <w:widowControl w:val="off"/>
      </w:pPr>
      <w:r>
        <w:rPr/>
        <w:t>데이터 수준별 프로젝트 분류</w:t>
      </w:r>
    </w:p>
    <w:p>
      <w:pPr>
        <w:pStyle w:val="0"/>
        <w:widowControl w:val="off"/>
        <w:spacing w:line="331" w:lineRule="auto"/>
        <w:ind w:left="600"/>
        <w:rPr>
          <w:rFonts w:ascii="굴림" w:eastAsia="굴림"/>
          <w:b/>
          <w:color w:val="000000"/>
          <w:shd w:val="clear" w:color="000000"/>
        </w:rPr>
      </w:pPr>
    </w:p>
    <w:p>
      <w:pPr>
        <w:pStyle w:val="1"/>
        <w:widowControl w:val="off"/>
      </w:pPr>
      <w:r>
        <w:rPr/>
        <w:t>사업별 자료 완비 수준에 따라 5개 유형(Type A~F)으로 분류함</w:t>
      </w:r>
    </w:p>
    <w:p>
      <w:pPr>
        <w:pStyle w:val="2"/>
        <w:widowControl w:val="off"/>
      </w:pPr>
      <w:r>
        <w:rPr/>
        <w:t>분류 기준은 만족도조사 보유 여부, 참여자/방문객 자료 보유 여부, 예산세부내역 완비 수준에 따름</w:t>
      </w:r>
    </w:p>
    <w:p>
      <w:pPr>
        <w:pStyle w:val="0"/>
        <w:widowControl w:val="off"/>
        <w:spacing w:line="331" w:lineRule="auto"/>
        <w:ind w:left="-1200"/>
        <w:rPr>
          <w:rFonts w:ascii="굴림" w:eastAsia="굴림"/>
          <w:b/>
          <w:color w:val="000000"/>
          <w:shd w:val="clear" w:color="000000"/>
        </w:rPr>
      </w:pPr>
    </w:p>
    <w:p>
      <w:pPr>
        <w:pStyle w:val="7"/>
        <w:widowControl w:val="off"/>
      </w:pPr>
      <w:r>
        <w:rPr/>
        <w:t xml:space="preserve">&lt;표 </w:t>
      </w:r>
      <w:r>
        <w:rPr/>
        <w:t>Ⅲ</w:t>
      </w:r>
      <w:r>
        <w:rPr/>
        <w:t>-1-2&gt; 축제 22건의 유형별 분류</w:t>
      </w:r>
    </w:p>
    <w:tbl>
      <w:tblPr>
        <w:tblOverlap w:val="never"/>
        <w:tblW w:w="826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0"/>
        <w:gridCol w:w="780"/>
        <w:gridCol w:w="3664"/>
        <w:gridCol w:w="2865"/>
      </w:tblGrid>
      <w:tr>
        <w:trPr>
          <w:trHeight w:val="56"/>
        </w:trPr>
        <w:tc>
          <w:tcPr>
            <w:tcW w:w="96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유형</w:t>
            </w:r>
          </w:p>
        </w:tc>
        <w:tc>
          <w:tcPr>
            <w:tcW w:w="78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개수</w:t>
            </w:r>
          </w:p>
        </w:tc>
        <w:tc>
          <w:tcPr>
            <w:tcW w:w="3664"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특징</w:t>
            </w:r>
          </w:p>
        </w:tc>
        <w:tc>
          <w:tcPr>
            <w:tcW w:w="2865"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적용 방법</w:t>
            </w:r>
          </w:p>
        </w:tc>
      </w:tr>
      <w:tr>
        <w:trPr>
          <w:trHeight w:val="56"/>
        </w:trPr>
        <w:tc>
          <w:tcPr>
            <w:tcW w:w="96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Type A</w:t>
            </w:r>
          </w:p>
        </w:tc>
        <w:tc>
          <w:tcPr>
            <w:tcW w:w="78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2개</w:t>
            </w:r>
          </w:p>
        </w:tc>
        <w:tc>
          <w:tcPr>
            <w:tcW w:w="3664"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L1: 만족도조사 1,000건 이상 실측 자료 보유</w:t>
            </w:r>
          </w:p>
        </w:tc>
        <w:tc>
          <w:tcPr>
            <w:tcW w:w="2865"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거주지·1인당 지출·가중치 실측 (P09, P10)</w:t>
            </w:r>
          </w:p>
        </w:tc>
      </w:tr>
      <w:tr>
        <w:trPr>
          <w:trHeight w:val="56"/>
        </w:trPr>
        <w:tc>
          <w:tcPr>
            <w:tcW w:w="96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Type B</w:t>
            </w:r>
          </w:p>
        </w:tc>
        <w:tc>
          <w:tcPr>
            <w:tcW w:w="78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7개</w:t>
            </w:r>
          </w:p>
        </w:tc>
        <w:tc>
          <w:tcPr>
            <w:tcW w:w="3664"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L1: 예산 + 참여/방문객 (만족도조사 미보유)</w:t>
            </w:r>
          </w:p>
        </w:tc>
        <w:tc>
          <w:tcPr>
            <w:tcW w:w="2865"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강화된 표준값 + master 방문객 실측</w:t>
            </w:r>
          </w:p>
        </w:tc>
      </w:tr>
      <w:tr>
        <w:trPr>
          <w:trHeight w:val="56"/>
        </w:trPr>
        <w:tc>
          <w:tcPr>
            <w:tcW w:w="96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Type D</w:t>
            </w:r>
          </w:p>
        </w:tc>
        <w:tc>
          <w:tcPr>
            <w:tcW w:w="78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10개</w:t>
            </w:r>
          </w:p>
        </w:tc>
        <w:tc>
          <w:tcPr>
            <w:tcW w:w="3664"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L2: 예산 + 참여/방문객</w:t>
            </w:r>
          </w:p>
        </w:tc>
        <w:tc>
          <w:tcPr>
            <w:tcW w:w="2865"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축제 표준 패턴 + master 방문객 실측</w:t>
            </w:r>
          </w:p>
        </w:tc>
      </w:tr>
      <w:tr>
        <w:trPr>
          <w:trHeight w:val="56"/>
        </w:trPr>
        <w:tc>
          <w:tcPr>
            <w:tcW w:w="96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Type E</w:t>
            </w:r>
          </w:p>
        </w:tc>
        <w:tc>
          <w:tcPr>
            <w:tcW w:w="78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3개</w:t>
            </w:r>
          </w:p>
        </w:tc>
        <w:tc>
          <w:tcPr>
            <w:tcW w:w="3664"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L2: 예산 + 부분적 참여자료</w:t>
            </w:r>
          </w:p>
        </w:tc>
        <w:tc>
          <w:tcPr>
            <w:tcW w:w="2865"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보수적 표준값 + master 방문객 실측</w:t>
            </w:r>
          </w:p>
        </w:tc>
      </w:tr>
      <w:tr>
        <w:trPr>
          <w:trHeight w:val="56"/>
        </w:trPr>
        <w:tc>
          <w:tcPr>
            <w:tcW w:w="96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Type F</w:t>
            </w:r>
          </w:p>
        </w:tc>
        <w:tc>
          <w:tcPr>
            <w:tcW w:w="780"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0개</w:t>
            </w:r>
          </w:p>
        </w:tc>
        <w:tc>
          <w:tcPr>
            <w:tcW w:w="3664"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 xml:space="preserve">(해당 축제 없음 </w:t>
            </w:r>
            <w:r>
              <w:rPr/>
              <w:t>—</w:t>
            </w:r>
            <w:r>
              <w:rPr/>
              <w:t xml:space="preserve"> F는 비축제 P05·P30에 한정)</w:t>
            </w:r>
          </w:p>
        </w:tc>
        <w:tc>
          <w:tcPr>
            <w:tcW w:w="2865" w:type="dxa"/>
            <w:tcBorders>
              <w:top w:val="single" w:color="000000" w:sz="7"/>
              <w:left w:val="single" w:color="000000" w:sz="7"/>
              <w:bottom w:val="single" w:color="000000" w:sz="7"/>
              <w:right w:val="single" w:color="000000" w:sz="7"/>
            </w:tcBorders>
            <w:tcMar>
              <w:top w:w="100" w:type="dxa"/>
              <w:left w:w="100" w:type="dxa"/>
              <w:bottom w:w="100" w:type="dxa"/>
              <w:right w:w="100" w:type="dxa"/>
            </w:tcMar>
            <w:vAlign w:val="top"/>
          </w:tcPr>
          <w:p>
            <w:pPr>
              <w:pStyle w:val="8"/>
              <w:widowControl w:val="off"/>
            </w:pPr>
            <w:r>
              <w:rPr/>
              <w:t>-</w:t>
            </w:r>
          </w:p>
        </w:tc>
      </w:tr>
    </w:tbl>
    <w:p>
      <w:pPr>
        <w:pStyle w:val="0"/>
        <w:widowControl w:val="off"/>
        <w:jc w:val="left"/>
      </w:pPr>
    </w:p>
    <w:p>
      <w:pPr>
        <w:pStyle w:val="0"/>
        <w:widowControl w:val="off"/>
        <w:rPr>
          <w:rFonts w:ascii="굴림" w:eastAsia="굴림"/>
          <w:b/>
          <w:color w:val="000000"/>
          <w:shd w:val="clear" w:color="000000"/>
        </w:rPr>
      </w:pPr>
    </w:p>
    <w:p>
      <w:pPr>
        <w:pStyle w:val="5"/>
        <w:widowControl w:val="off"/>
      </w:pPr>
      <w:r>
        <w:rPr/>
        <w:t>계산 방법론 (3단계 효과)</w:t>
      </w:r>
    </w:p>
    <w:p>
      <w:pPr>
        <w:pStyle w:val="1"/>
        <w:widowControl w:val="off"/>
      </w:pPr>
      <w:r>
        <w:rPr/>
        <w:t>정책지출 효과</w:t>
      </w:r>
    </w:p>
    <w:p>
      <w:pPr>
        <w:pStyle w:val="2"/>
        <w:widowControl w:val="off"/>
      </w:pPr>
      <w:r>
        <w:rPr/>
        <w:t>정의: 사업 예산이 지역 내 생산요소 구입을 통해 발생시키는 직·간접 효과</w:t>
      </w:r>
    </w:p>
    <w:p>
      <w:pPr>
        <w:pStyle w:val="2"/>
        <w:widowControl w:val="off"/>
      </w:pPr>
      <w:r>
        <w:rPr/>
        <w:t xml:space="preserve">산정 절차: 예산 항목을 산업분류(83부문)에 매핑 </w:t>
      </w:r>
      <w:r>
        <w:rPr/>
        <w:t>→</w:t>
      </w:r>
      <w:r>
        <w:rPr/>
        <w:t xml:space="preserve"> 지역귀착률(vendor_jeju_share)을 적용해 도내 귀착분 산정 </w:t>
      </w:r>
      <w:r>
        <w:rPr/>
        <w:t>→</w:t>
      </w:r>
      <w:r>
        <w:rPr/>
        <w:t xml:space="preserve"> 부문별 생산·부가가치·고용 유발계수 적용</w:t>
      </w:r>
    </w:p>
    <w:p>
      <w:pPr>
        <w:pStyle w:val="2"/>
        <w:widowControl w:val="off"/>
      </w:pPr>
      <w:r>
        <w:rPr/>
        <w:t>적용 범위: 22개 축제사업 전부</w:t>
      </w:r>
    </w:p>
    <w:p>
      <w:pPr>
        <w:pStyle w:val="1"/>
        <w:widowControl w:val="off"/>
      </w:pPr>
      <w:r>
        <w:rPr/>
        <w:t>행사현장 소비 효과</w:t>
      </w:r>
    </w:p>
    <w:p>
      <w:pPr>
        <w:pStyle w:val="2"/>
        <w:widowControl w:val="off"/>
      </w:pPr>
      <w:r>
        <w:rPr/>
        <w:t>정의: 외지인(도외 국내인 + 해외인) 행사장 방문 시 발생하는 행사 부지 내·인근 소비</w:t>
      </w:r>
    </w:p>
    <w:p>
      <w:pPr>
        <w:pStyle w:val="2"/>
        <w:widowControl w:val="off"/>
      </w:pPr>
      <w:r>
        <w:rPr/>
        <w:t>외지인 모집단 산정: Type A는 만족도조사 거주지 분포 실측(P09 외지인 30.7%·해외 1.2%, P10 외지인 30.6%·해외 2.3%), Type B~E는 master 실측 방문객 × 표준 외지인 비율(도외 30%·해외 2% = 32%) 적용</w:t>
      </w:r>
    </w:p>
    <w:p>
      <w:pPr>
        <w:pStyle w:val="2"/>
        <w:widowControl w:val="off"/>
      </w:pPr>
      <w:r>
        <w:rPr/>
        <w:t>1인당 지출: 축제/공연 150,000원(KTO 2020~2024 평균), 스포츠 120,000원. Type A는 만족도조사 실측(P09 도외 400,563원·해외 60,946원)</w:t>
      </w:r>
    </w:p>
    <w:p>
      <w:pPr>
        <w:pStyle w:val="1"/>
        <w:widowControl w:val="off"/>
      </w:pPr>
      <w:r>
        <w:rPr/>
        <w:t>부수체류 소비 효과</w:t>
      </w:r>
    </w:p>
    <w:p>
      <w:pPr>
        <w:pStyle w:val="2"/>
        <w:widowControl w:val="off"/>
      </w:pPr>
      <w:r>
        <w:rPr/>
        <w:t>정의: 행사 참여 외지인의 행사 전후 추가 도내 체류에 따른 소비</w:t>
      </w:r>
    </w:p>
    <w:p>
      <w:pPr>
        <w:pStyle w:val="2"/>
        <w:widowControl w:val="off"/>
      </w:pPr>
      <w:r>
        <w:rPr/>
        <w:t>행사목적성 가중치: 축제/공연 0.65(JRI 정책연구 2024-18 참조), 스포츠 0.40. Type A는 만족도조사 실측(P09 Likert 가중평균 0.663, P10 지역상권 이용의향 0.864)</w:t>
      </w:r>
    </w:p>
    <w:p>
      <w:pPr>
        <w:pStyle w:val="2"/>
        <w:widowControl w:val="off"/>
      </w:pPr>
      <w:r>
        <w:rPr/>
        <w:t>단가 자료원: 한국관광공사(KTO) 월별(7~10월) 평균값</w:t>
      </w:r>
    </w:p>
    <w:p>
      <w:pPr>
        <w:pStyle w:val="0"/>
        <w:widowControl w:val="off"/>
        <w:spacing w:line="331" w:lineRule="auto"/>
        <w:ind w:left="-1200"/>
        <w:rPr>
          <w:rFonts w:ascii="굴림" w:eastAsia="굴림"/>
          <w:b/>
          <w:color w:val="000000"/>
          <w:shd w:val="clear" w:color="000000"/>
        </w:rPr>
      </w:pPr>
    </w:p>
    <w:p>
      <w:pPr>
        <w:pStyle w:val="5"/>
        <w:widowControl w:val="off"/>
      </w:pPr>
      <w:r>
        <w:rPr/>
        <w:t>유발계수 및 지역별 구분</w:t>
      </w:r>
    </w:p>
    <w:p>
      <w:pPr>
        <w:pStyle w:val="7"/>
        <w:widowControl w:val="off"/>
        <w:rPr/>
      </w:pPr>
    </w:p>
    <w:p>
      <w:pPr>
        <w:pStyle w:val="7"/>
        <w:widowControl w:val="off"/>
      </w:pPr>
      <w:r>
        <w:rPr/>
        <w:t xml:space="preserve">&lt;표 </w:t>
      </w:r>
      <w:r>
        <w:rPr/>
        <w:t>Ⅲ</w:t>
      </w:r>
      <w:r>
        <w:rPr/>
        <w:t>-1-3&gt; 유발계수 정의</w:t>
      </w:r>
    </w:p>
    <w:tbl>
      <w:tblPr>
        <w:tblOverlap w:val="never"/>
        <w:tblW w:w="758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49"/>
        <w:gridCol w:w="3299"/>
        <w:gridCol w:w="2339"/>
      </w:tblGrid>
      <w:tr>
        <w:trPr>
          <w:trHeight w:val="56"/>
        </w:trPr>
        <w:tc>
          <w:tcPr>
            <w:tcW w:w="1949"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구분</w:t>
            </w:r>
          </w:p>
        </w:tc>
        <w:tc>
          <w:tcPr>
            <w:tcW w:w="3299"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정의</w:t>
            </w:r>
          </w:p>
        </w:tc>
        <w:tc>
          <w:tcPr>
            <w:tcW w:w="2339"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계수</w:t>
            </w:r>
          </w:p>
        </w:tc>
      </w:tr>
      <w:tr>
        <w:trPr>
          <w:trHeight w:val="56"/>
        </w:trPr>
        <w:tc>
          <w:tcPr>
            <w:tcW w:w="1949"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도내 (Jeju)</w:t>
            </w:r>
          </w:p>
        </w:tc>
        <w:tc>
          <w:tcPr>
            <w:tcW w:w="3299"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제주도 내 생산 및 소비</w:t>
            </w:r>
          </w:p>
        </w:tc>
        <w:tc>
          <w:tcPr>
            <w:tcW w:w="2339"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multiplier_*_jeju</w:t>
            </w:r>
          </w:p>
        </w:tc>
      </w:tr>
      <w:tr>
        <w:trPr>
          <w:trHeight w:val="56"/>
        </w:trPr>
        <w:tc>
          <w:tcPr>
            <w:tcW w:w="1949"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도외 (Outside)</w:t>
            </w:r>
          </w:p>
        </w:tc>
        <w:tc>
          <w:tcPr>
            <w:tcW w:w="3299"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도외 생산요소 구입 및 누출</w:t>
            </w:r>
          </w:p>
        </w:tc>
        <w:tc>
          <w:tcPr>
            <w:tcW w:w="2339"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multiplier_*_outside</w:t>
            </w:r>
          </w:p>
        </w:tc>
      </w:tr>
    </w:tbl>
    <w:p>
      <w:pPr>
        <w:pStyle w:val="0"/>
        <w:widowControl w:val="off"/>
        <w:jc w:val="left"/>
      </w:pPr>
    </w:p>
    <w:p>
      <w:pPr>
        <w:pStyle w:val="0"/>
        <w:widowControl w:val="off"/>
        <w:spacing w:line="331" w:lineRule="auto"/>
        <w:rPr>
          <w:rFonts w:ascii="Arial" w:eastAsia="Arial"/>
          <w:color w:val="000000"/>
          <w:sz w:val="22"/>
          <w:shd w:val="clear" w:color="000000"/>
        </w:rPr>
      </w:pPr>
    </w:p>
    <w:p>
      <w:pPr>
        <w:pStyle w:val="1"/>
        <w:widowControl w:val="off"/>
      </w:pPr>
      <w:r>
        <w:rPr/>
        <w:t>도외 누출률은 약 30~38% 범위로 사업 유형별 상이하게 나타남</w:t>
      </w:r>
    </w:p>
    <w:p>
      <w:pPr>
        <w:pStyle w:val="0"/>
        <w:widowControl w:val="off"/>
        <w:spacing w:line="331" w:lineRule="auto"/>
        <w:ind w:left="-600"/>
        <w:rPr>
          <w:rFonts w:ascii="굴림" w:eastAsia="굴림"/>
          <w:b/>
          <w:color w:val="000000"/>
          <w:shd w:val="clear" w:color="000000"/>
        </w:rPr>
      </w:pPr>
    </w:p>
    <w:p>
      <w:pPr>
        <w:pStyle w:val="7"/>
        <w:widowControl w:val="off"/>
      </w:pPr>
      <w:r>
        <w:rPr/>
        <w:t xml:space="preserve">&lt;표 </w:t>
      </w:r>
      <w:r>
        <w:rPr/>
        <w:t>Ⅲ</w:t>
      </w:r>
      <w:r>
        <w:rPr/>
        <w:t>-1-4&gt; 경제효과 지표</w:t>
      </w:r>
    </w:p>
    <w:tbl>
      <w:tblPr>
        <w:tblOverlap w:val="never"/>
        <w:tblW w:w="770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169"/>
        <w:gridCol w:w="1509"/>
        <w:gridCol w:w="4029"/>
      </w:tblGrid>
      <w:tr>
        <w:trPr>
          <w:trHeight w:val="56"/>
        </w:trPr>
        <w:tc>
          <w:tcPr>
            <w:tcW w:w="2169"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지표</w:t>
            </w:r>
          </w:p>
        </w:tc>
        <w:tc>
          <w:tcPr>
            <w:tcW w:w="1509"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단위</w:t>
            </w:r>
          </w:p>
        </w:tc>
        <w:tc>
          <w:tcPr>
            <w:tcW w:w="4029"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정의</w:t>
            </w:r>
          </w:p>
        </w:tc>
      </w:tr>
      <w:tr>
        <w:trPr>
          <w:trHeight w:val="56"/>
        </w:trPr>
        <w:tc>
          <w:tcPr>
            <w:tcW w:w="2169"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생산유발효과</w:t>
            </w:r>
          </w:p>
        </w:tc>
        <w:tc>
          <w:tcPr>
            <w:tcW w:w="1509"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백만원</w:t>
            </w:r>
          </w:p>
        </w:tc>
        <w:tc>
          <w:tcPr>
            <w:tcW w:w="4029"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직접지출로 인한 총 생산액 증가</w:t>
            </w:r>
          </w:p>
        </w:tc>
      </w:tr>
      <w:tr>
        <w:trPr>
          <w:trHeight w:val="56"/>
        </w:trPr>
        <w:tc>
          <w:tcPr>
            <w:tcW w:w="216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부가가치유발</w:t>
            </w:r>
          </w:p>
        </w:tc>
        <w:tc>
          <w:tcPr>
            <w:tcW w:w="150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백만원</w:t>
            </w:r>
          </w:p>
        </w:tc>
        <w:tc>
          <w:tcPr>
            <w:tcW w:w="4029"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부가가치(임금 + 이윤) 증가</w:t>
            </w:r>
          </w:p>
        </w:tc>
      </w:tr>
      <w:tr>
        <w:trPr>
          <w:trHeight w:val="56"/>
        </w:trPr>
        <w:tc>
          <w:tcPr>
            <w:tcW w:w="2169"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고용유발</w:t>
            </w:r>
          </w:p>
        </w:tc>
        <w:tc>
          <w:tcPr>
            <w:tcW w:w="1509"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명</w:t>
            </w:r>
          </w:p>
        </w:tc>
        <w:tc>
          <w:tcPr>
            <w:tcW w:w="4029"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신규 일자리 창출 (10억원당 환산)</w:t>
            </w:r>
          </w:p>
        </w:tc>
      </w:tr>
    </w:tbl>
    <w:p>
      <w:pPr>
        <w:pStyle w:val="0"/>
        <w:widowControl w:val="off"/>
        <w:jc w:val="left"/>
      </w:pPr>
    </w:p>
    <w:p>
      <w:pPr>
        <w:pStyle w:val="0"/>
        <w:widowControl w:val="off"/>
        <w:rPr>
          <w:rFonts w:ascii="굴림" w:eastAsia="굴림"/>
          <w:b/>
          <w:color w:val="000000"/>
          <w:shd w:val="clear" w:color="000000"/>
        </w:rPr>
      </w:pPr>
    </w:p>
    <w:p>
      <w:pPr>
        <w:pStyle w:val="5"/>
        <w:widowControl w:val="off"/>
      </w:pPr>
      <w:r>
        <w:rPr/>
        <w:t>자료 신뢰도 평가</w:t>
      </w:r>
    </w:p>
    <w:p>
      <w:pPr>
        <w:pStyle w:val="0"/>
        <w:widowControl w:val="off"/>
        <w:spacing w:line="331" w:lineRule="auto"/>
        <w:ind w:left="600"/>
        <w:rPr>
          <w:rFonts w:ascii="굴림" w:eastAsia="굴림"/>
          <w:b/>
          <w:color w:val="000000"/>
          <w:shd w:val="clear" w:color="000000"/>
        </w:rPr>
      </w:pPr>
    </w:p>
    <w:p>
      <w:pPr>
        <w:pStyle w:val="1"/>
        <w:widowControl w:val="off"/>
      </w:pPr>
      <w:r>
        <w:rPr/>
        <w:t>본 분석은 정책지출 효과와 참여자 효과를 자료 신뢰도가 본질적으로 다른 두 경로로 명시적으로 분리함</w:t>
      </w:r>
    </w:p>
    <w:p>
      <w:pPr>
        <w:pStyle w:val="2"/>
        <w:widowControl w:val="off"/>
      </w:pPr>
      <w:r>
        <w:rPr/>
        <w:t>정책지출 효과는 사업별 신뢰도 균질</w:t>
      </w:r>
    </w:p>
    <w:p>
      <w:pPr>
        <w:pStyle w:val="2"/>
        <w:widowControl w:val="off"/>
      </w:pPr>
      <w:r>
        <w:rPr/>
        <w:t>참여자 효과는 자료 등급(A·B·C·D)에 따라 사업별 신뢰도 차이 큼</w:t>
      </w:r>
    </w:p>
    <w:p>
      <w:pPr>
        <w:pStyle w:val="0"/>
        <w:widowControl w:val="off"/>
        <w:spacing w:line="331" w:lineRule="auto"/>
        <w:ind w:left="-1200"/>
        <w:rPr>
          <w:rFonts w:ascii="굴림" w:eastAsia="굴림"/>
          <w:b/>
          <w:color w:val="000000"/>
          <w:shd w:val="clear" w:color="000000"/>
        </w:rPr>
      </w:pPr>
    </w:p>
    <w:p>
      <w:pPr>
        <w:pStyle w:val="7"/>
        <w:widowControl w:val="off"/>
      </w:pPr>
      <w:r>
        <w:rPr/>
        <w:t xml:space="preserve">&lt;표 </w:t>
      </w:r>
      <w:r>
        <w:rPr/>
        <w:t>Ⅲ</w:t>
      </w:r>
      <w:r>
        <w:rPr/>
        <w:t>-1-5&gt; 축제 22건의 두 경로별 자료 신뢰도</w:t>
      </w:r>
    </w:p>
    <w:tbl>
      <w:tblPr>
        <w:tblOverlap w:val="never"/>
        <w:tblW w:w="820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50"/>
        <w:gridCol w:w="3575"/>
        <w:gridCol w:w="1270"/>
        <w:gridCol w:w="1514"/>
      </w:tblGrid>
      <w:tr>
        <w:trPr>
          <w:trHeight w:val="56"/>
        </w:trPr>
        <w:tc>
          <w:tcPr>
            <w:tcW w:w="185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효과 경로</w:t>
            </w:r>
          </w:p>
        </w:tc>
        <w:tc>
          <w:tcPr>
            <w:tcW w:w="3575"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자료원</w:t>
            </w:r>
          </w:p>
        </w:tc>
        <w:tc>
          <w:tcPr>
            <w:tcW w:w="127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신뢰도</w:t>
            </w:r>
          </w:p>
        </w:tc>
        <w:tc>
          <w:tcPr>
            <w:tcW w:w="1514"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적용 범위</w:t>
            </w:r>
          </w:p>
        </w:tc>
      </w:tr>
      <w:tr>
        <w:trPr>
          <w:trHeight w:val="56"/>
        </w:trPr>
        <w:tc>
          <w:tcPr>
            <w:tcW w:w="185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정책지출 효과</w:t>
            </w:r>
          </w:p>
        </w:tc>
        <w:tc>
          <w:tcPr>
            <w:tcW w:w="3575"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사업별 예산세부내역 + 한국은행 RIO 부문별 유발계수</w:t>
            </w:r>
          </w:p>
        </w:tc>
        <w:tc>
          <w:tcPr>
            <w:tcW w:w="127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w:t>
            </w:r>
          </w:p>
        </w:tc>
        <w:tc>
          <w:tcPr>
            <w:tcW w:w="1514"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22건 전부 직접 추출</w:t>
            </w:r>
          </w:p>
        </w:tc>
      </w:tr>
      <w:tr>
        <w:trPr>
          <w:trHeight w:val="56"/>
        </w:trPr>
        <w:tc>
          <w:tcPr>
            <w:tcW w:w="185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 xml:space="preserve">참여자 효과 </w:t>
            </w:r>
            <w:r>
              <w:rPr/>
              <w:t>—</w:t>
            </w:r>
            <w:r>
              <w:rPr/>
              <w:t xml:space="preserve"> A등급</w:t>
            </w:r>
          </w:p>
        </w:tc>
        <w:tc>
          <w:tcPr>
            <w:tcW w:w="3575"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만족도조사 1,519건 실측 (P09)</w:t>
            </w:r>
          </w:p>
        </w:tc>
        <w:tc>
          <w:tcPr>
            <w:tcW w:w="12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w:t>
            </w:r>
          </w:p>
        </w:tc>
        <w:tc>
          <w:tcPr>
            <w:tcW w:w="151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1건</w:t>
            </w:r>
          </w:p>
        </w:tc>
      </w:tr>
      <w:tr>
        <w:trPr>
          <w:trHeight w:val="56"/>
        </w:trPr>
        <w:tc>
          <w:tcPr>
            <w:tcW w:w="185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 xml:space="preserve">참여자 효과 </w:t>
            </w:r>
            <w:r>
              <w:rPr/>
              <w:t>—</w:t>
            </w:r>
            <w:r>
              <w:rPr/>
              <w:t xml:space="preserve"> B등급</w:t>
            </w:r>
          </w:p>
        </w:tc>
        <w:tc>
          <w:tcPr>
            <w:tcW w:w="3575"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만족도조사 265건 (거주지만 실측, P10)</w:t>
            </w:r>
          </w:p>
        </w:tc>
        <w:tc>
          <w:tcPr>
            <w:tcW w:w="12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w:t>
            </w:r>
          </w:p>
        </w:tc>
        <w:tc>
          <w:tcPr>
            <w:tcW w:w="151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1건</w:t>
            </w:r>
          </w:p>
        </w:tc>
      </w:tr>
      <w:tr>
        <w:trPr>
          <w:trHeight w:val="56"/>
        </w:trPr>
        <w:tc>
          <w:tcPr>
            <w:tcW w:w="185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 xml:space="preserve">참여자 효과 </w:t>
            </w:r>
            <w:r>
              <w:rPr/>
              <w:t>—</w:t>
            </w:r>
            <w:r>
              <w:rPr/>
              <w:t xml:space="preserve"> C등급</w:t>
            </w:r>
          </w:p>
        </w:tc>
        <w:tc>
          <w:tcPr>
            <w:tcW w:w="3575"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master 방문객 보고치 + 표준 외지인 비율 32%</w:t>
            </w:r>
          </w:p>
        </w:tc>
        <w:tc>
          <w:tcPr>
            <w:tcW w:w="12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w:t>
            </w:r>
          </w:p>
        </w:tc>
        <w:tc>
          <w:tcPr>
            <w:tcW w:w="151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20건</w:t>
            </w:r>
          </w:p>
        </w:tc>
      </w:tr>
      <w:tr>
        <w:trPr>
          <w:trHeight w:val="56"/>
        </w:trPr>
        <w:tc>
          <w:tcPr>
            <w:tcW w:w="185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 xml:space="preserve">참여자 효과 </w:t>
            </w:r>
            <w:r>
              <w:rPr/>
              <w:t>—</w:t>
            </w:r>
            <w:r>
              <w:rPr/>
              <w:t xml:space="preserve"> D등급</w:t>
            </w:r>
          </w:p>
        </w:tc>
        <w:tc>
          <w:tcPr>
            <w:tcW w:w="3575"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 xml:space="preserve">(해당 축제 없음 </w:t>
            </w:r>
            <w:r>
              <w:rPr/>
              <w:t>—</w:t>
            </w:r>
            <w:r>
              <w:rPr/>
              <w:t xml:space="preserve"> 비축제 P05·P30에 한정)</w:t>
            </w:r>
          </w:p>
        </w:tc>
        <w:tc>
          <w:tcPr>
            <w:tcW w:w="127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w:t>
            </w:r>
          </w:p>
        </w:tc>
        <w:tc>
          <w:tcPr>
            <w:tcW w:w="1514"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0건</w:t>
            </w:r>
          </w:p>
        </w:tc>
      </w:tr>
    </w:tbl>
    <w:p>
      <w:pPr>
        <w:pStyle w:val="0"/>
        <w:widowControl w:val="off"/>
        <w:jc w:val="left"/>
      </w:pPr>
    </w:p>
    <w:p>
      <w:pPr>
        <w:pStyle w:val="1"/>
        <w:widowControl w:val="off"/>
        <w:rPr/>
      </w:pPr>
    </w:p>
    <w:p>
      <w:pPr>
        <w:pStyle w:val="1"/>
        <w:widowControl w:val="off"/>
      </w:pPr>
      <w:r>
        <w:rPr/>
        <w:t>정책지출 효과는 사업 간 비교 가능성이 높음</w:t>
      </w:r>
    </w:p>
    <w:p>
      <w:pPr>
        <w:pStyle w:val="1"/>
        <w:widowControl w:val="off"/>
      </w:pPr>
      <w:r>
        <w:rPr/>
        <w:t>참여자 효과는 A·B 등급 외 사업의 외지인 비율이 표준값에 의존하므로 사업 비교용으로는 한계가 있음</w:t>
      </w:r>
    </w:p>
    <w:p>
      <w:pPr>
        <w:pStyle w:val="0"/>
        <w:widowControl w:val="off"/>
        <w:spacing w:line="331" w:lineRule="auto"/>
        <w:ind w:left="-600"/>
        <w:rPr>
          <w:rFonts w:ascii="굴림" w:eastAsia="굴림"/>
          <w:b/>
          <w:color w:val="000000"/>
          <w:shd w:val="clear" w:color="000000"/>
        </w:rPr>
      </w:pPr>
    </w:p>
    <w:p>
      <w:pPr>
        <w:pStyle w:val="5"/>
        <w:widowControl w:val="off"/>
      </w:pPr>
      <w:r>
        <w:rPr/>
        <w:t>분석의 한계 및 주의사항</w:t>
      </w:r>
    </w:p>
    <w:p>
      <w:pPr>
        <w:pStyle w:val="1"/>
        <w:widowControl w:val="off"/>
      </w:pPr>
      <w:r>
        <w:rPr/>
        <w:t>본 연구는 서귀포시에서 제공한 사업별 자료의 가용 범위 내에서 수행되었음</w:t>
      </w:r>
    </w:p>
    <w:p>
      <w:pPr>
        <w:pStyle w:val="1"/>
        <w:widowControl w:val="off"/>
      </w:pPr>
      <w:r>
        <w:rPr/>
        <w:t>이하의 한계는 본 연구가 활용 가능한 자료의 본질적 조건에서 비롯된 것으로, 결과 해석 시 함께 고려하여야 함</w:t>
      </w:r>
    </w:p>
    <w:p>
      <w:pPr>
        <w:pStyle w:val="1"/>
        <w:widowControl w:val="off"/>
      </w:pPr>
      <w:r>
        <w:rPr/>
        <w:t>참여자 효과 추정 자료의 본질적 제약</w:t>
      </w:r>
    </w:p>
    <w:p>
      <w:pPr>
        <w:pStyle w:val="2"/>
        <w:widowControl w:val="off"/>
      </w:pPr>
      <w:r>
        <w:rPr/>
        <w:t>만족도조사 원본 자료가 사업별로 산재하며, 본 분석에 활용 가능한 축제는 만족도조사 보유 2건(P09 1,519건·P10 265건)에 한정됨</w:t>
      </w:r>
    </w:p>
    <w:p>
      <w:pPr>
        <w:pStyle w:val="2"/>
        <w:widowControl w:val="off"/>
      </w:pPr>
      <w:r>
        <w:rPr/>
        <w:t>나머지 20건 축제는 만족도조사 자료가 부재하여 사업이 보고한 방문객 보고치에 표준 외지인 비율(32%)을 곱하는 방식으로 산정함</w:t>
      </w:r>
    </w:p>
    <w:p>
      <w:pPr>
        <w:pStyle w:val="2"/>
        <w:widowControl w:val="off"/>
      </w:pPr>
      <w:r>
        <w:rPr/>
        <w:t>실제 외지인 비율은 사업 유형별로 마을 축제(10~20%) / 국제 행사(60~80%) 범위로 편차가 있으나 본 자료 조건에서 사업별 차등은 불가</w:t>
      </w:r>
    </w:p>
    <w:p>
      <w:pPr>
        <w:pStyle w:val="2"/>
        <w:widowControl w:val="off"/>
      </w:pPr>
      <w:r>
        <w:rPr/>
        <w:t>통합 효율 244배(P24 가파도 청보리) 같은 극단값은 외지인 모집단 + KTO 1박 단가 일률 적용의 산물로 해석되며, 본 자료 조건의 한계를 그대로 반영함</w:t>
      </w:r>
    </w:p>
    <w:p>
      <w:pPr>
        <w:pStyle w:val="1"/>
        <w:widowControl w:val="off"/>
      </w:pPr>
      <w:r>
        <w:rPr/>
        <w:t>다회차 운영 사업의 방문객 누적성</w:t>
      </w:r>
    </w:p>
    <w:p>
      <w:pPr>
        <w:pStyle w:val="2"/>
        <w:widowControl w:val="off"/>
      </w:pPr>
      <w:r>
        <w:rPr/>
        <w:t>P09 새연교(26회 운영, 누적 방문객 42,866명)는 사업이 보고한 누적값 그대로 산입</w:t>
      </w:r>
    </w:p>
    <w:p>
      <w:pPr>
        <w:pStyle w:val="2"/>
        <w:widowControl w:val="off"/>
      </w:pPr>
      <w:r>
        <w:rPr/>
        <w:t>회차당 분리는 사업 측 자료가 회차별로 제공되지 않아 불가</w:t>
      </w:r>
    </w:p>
    <w:p>
      <w:pPr>
        <w:pStyle w:val="1"/>
        <w:widowControl w:val="off"/>
      </w:pPr>
      <w:r>
        <w:rPr/>
        <w:t>정책지출 부문 자료원</w:t>
      </w:r>
    </w:p>
    <w:p>
      <w:pPr>
        <w:pStyle w:val="2"/>
        <w:widowControl w:val="off"/>
      </w:pPr>
      <w:r>
        <w:rPr/>
        <w:t xml:space="preserve">축제 22건은 </w:t>
      </w:r>
      <w:r>
        <w:rPr/>
        <w:t>「예산세부내역」</w:t>
      </w:r>
      <w:r>
        <w:rPr/>
        <w:t xml:space="preserve"> 원자료에 모두 명시되어 있어 직접 추출 적용 가능함</w:t>
      </w:r>
    </w:p>
    <w:p>
      <w:pPr>
        <w:pStyle w:val="2"/>
        <w:widowControl w:val="off"/>
      </w:pPr>
      <w:r>
        <w:rPr/>
        <w:t>비축제 21건 중 일부(P30·P35)는 별첨 미제출/공란이나 본 장 범위 밖이므로 본 절 결과에는 영향 없음</w:t>
      </w:r>
    </w:p>
    <w:p>
      <w:pPr>
        <w:pStyle w:val="1"/>
        <w:widowControl w:val="off"/>
      </w:pPr>
      <w:r>
        <w:rPr/>
        <w:t>부수체류 단가의 계절성</w:t>
      </w:r>
    </w:p>
    <w:p>
      <w:pPr>
        <w:pStyle w:val="2"/>
        <w:widowControl w:val="off"/>
      </w:pPr>
      <w:r>
        <w:rPr/>
        <w:t xml:space="preserve">한국관광공사 1인 1박 단가가 7~10월 평균 기준이라 비수기 사업(1~6월·11~12월)에 적용 시 약 10~20%의 과대 추정 가능성이 존재함 </w:t>
      </w:r>
    </w:p>
    <w:p>
      <w:pPr>
        <w:pStyle w:val="2"/>
        <w:widowControl w:val="off"/>
      </w:pPr>
      <w:r>
        <w:rPr/>
        <w:t>KTO가 월별 단가를 별도 공표하지 않아 단일 단가 적용이 본 분석의 자료 조건</w:t>
      </w:r>
    </w:p>
    <w:p>
      <w:pPr>
        <w:pStyle w:val="1"/>
        <w:widowControl w:val="off"/>
      </w:pPr>
      <w:r>
        <w:rPr/>
        <w:t>공급능력 제약 미반영: 지역 내 생산요소 공급 부족 시 도외 수입 증가 가능성은 RIO 표준 분석에서 일반적으로 다루지 않음</w:t>
      </w:r>
    </w:p>
    <w:p>
      <w:pPr>
        <w:pStyle w:val="1"/>
        <w:widowControl w:val="off"/>
      </w:pPr>
      <w:r>
        <w:rPr/>
        <w:t>도민 소비 대체지출 가정: 도민의 행사장 소비는 다른 도내 소비를 대체한다고 가정해 효과에서 제외함</w:t>
      </w:r>
    </w:p>
    <w:p>
      <w:pPr>
        <w:pStyle w:val="2"/>
        <w:widowControl w:val="off"/>
      </w:pPr>
      <w:r>
        <w:rPr/>
        <w:t>RIO 표준 가정에 부합하는 조치임</w:t>
      </w:r>
    </w:p>
    <w:p>
      <w:pPr>
        <w:pStyle w:val="1"/>
        <w:widowControl w:val="off"/>
      </w:pPr>
      <w:r>
        <w:rPr/>
        <w:t>참여자 효과의 단독 지표 사용은 부적절</w:t>
      </w:r>
    </w:p>
    <w:p>
      <w:pPr>
        <w:pStyle w:val="2"/>
        <w:widowControl w:val="off"/>
      </w:pPr>
      <w:r>
        <w:rPr/>
        <w:t>위의 자료 조건상 참여자 효과는 사업별 신뢰도 편차가 큰 추정치이므로, 정책 우선순위 결정 시에는 정책지출 효과(</w:t>
      </w:r>
      <w:r>
        <w:rPr/>
        <w:t>Ⅲ</w:t>
      </w:r>
      <w:r>
        <w:rPr/>
        <w:t>-2절)를 1차 기준으로 사용하는 것이 적절함</w:t>
      </w:r>
    </w:p>
    <w:p>
      <w:pPr>
        <w:pStyle w:val="2"/>
        <w:widowControl w:val="off"/>
      </w:pPr>
      <w:r>
        <w:rPr/>
        <w:t>참여자 효과(</w:t>
      </w:r>
      <w:r>
        <w:rPr/>
        <w:t>Ⅲ</w:t>
      </w:r>
      <w:r>
        <w:rPr/>
        <w:t>-3절)는 외지인 유치 잠재력의 보조 지표로 활용하는 것이 권장됨</w:t>
      </w:r>
    </w:p>
    <w:p>
      <w:pPr>
        <w:pStyle w:val="0"/>
        <w:widowControl w:val="off"/>
        <w:spacing w:line="331" w:lineRule="auto"/>
        <w:ind w:left="-1200"/>
        <w:rPr>
          <w:rFonts w:ascii="굴림" w:eastAsia="굴림"/>
          <w:b/>
          <w:color w:val="000000"/>
          <w:shd w:val="clear" w:color="000000"/>
        </w:rPr>
      </w:pPr>
    </w:p>
    <w:p>
      <w:pPr>
        <w:pStyle w:val="0"/>
        <w:widowControl w:val="off"/>
        <w:spacing w:line="331" w:lineRule="auto"/>
        <w:jc w:val="left"/>
        <w:rPr>
          <w:color w:val="000000"/>
          <w:shd w:val="clear" w:color="000000"/>
        </w:rPr>
      </w:pPr>
    </w:p>
    <w:p>
      <w:pPr>
        <w:pStyle w:val="4"/>
        <w:widowControl w:val="off"/>
      </w:pPr>
      <w:r>
        <w:rPr/>
        <w:t>정책지출 효과 (1차 분석)</w:t>
      </w:r>
    </w:p>
    <w:p>
      <w:pPr>
        <w:pStyle w:val="1"/>
        <w:widowControl w:val="off"/>
      </w:pPr>
      <w:r>
        <w:rPr/>
        <w:t>본 절은 축제사업 22건의 예산 집행에 따른 도내 산업 파급효과를 1차 분석으로 다룸</w:t>
      </w:r>
    </w:p>
    <w:p>
      <w:pPr>
        <w:pStyle w:val="1"/>
        <w:widowControl w:val="off"/>
      </w:pPr>
      <w:r>
        <w:rPr/>
        <w:t>정책지출 효과는 사업별 예산세부내역과 한국은행 RIO 부문별 유발계수의 조합으로 산정되므로 모든 사업에 대해 균질한 신뢰도를 보장할 수 있음</w:t>
      </w:r>
    </w:p>
    <w:p>
      <w:pPr>
        <w:pStyle w:val="0"/>
        <w:widowControl w:val="off"/>
        <w:spacing w:line="331" w:lineRule="auto"/>
        <w:ind w:left="-1200"/>
        <w:rPr>
          <w:rFonts w:ascii="굴림" w:eastAsia="굴림"/>
          <w:b/>
          <w:color w:val="000000"/>
          <w:shd w:val="clear" w:color="000000"/>
        </w:rPr>
      </w:pPr>
    </w:p>
    <w:p>
      <w:pPr>
        <w:pStyle w:val="5"/>
        <w:widowControl w:val="off"/>
      </w:pPr>
      <w:r>
        <w:rPr/>
        <w:t>총괄 현황</w:t>
      </w:r>
    </w:p>
    <w:p>
      <w:pPr>
        <w:pStyle w:val="7"/>
        <w:widowControl w:val="off"/>
        <w:rPr/>
      </w:pPr>
    </w:p>
    <w:p>
      <w:pPr>
        <w:pStyle w:val="7"/>
        <w:widowControl w:val="off"/>
      </w:pPr>
      <w:r>
        <w:rPr/>
        <w:t xml:space="preserve">&lt;표 </w:t>
      </w:r>
      <w:r>
        <w:rPr/>
        <w:t>Ⅲ</w:t>
      </w:r>
      <w:r>
        <w:rPr/>
        <w:t>-2-1&gt; 축제 22건의 정책지출 효과 종합 (도내 생산유발)</w:t>
      </w:r>
    </w:p>
    <w:tbl>
      <w:tblPr>
        <w:tblOverlap w:val="never"/>
        <w:tblW w:w="770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46"/>
        <w:gridCol w:w="1596"/>
        <w:gridCol w:w="2526"/>
        <w:gridCol w:w="1936"/>
      </w:tblGrid>
      <w:tr>
        <w:trPr>
          <w:trHeight w:val="56"/>
        </w:trPr>
        <w:tc>
          <w:tcPr>
            <w:tcW w:w="164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구분</w:t>
            </w:r>
          </w:p>
        </w:tc>
        <w:tc>
          <w:tcPr>
            <w:tcW w:w="159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투입예산(M원)</w:t>
            </w:r>
          </w:p>
        </w:tc>
        <w:tc>
          <w:tcPr>
            <w:tcW w:w="252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정책지출 도내효과(M원)</w:t>
            </w:r>
          </w:p>
        </w:tc>
        <w:tc>
          <w:tcPr>
            <w:tcW w:w="193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정책지출 효율(배)</w:t>
            </w:r>
          </w:p>
        </w:tc>
      </w:tr>
      <w:tr>
        <w:trPr>
          <w:trHeight w:val="56"/>
        </w:trPr>
        <w:tc>
          <w:tcPr>
            <w:tcW w:w="164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축제 22건 합계</w:t>
            </w:r>
          </w:p>
        </w:tc>
        <w:tc>
          <w:tcPr>
            <w:tcW w:w="159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4,328.2</w:t>
            </w:r>
          </w:p>
        </w:tc>
        <w:tc>
          <w:tcPr>
            <w:tcW w:w="252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5,528.4</w:t>
            </w:r>
          </w:p>
        </w:tc>
        <w:tc>
          <w:tcPr>
            <w:tcW w:w="193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1.28</w:t>
            </w:r>
          </w:p>
        </w:tc>
      </w:tr>
    </w:tbl>
    <w:p>
      <w:pPr>
        <w:pStyle w:val="0"/>
        <w:widowControl w:val="off"/>
        <w:jc w:val="left"/>
      </w:pPr>
    </w:p>
    <w:p>
      <w:pPr>
        <w:pStyle w:val="0"/>
        <w:widowControl w:val="off"/>
        <w:ind w:left="600"/>
        <w:rPr>
          <w:rFonts w:ascii="굴림" w:eastAsia="굴림"/>
          <w:b/>
          <w:color w:val="000000"/>
          <w:shd w:val="clear" w:color="000000"/>
        </w:rPr>
      </w:pPr>
    </w:p>
    <w:p>
      <w:pPr>
        <w:pStyle w:val="1"/>
        <w:widowControl w:val="off"/>
      </w:pPr>
      <w:r>
        <w:rPr/>
        <w:t>축제 22건의 정책지출 효율은 평균 1.28배로, 예산 1원 투입 시 도내 1.28원의 1차 생산유발이 발생함</w:t>
      </w:r>
    </w:p>
    <w:p>
      <w:pPr>
        <w:pStyle w:val="2"/>
        <w:widowControl w:val="off"/>
      </w:pPr>
      <w:r>
        <w:rPr/>
        <w:t>이는 한국은행 RIO 부문별 유발계수의 직·간접 효과(생산자</w:t>
      </w:r>
      <w:r>
        <w:rPr/>
        <w:t>→중간투입→소비</w:t>
      </w:r>
      <w:r>
        <w:rPr/>
        <w:t>)를 반영한 표준 승수임</w:t>
      </w:r>
    </w:p>
    <w:p>
      <w:pPr>
        <w:pStyle w:val="1"/>
        <w:widowControl w:val="off"/>
      </w:pPr>
      <w:r>
        <w:rPr/>
        <w:t>사업별 효율 편차는 매우 작아 (대부분 1.19~1.33배 범위) 정책지출 효과는 사업 간 비교 가능한 안정 지표임</w:t>
      </w:r>
    </w:p>
    <w:p>
      <w:pPr>
        <w:pStyle w:val="2"/>
        <w:widowControl w:val="off"/>
      </w:pPr>
      <w:r>
        <w:rPr/>
        <w:t>차이는 주로 사업의 예산 항목 구성(부문별 비중)에서 발생: 부문 58·73 비중 높은 사업이 다소 높은 효율로 나타남</w:t>
      </w:r>
    </w:p>
    <w:p>
      <w:pPr>
        <w:pStyle w:val="0"/>
        <w:widowControl w:val="off"/>
        <w:spacing w:line="331" w:lineRule="auto"/>
        <w:ind w:left="-1200"/>
        <w:rPr>
          <w:rFonts w:ascii="굴림" w:eastAsia="굴림"/>
          <w:b/>
          <w:color w:val="000000"/>
          <w:shd w:val="clear" w:color="000000"/>
        </w:rPr>
      </w:pPr>
    </w:p>
    <w:p>
      <w:pPr>
        <w:pStyle w:val="5"/>
        <w:widowControl w:val="off"/>
      </w:pPr>
      <w:r>
        <w:rPr/>
        <w:t>축제 사업별 정책지출 효과</w:t>
      </w:r>
    </w:p>
    <w:p>
      <w:pPr>
        <w:pStyle w:val="7"/>
        <w:widowControl w:val="off"/>
        <w:rPr/>
      </w:pPr>
    </w:p>
    <w:p>
      <w:pPr>
        <w:pStyle w:val="7"/>
        <w:widowControl w:val="off"/>
      </w:pPr>
      <w:r>
        <w:rPr/>
        <w:t xml:space="preserve">&lt;표 </w:t>
      </w:r>
      <w:r>
        <w:rPr/>
        <w:t>Ⅲ</w:t>
      </w:r>
      <w:r>
        <w:rPr/>
        <w:t>-2-2&gt; 축제 사업별 정책지출 효과</w:t>
      </w:r>
    </w:p>
    <w:tbl>
      <w:tblPr>
        <w:tblOverlap w:val="never"/>
        <w:tblW w:w="82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0"/>
        <w:gridCol w:w="3368"/>
        <w:gridCol w:w="713"/>
        <w:gridCol w:w="780"/>
        <w:gridCol w:w="936"/>
        <w:gridCol w:w="924"/>
        <w:gridCol w:w="780"/>
      </w:tblGrid>
      <w:tr>
        <w:trPr>
          <w:trHeight w:val="56"/>
        </w:trPr>
        <w:tc>
          <w:tcPr>
            <w:tcW w:w="78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코드</w:t>
            </w:r>
          </w:p>
        </w:tc>
        <w:tc>
          <w:tcPr>
            <w:tcW w:w="3368"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사업명</w:t>
            </w:r>
          </w:p>
        </w:tc>
        <w:tc>
          <w:tcPr>
            <w:tcW w:w="71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Type</w:t>
            </w:r>
          </w:p>
        </w:tc>
        <w:tc>
          <w:tcPr>
            <w:tcW w:w="78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자료</w:t>
            </w:r>
          </w:p>
        </w:tc>
        <w:tc>
          <w:tcPr>
            <w:tcW w:w="93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예산(백만)</w:t>
            </w:r>
          </w:p>
        </w:tc>
        <w:tc>
          <w:tcPr>
            <w:tcW w:w="924"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정책지출(백만)</w:t>
            </w:r>
          </w:p>
        </w:tc>
        <w:tc>
          <w:tcPr>
            <w:tcW w:w="78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효율(배)</w:t>
            </w:r>
          </w:p>
        </w:tc>
      </w:tr>
      <w:tr>
        <w:trPr>
          <w:trHeight w:val="56"/>
        </w:trPr>
        <w:tc>
          <w:tcPr>
            <w:tcW w:w="78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P02</w:t>
            </w:r>
          </w:p>
        </w:tc>
        <w:tc>
          <w:tcPr>
            <w:tcW w:w="3368"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제4회 서귀포시 소상공인 주간 박람회</w:t>
            </w:r>
          </w:p>
        </w:tc>
        <w:tc>
          <w:tcPr>
            <w:tcW w:w="713"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B</w:t>
            </w:r>
          </w:p>
        </w:tc>
        <w:tc>
          <w:tcPr>
            <w:tcW w:w="78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56.0</w:t>
            </w:r>
          </w:p>
        </w:tc>
        <w:tc>
          <w:tcPr>
            <w:tcW w:w="924"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70.4</w:t>
            </w:r>
          </w:p>
        </w:tc>
        <w:tc>
          <w:tcPr>
            <w:tcW w:w="78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1.26</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P03</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서귀포과학문화축전</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B</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27.0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33.4</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1.24</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P06</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2025 문화의 달 행사</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E</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2,000.0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2,581.5</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1.29</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P07</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서귀포 유채꽃 국제걷기대회</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B</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130.0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163.1</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1.25</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P08</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서귀포 겨울바다 국제펭귄수영대회</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B</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86.0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111.0</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1.29</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P09</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새연교 주말 문화공연</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A</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271.5</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350.3</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1.29</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P10</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서귀포 야해(</w:t>
            </w:r>
            <w:r>
              <w:rPr/>
              <w:t xml:space="preserve">夜海) </w:t>
            </w:r>
            <w:r>
              <w:rPr/>
              <w:t>페스티벌</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A</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73.3</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1.22</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P12</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제31회 서귀포칠십리축제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500.0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628.2</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1.26</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P13</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제42회 서귀포유채꽃축제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240.0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302.7</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1.26</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P23</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대정암반수마농박람회</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E</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91.7</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113.9</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1.24</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P24</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가파도 청보리 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47.0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59.0</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1.26</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P25</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제29회 한라산 청정 고사리축제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126.4</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1.26</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P26</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제4회 성산 조개바당축제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113.0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143.8</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1.27</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P28</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한라산아래첫마을 2025 광평리 제주메밀축제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B</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50.2</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1.26</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P29</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제6회 안덕면 수눌음 수국·헌혈 페스타</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47.7</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1.19</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P32</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제21회 보목자리돔 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B</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92.0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122.2</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1.33</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P36</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제21회 쇠소깍 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B</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58.0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74.9</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1.29</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P37</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2025년 영천동 해바라기 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180.0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227.1</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1.26</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P38</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제17회 동홍동 정월대보름 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49.2</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1.23</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P39</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2025 서홍동 웃물교 벚꽃구경 행사</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50.0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64.5</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1.29</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P42</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중문 칠선녀축제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D</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48.0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60.7</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1.26</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P43</w:t>
            </w:r>
          </w:p>
        </w:tc>
        <w:tc>
          <w:tcPr>
            <w:tcW w:w="3368"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제23회 예래생태마을논짓물축제</w:t>
            </w:r>
          </w:p>
        </w:tc>
        <w:tc>
          <w:tcPr>
            <w:tcW w:w="7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E</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직접</w:t>
            </w:r>
          </w:p>
        </w:tc>
        <w:tc>
          <w:tcPr>
            <w:tcW w:w="93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58.0</w:t>
            </w:r>
          </w:p>
        </w:tc>
        <w:tc>
          <w:tcPr>
            <w:tcW w:w="924"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74.9</w:t>
            </w:r>
          </w:p>
        </w:tc>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1.29</w:t>
            </w:r>
          </w:p>
        </w:tc>
      </w:tr>
      <w:tr>
        <w:trPr>
          <w:trHeight w:val="56"/>
        </w:trPr>
        <w:tc>
          <w:tcPr>
            <w:tcW w:w="78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소계</w:t>
            </w:r>
          </w:p>
        </w:tc>
        <w:tc>
          <w:tcPr>
            <w:tcW w:w="3368"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rPr/>
            </w:pPr>
          </w:p>
        </w:tc>
        <w:tc>
          <w:tcPr>
            <w:tcW w:w="713"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rPr/>
            </w:pPr>
          </w:p>
        </w:tc>
        <w:tc>
          <w:tcPr>
            <w:tcW w:w="78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rPr/>
            </w:pPr>
          </w:p>
        </w:tc>
        <w:tc>
          <w:tcPr>
            <w:tcW w:w="936"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4,328.2</w:t>
            </w:r>
          </w:p>
        </w:tc>
        <w:tc>
          <w:tcPr>
            <w:tcW w:w="924"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5,528.4</w:t>
            </w:r>
          </w:p>
        </w:tc>
        <w:tc>
          <w:tcPr>
            <w:tcW w:w="78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1.28</w:t>
            </w:r>
          </w:p>
        </w:tc>
      </w:tr>
    </w:tbl>
    <w:p>
      <w:pPr>
        <w:pStyle w:val="0"/>
        <w:widowControl w:val="off"/>
        <w:jc w:val="left"/>
      </w:pPr>
    </w:p>
    <w:p>
      <w:pPr>
        <w:pStyle w:val="0"/>
        <w:widowControl w:val="off"/>
        <w:rPr>
          <w:rFonts w:ascii="굴림" w:eastAsia="굴림"/>
          <w:b/>
          <w:color w:val="000000"/>
          <w:shd w:val="clear" w:color="000000"/>
        </w:rPr>
      </w:pPr>
    </w:p>
    <w:p>
      <w:pPr>
        <w:pStyle w:val="0"/>
        <w:widowControl w:val="off"/>
        <w:ind w:left="600"/>
        <w:rPr>
          <w:rFonts w:ascii="굴림" w:eastAsia="굴림"/>
          <w:b/>
          <w:color w:val="000000"/>
          <w:shd w:val="clear" w:color="000000"/>
        </w:rPr>
      </w:pPr>
    </w:p>
    <w:p>
      <w:pPr>
        <w:pStyle w:val="1"/>
        <w:widowControl w:val="off"/>
      </w:pPr>
      <w:r>
        <w:rPr/>
        <w:t>축제 22건 모두 예산세부내역이 원자료에 직접 명시되어 있어 자료 등급은 일관됨</w:t>
      </w:r>
    </w:p>
    <w:p>
      <w:pPr>
        <w:pStyle w:val="2"/>
        <w:widowControl w:val="off"/>
      </w:pPr>
      <w:r>
        <w:rPr/>
        <w:t>효율 범위는 1.19~1.33배로 매우 좁음</w:t>
      </w:r>
    </w:p>
    <w:p>
      <w:pPr>
        <w:pStyle w:val="2"/>
        <w:widowControl w:val="off"/>
      </w:pPr>
      <w:r>
        <w:rPr/>
        <w:t>부문 80(스포츠·오락) 비중이 높은 사업이 1.29배 내외로 표준값에 근접</w:t>
      </w:r>
    </w:p>
    <w:p>
      <w:pPr>
        <w:pStyle w:val="2"/>
        <w:widowControl w:val="off"/>
      </w:pPr>
      <w:r>
        <w:rPr/>
        <w:t>부문 58·73 비중이 큰 사업이 다소 높은 효율(P32 자리돔 1.33배 등) 기록</w:t>
      </w:r>
    </w:p>
    <w:p>
      <w:pPr>
        <w:pStyle w:val="1"/>
        <w:widowControl w:val="off"/>
      </w:pPr>
      <w:r>
        <w:rPr/>
        <w:t>가장 큰 절대 효과: P06 문화의 달(2,581.5백만 원, 예산 2,000백만 원)</w:t>
      </w:r>
    </w:p>
    <w:p>
      <w:pPr>
        <w:pStyle w:val="2"/>
        <w:widowControl w:val="off"/>
      </w:pPr>
      <w:r>
        <w:rPr/>
        <w:t>단일 국가행사 예산 규모가 압도적으로 큼</w:t>
      </w:r>
    </w:p>
    <w:p>
      <w:pPr>
        <w:pStyle w:val="0"/>
        <w:widowControl w:val="off"/>
        <w:spacing w:line="331" w:lineRule="auto"/>
        <w:ind w:left="-1200"/>
        <w:rPr>
          <w:rFonts w:ascii="굴림" w:eastAsia="굴림"/>
          <w:b/>
          <w:color w:val="000000"/>
          <w:shd w:val="clear" w:color="000000"/>
        </w:rPr>
      </w:pPr>
    </w:p>
    <w:p>
      <w:pPr>
        <w:pStyle w:val="5"/>
        <w:widowControl w:val="off"/>
      </w:pPr>
      <w:r>
        <w:rPr/>
        <w:t>도내/도외 경제효과 구분 (정책지출)</w:t>
      </w:r>
    </w:p>
    <w:p>
      <w:pPr>
        <w:pStyle w:val="7"/>
        <w:widowControl w:val="off"/>
        <w:rPr/>
      </w:pPr>
    </w:p>
    <w:p>
      <w:pPr>
        <w:pStyle w:val="7"/>
        <w:widowControl w:val="off"/>
      </w:pPr>
      <w:r>
        <w:rPr/>
        <w:t xml:space="preserve">&lt;표 </w:t>
      </w:r>
      <w:r>
        <w:rPr/>
        <w:t>Ⅲ</w:t>
      </w:r>
      <w:r>
        <w:rPr/>
        <w:t>-2-3&gt; 축제 22건의 정책지출 효과 지역별 구분</w:t>
      </w:r>
    </w:p>
    <w:tbl>
      <w:tblPr>
        <w:tblOverlap w:val="never"/>
        <w:tblW w:w="812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502"/>
        <w:gridCol w:w="1782"/>
        <w:gridCol w:w="1782"/>
        <w:gridCol w:w="2062"/>
      </w:tblGrid>
      <w:tr>
        <w:trPr>
          <w:trHeight w:val="56"/>
        </w:trPr>
        <w:tc>
          <w:tcPr>
            <w:tcW w:w="2502"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지표</w:t>
            </w:r>
          </w:p>
        </w:tc>
        <w:tc>
          <w:tcPr>
            <w:tcW w:w="1782"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도내</w:t>
            </w:r>
          </w:p>
        </w:tc>
        <w:tc>
          <w:tcPr>
            <w:tcW w:w="1782"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도외</w:t>
            </w:r>
          </w:p>
        </w:tc>
        <w:tc>
          <w:tcPr>
            <w:tcW w:w="2062"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도내 비중</w:t>
            </w:r>
          </w:p>
        </w:tc>
      </w:tr>
      <w:tr>
        <w:trPr>
          <w:trHeight w:val="56"/>
        </w:trPr>
        <w:tc>
          <w:tcPr>
            <w:tcW w:w="2502"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생산유발(M원)</w:t>
            </w:r>
          </w:p>
        </w:tc>
        <w:tc>
          <w:tcPr>
            <w:tcW w:w="1782"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5,528.4</w:t>
            </w:r>
          </w:p>
        </w:tc>
        <w:tc>
          <w:tcPr>
            <w:tcW w:w="1782"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2,646.0</w:t>
            </w:r>
          </w:p>
        </w:tc>
        <w:tc>
          <w:tcPr>
            <w:tcW w:w="2062"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67.6%</w:t>
            </w:r>
          </w:p>
        </w:tc>
      </w:tr>
      <w:tr>
        <w:trPr>
          <w:trHeight w:val="56"/>
        </w:trPr>
        <w:tc>
          <w:tcPr>
            <w:tcW w:w="250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부가가치(M원)</w:t>
            </w:r>
          </w:p>
        </w:tc>
        <w:tc>
          <w:tcPr>
            <w:tcW w:w="178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2,816.7</w:t>
            </w:r>
          </w:p>
        </w:tc>
        <w:tc>
          <w:tcPr>
            <w:tcW w:w="178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1,056.5</w:t>
            </w:r>
          </w:p>
        </w:tc>
        <w:tc>
          <w:tcPr>
            <w:tcW w:w="2062"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72.7%</w:t>
            </w:r>
          </w:p>
        </w:tc>
      </w:tr>
      <w:tr>
        <w:trPr>
          <w:trHeight w:val="56"/>
        </w:trPr>
        <w:tc>
          <w:tcPr>
            <w:tcW w:w="2502"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고용유발(명)</w:t>
            </w:r>
          </w:p>
        </w:tc>
        <w:tc>
          <w:tcPr>
            <w:tcW w:w="1782"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37.0</w:t>
            </w:r>
          </w:p>
        </w:tc>
        <w:tc>
          <w:tcPr>
            <w:tcW w:w="1782"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14.2</w:t>
            </w:r>
          </w:p>
        </w:tc>
        <w:tc>
          <w:tcPr>
            <w:tcW w:w="2062"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72.3%</w:t>
            </w:r>
          </w:p>
        </w:tc>
      </w:tr>
    </w:tbl>
    <w:p>
      <w:pPr>
        <w:pStyle w:val="0"/>
        <w:widowControl w:val="off"/>
        <w:jc w:val="left"/>
      </w:pPr>
    </w:p>
    <w:p>
      <w:pPr>
        <w:pStyle w:val="0"/>
        <w:widowControl w:val="off"/>
        <w:ind w:left="600"/>
        <w:rPr>
          <w:rFonts w:ascii="굴림" w:eastAsia="굴림"/>
          <w:b/>
          <w:color w:val="000000"/>
          <w:shd w:val="clear" w:color="000000"/>
        </w:rPr>
      </w:pPr>
    </w:p>
    <w:p>
      <w:pPr>
        <w:pStyle w:val="1"/>
        <w:widowControl w:val="off"/>
      </w:pPr>
      <w:r>
        <w:rPr/>
        <w:t>정책지출 효과의 도내 귀착률은 약 67~73% 수준</w:t>
      </w:r>
    </w:p>
    <w:p>
      <w:pPr>
        <w:pStyle w:val="2"/>
        <w:widowControl w:val="off"/>
      </w:pPr>
      <w:r>
        <w:rPr/>
        <w:t>사업 예산의 1차 직접 발주와 2차 중간투입을 거치며 약 27~33%가 도외로 누출됨</w:t>
      </w:r>
    </w:p>
    <w:p>
      <w:pPr>
        <w:pStyle w:val="2"/>
        <w:widowControl w:val="off"/>
      </w:pPr>
      <w:r>
        <w:rPr/>
        <w:t>도외 누출은 한국은행 RIO의 부문별 수입계수(외부 중간투입 비율)에서 자동 산정됨</w:t>
      </w:r>
    </w:p>
    <w:p>
      <w:pPr>
        <w:pStyle w:val="1"/>
        <w:widowControl w:val="off"/>
      </w:pPr>
      <w:r>
        <w:rPr/>
        <w:t>부가가치 도내 귀착률(72.7%)이 세 지표 중 가장 높음</w:t>
      </w:r>
    </w:p>
    <w:p>
      <w:pPr>
        <w:pStyle w:val="2"/>
        <w:widowControl w:val="off"/>
      </w:pPr>
      <w:r>
        <w:rPr/>
        <w:t>행사 운영 서비스가 도내 인건비·운영비 중심으로 흡수되는 특성을 반영</w:t>
      </w:r>
    </w:p>
    <w:p>
      <w:pPr>
        <w:pStyle w:val="0"/>
        <w:widowControl w:val="off"/>
        <w:spacing w:line="331" w:lineRule="auto"/>
        <w:ind w:left="-1200"/>
        <w:rPr>
          <w:rFonts w:ascii="굴림" w:eastAsia="굴림"/>
          <w:b/>
          <w:color w:val="000000"/>
          <w:shd w:val="clear" w:color="000000"/>
        </w:rPr>
      </w:pPr>
    </w:p>
    <w:p>
      <w:pPr>
        <w:pStyle w:val="5"/>
        <w:widowControl w:val="off"/>
      </w:pPr>
      <w:r>
        <w:rPr/>
        <w:t>정책지출 부문별 비중 (축제 22건 합산 4,649.1M원 기준)</w:t>
      </w:r>
    </w:p>
    <w:p>
      <w:pPr>
        <w:pStyle w:val="0"/>
        <w:widowControl w:val="off"/>
        <w:spacing w:line="331" w:lineRule="auto"/>
        <w:ind w:left="600"/>
        <w:rPr>
          <w:rFonts w:ascii="굴림" w:eastAsia="굴림"/>
          <w:b/>
          <w:color w:val="000000"/>
          <w:shd w:val="clear" w:color="000000"/>
        </w:rPr>
      </w:pPr>
    </w:p>
    <w:p>
      <w:pPr>
        <w:pStyle w:val="1"/>
        <w:widowControl w:val="off"/>
      </w:pPr>
      <w:r>
        <w:rPr/>
        <w:t>부문 80 (스포츠·오락서비스): 약 74.7%로 가장 큰 비중 차지</w:t>
      </w:r>
    </w:p>
    <w:p>
      <w:pPr>
        <w:pStyle w:val="2"/>
        <w:widowControl w:val="off"/>
      </w:pPr>
      <w:r>
        <w:rPr/>
        <w:t>행사 운영(용역비·대행료·무대·음향·조명 등) 항목이 본 부문에 주로 분류됨</w:t>
      </w:r>
    </w:p>
    <w:p>
      <w:pPr>
        <w:pStyle w:val="1"/>
        <w:widowControl w:val="off"/>
      </w:pPr>
      <w:r>
        <w:rPr/>
        <w:t>부문 58 (음식점·숙박): 약 16.8%로 식음료·숙박 비용에 해당</w:t>
      </w:r>
    </w:p>
    <w:p>
      <w:pPr>
        <w:pStyle w:val="2"/>
        <w:widowControl w:val="off"/>
      </w:pPr>
      <w:r>
        <w:rPr/>
        <w:t>행사 운영 인력 식대 + 일부 케이터링 항목이 포함됨</w:t>
      </w:r>
    </w:p>
    <w:p>
      <w:pPr>
        <w:pStyle w:val="1"/>
        <w:widowControl w:val="off"/>
      </w:pPr>
      <w:r>
        <w:rPr/>
        <w:t>부문 74 (사업지원서비스): 약 3.1%로 자원봉사·진행 인력 인건비에 해당</w:t>
      </w:r>
    </w:p>
    <w:p>
      <w:pPr>
        <w:pStyle w:val="1"/>
        <w:widowControl w:val="off"/>
      </w:pPr>
      <w:r>
        <w:rPr/>
        <w:t>부문 52 (도소매·상품중개): 약 2.6%로 비품·재료·소모품 구입에 해당</w:t>
      </w:r>
    </w:p>
    <w:p>
      <w:pPr>
        <w:pStyle w:val="1"/>
        <w:widowControl w:val="off"/>
      </w:pPr>
      <w:r>
        <w:rPr/>
        <w:t>부문 15 (인쇄·미디어): 약 2.3%로 홍보물·인쇄물 제작 비용</w:t>
      </w:r>
    </w:p>
    <w:p>
      <w:pPr>
        <w:pStyle w:val="1"/>
        <w:widowControl w:val="off"/>
      </w:pPr>
      <w:r>
        <w:rPr/>
        <w:t>부문 80·58 합계가 약 91.5%로, 축제사업의 정책지출은 행사 운영 서비스와 식음료·숙박 부문에 압도적으로 집중 발주되는 특성을 보임</w:t>
      </w:r>
    </w:p>
    <w:p>
      <w:pPr>
        <w:pStyle w:val="0"/>
        <w:widowControl w:val="off"/>
        <w:spacing w:line="331" w:lineRule="auto"/>
        <w:ind w:left="-600"/>
        <w:rPr>
          <w:rFonts w:ascii="굴림" w:eastAsia="굴림"/>
          <w:b/>
          <w:color w:val="000000"/>
          <w:shd w:val="clear" w:color="000000"/>
        </w:rPr>
      </w:pPr>
    </w:p>
    <w:p>
      <w:pPr>
        <w:pStyle w:val="0"/>
        <w:widowControl w:val="off"/>
        <w:spacing w:line="331" w:lineRule="auto"/>
        <w:jc w:val="left"/>
        <w:rPr>
          <w:color w:val="000000"/>
          <w:shd w:val="clear" w:color="000000"/>
        </w:rPr>
      </w:pPr>
    </w:p>
    <w:p>
      <w:pPr>
        <w:pStyle w:val="4"/>
        <w:widowControl w:val="off"/>
      </w:pPr>
      <w:r>
        <w:rPr/>
        <w:t>참여자 효과 (보조 분석)</w:t>
      </w:r>
    </w:p>
    <w:p>
      <w:pPr>
        <w:pStyle w:val="1"/>
        <w:widowControl w:val="off"/>
      </w:pPr>
      <w:r>
        <w:rPr/>
        <w:t>본 절은 축제사업 22건의 외지인 방문에 따른 추가 경제 파급을 보조 지표로 다룸</w:t>
      </w:r>
    </w:p>
    <w:p>
      <w:pPr>
        <w:pStyle w:val="2"/>
        <w:widowControl w:val="off"/>
      </w:pPr>
      <w:r>
        <w:rPr/>
        <w:t>참여자 효과는 외지인 모집단·1인당 지출·행사목적성 가중치의 추정 정확도에 따라 사업별 신뢰도가 크게 다름</w:t>
      </w:r>
    </w:p>
    <w:p>
      <w:pPr>
        <w:pStyle w:val="2"/>
        <w:widowControl w:val="off"/>
      </w:pPr>
      <w:r>
        <w:rPr/>
        <w:t>자료 등급(A·B·C)을 명시하여 제시함</w:t>
      </w:r>
    </w:p>
    <w:p>
      <w:pPr>
        <w:pStyle w:val="2"/>
        <w:widowControl w:val="off"/>
      </w:pPr>
      <w:r>
        <w:rPr/>
        <w:t>자료 등급이 낮은 사업의 효과 추정치는 표준값에 의존하므로 정책 비교 시 정책지출 효과(</w:t>
      </w:r>
      <w:r>
        <w:rPr/>
        <w:t>Ⅲ</w:t>
      </w:r>
      <w:r>
        <w:rPr/>
        <w:t>-2절)를 우선 기준으로 사용해야 함</w:t>
      </w:r>
    </w:p>
    <w:p>
      <w:pPr>
        <w:pStyle w:val="0"/>
        <w:widowControl w:val="off"/>
        <w:spacing w:line="331" w:lineRule="auto"/>
        <w:ind w:left="-1200"/>
        <w:rPr>
          <w:rFonts w:ascii="굴림" w:eastAsia="굴림"/>
          <w:b/>
          <w:color w:val="000000"/>
          <w:shd w:val="clear" w:color="000000"/>
        </w:rPr>
      </w:pPr>
    </w:p>
    <w:p>
      <w:pPr>
        <w:pStyle w:val="5"/>
        <w:widowControl w:val="off"/>
      </w:pPr>
      <w:r>
        <w:rPr/>
        <w:t>자료 등급 정의</w:t>
      </w:r>
    </w:p>
    <w:p>
      <w:pPr>
        <w:pStyle w:val="0"/>
        <w:widowControl w:val="off"/>
        <w:spacing w:line="331" w:lineRule="auto"/>
        <w:rPr>
          <w:rFonts w:ascii="Arial" w:eastAsia="Arial"/>
          <w:color w:val="000000"/>
          <w:sz w:val="22"/>
          <w:shd w:val="clear" w:color="000000"/>
        </w:rPr>
      </w:pPr>
    </w:p>
    <w:p>
      <w:pPr>
        <w:pStyle w:val="7"/>
        <w:widowControl w:val="off"/>
      </w:pPr>
      <w:r>
        <w:rPr/>
        <w:t xml:space="preserve">&lt;표 </w:t>
      </w:r>
      <w:r>
        <w:rPr/>
        <w:t>Ⅲ</w:t>
      </w:r>
      <w:r>
        <w:rPr/>
        <w:t>-3-1&gt; 축제 22건의 참여자 효과 자료 등급별 분포</w:t>
      </w:r>
    </w:p>
    <w:tbl>
      <w:tblPr>
        <w:tblOverlap w:val="never"/>
        <w:tblW w:w="852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3"/>
        <w:gridCol w:w="5230"/>
        <w:gridCol w:w="1050"/>
        <w:gridCol w:w="1527"/>
      </w:tblGrid>
      <w:tr>
        <w:trPr>
          <w:trHeight w:val="56"/>
        </w:trPr>
        <w:tc>
          <w:tcPr>
            <w:tcW w:w="7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등급</w:t>
            </w:r>
          </w:p>
        </w:tc>
        <w:tc>
          <w:tcPr>
            <w:tcW w:w="523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정의</w:t>
            </w:r>
          </w:p>
        </w:tc>
        <w:tc>
          <w:tcPr>
            <w:tcW w:w="105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사업 수</w:t>
            </w:r>
          </w:p>
        </w:tc>
        <w:tc>
          <w:tcPr>
            <w:tcW w:w="1527"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해당 사업</w:t>
            </w:r>
          </w:p>
        </w:tc>
      </w:tr>
      <w:tr>
        <w:trPr>
          <w:trHeight w:val="56"/>
        </w:trPr>
        <w:tc>
          <w:tcPr>
            <w:tcW w:w="723"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A</w:t>
            </w:r>
          </w:p>
        </w:tc>
        <w:tc>
          <w:tcPr>
            <w:tcW w:w="523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만족도조사 1,000건 이상 실측 (거주지·1인당 지출·행사목적 가중치 모두 직접 산정)</w:t>
            </w:r>
          </w:p>
        </w:tc>
        <w:tc>
          <w:tcPr>
            <w:tcW w:w="105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w:t>
            </w:r>
          </w:p>
        </w:tc>
        <w:tc>
          <w:tcPr>
            <w:tcW w:w="1527"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P09</w:t>
            </w:r>
          </w:p>
        </w:tc>
      </w:tr>
      <w:tr>
        <w:trPr>
          <w:trHeight w:val="56"/>
        </w:trPr>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B</w:t>
            </w:r>
          </w:p>
        </w:tc>
        <w:tc>
          <w:tcPr>
            <w:tcW w:w="523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만족도조사 보유 (거주지 분포만 실측, 1인당 지출은 표준값)</w:t>
            </w:r>
          </w:p>
        </w:tc>
        <w:tc>
          <w:tcPr>
            <w:tcW w:w="105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w:t>
            </w:r>
          </w:p>
        </w:tc>
        <w:tc>
          <w:tcPr>
            <w:tcW w:w="152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P10</w:t>
            </w:r>
          </w:p>
        </w:tc>
      </w:tr>
      <w:tr>
        <w:trPr>
          <w:trHeight w:val="56"/>
        </w:trPr>
        <w:tc>
          <w:tcPr>
            <w:tcW w:w="723"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C</w:t>
            </w:r>
          </w:p>
        </w:tc>
        <w:tc>
          <w:tcPr>
            <w:tcW w:w="523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master 방문객 보고치 + 표준 외지인 비율(32%) 적용</w:t>
            </w:r>
          </w:p>
        </w:tc>
        <w:tc>
          <w:tcPr>
            <w:tcW w:w="105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20</w:t>
            </w:r>
          </w:p>
        </w:tc>
        <w:tc>
          <w:tcPr>
            <w:tcW w:w="1527"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그 외 모든 축제</w:t>
            </w:r>
          </w:p>
        </w:tc>
      </w:tr>
    </w:tbl>
    <w:p>
      <w:pPr>
        <w:pStyle w:val="0"/>
        <w:widowControl w:val="off"/>
        <w:jc w:val="left"/>
      </w:pPr>
    </w:p>
    <w:p>
      <w:pPr>
        <w:pStyle w:val="0"/>
        <w:widowControl w:val="off"/>
        <w:rPr>
          <w:rFonts w:ascii="굴림" w:eastAsia="굴림"/>
          <w:b/>
          <w:color w:val="000000"/>
          <w:shd w:val="clear" w:color="000000"/>
        </w:rPr>
      </w:pPr>
    </w:p>
    <w:p>
      <w:pPr>
        <w:pStyle w:val="0"/>
        <w:widowControl w:val="off"/>
        <w:ind w:left="600"/>
        <w:rPr>
          <w:rFonts w:ascii="굴림" w:eastAsia="굴림"/>
          <w:b/>
          <w:color w:val="000000"/>
          <w:shd w:val="clear" w:color="000000"/>
        </w:rPr>
      </w:pPr>
    </w:p>
    <w:p>
      <w:pPr>
        <w:pStyle w:val="1"/>
        <w:widowControl w:val="off"/>
      </w:pPr>
      <w:r>
        <w:rPr/>
        <w:t>A·B 등급: 외지인 실측 자료를 일부 또는 전부 활용한 신뢰도 높은 추정</w:t>
      </w:r>
    </w:p>
    <w:p>
      <w:pPr>
        <w:pStyle w:val="1"/>
        <w:widowControl w:val="off"/>
      </w:pPr>
      <w:r>
        <w:rPr/>
        <w:t>C 등급: 사업이 보고한 방문객 수를 그대로 활용하되 외지인 비율은 표준값을 적용하여 사업별 외지인 비율 편차는 미반영</w:t>
      </w:r>
    </w:p>
    <w:p>
      <w:pPr>
        <w:pStyle w:val="1"/>
        <w:widowControl w:val="off"/>
      </w:pPr>
      <w:r>
        <w:rPr/>
        <w:t>축제 22건 중 D 등급(방문객 미수집)은 없음. 비축제 P05·P30이 D 등급에 해당하나 비축제 사업으로 본 연구의 범위는 아님</w:t>
      </w:r>
    </w:p>
    <w:p>
      <w:pPr>
        <w:pStyle w:val="0"/>
        <w:widowControl w:val="off"/>
        <w:spacing w:line="331" w:lineRule="auto"/>
        <w:ind w:left="-600"/>
        <w:rPr>
          <w:rFonts w:ascii="굴림" w:eastAsia="굴림"/>
          <w:b/>
          <w:color w:val="000000"/>
          <w:shd w:val="clear" w:color="000000"/>
        </w:rPr>
      </w:pPr>
    </w:p>
    <w:p>
      <w:pPr>
        <w:pStyle w:val="5"/>
        <w:widowControl w:val="off"/>
      </w:pPr>
      <w:r>
        <w:rPr/>
        <w:t>축제 사업별 참여자 효과</w:t>
      </w:r>
    </w:p>
    <w:p>
      <w:pPr>
        <w:pStyle w:val="5"/>
        <w:widowControl w:val="off"/>
        <w:rPr/>
      </w:pPr>
    </w:p>
    <w:p>
      <w:pPr>
        <w:pStyle w:val="7"/>
        <w:widowControl w:val="off"/>
      </w:pPr>
      <w:r>
        <w:rPr/>
        <w:t xml:space="preserve">&lt;표 </w:t>
      </w:r>
      <w:r>
        <w:rPr/>
        <w:t>Ⅲ</w:t>
      </w:r>
      <w:r>
        <w:rPr/>
        <w:t>-3-2&gt; 축제 사업별 참여자 효과 (외지인 = 도외 국내 + 해외)</w:t>
      </w:r>
    </w:p>
    <w:tbl>
      <w:tblPr>
        <w:tblOverlap w:val="never"/>
        <w:tblW w:w="812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0"/>
        <w:gridCol w:w="2696"/>
        <w:gridCol w:w="723"/>
        <w:gridCol w:w="1170"/>
        <w:gridCol w:w="1483"/>
        <w:gridCol w:w="1277"/>
      </w:tblGrid>
      <w:tr>
        <w:trPr>
          <w:trHeight w:val="56"/>
        </w:trPr>
        <w:tc>
          <w:tcPr>
            <w:tcW w:w="78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코드</w:t>
            </w:r>
          </w:p>
        </w:tc>
        <w:tc>
          <w:tcPr>
            <w:tcW w:w="2696"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사업명</w:t>
            </w:r>
          </w:p>
        </w:tc>
        <w:tc>
          <w:tcPr>
            <w:tcW w:w="72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자료 수준</w:t>
            </w:r>
          </w:p>
        </w:tc>
        <w:tc>
          <w:tcPr>
            <w:tcW w:w="1170"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외지인(명)</w:t>
            </w:r>
          </w:p>
        </w:tc>
        <w:tc>
          <w:tcPr>
            <w:tcW w:w="148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참여자효과(백만 원)</w:t>
            </w:r>
          </w:p>
        </w:tc>
        <w:tc>
          <w:tcPr>
            <w:tcW w:w="1277"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통합효율(배)</w:t>
            </w:r>
          </w:p>
        </w:tc>
      </w:tr>
      <w:tr>
        <w:trPr>
          <w:trHeight w:val="56"/>
        </w:trPr>
        <w:tc>
          <w:tcPr>
            <w:tcW w:w="78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P02</w:t>
            </w:r>
          </w:p>
        </w:tc>
        <w:tc>
          <w:tcPr>
            <w:tcW w:w="2696"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소상공인 주간 박람회</w:t>
            </w:r>
          </w:p>
        </w:tc>
        <w:tc>
          <w:tcPr>
            <w:tcW w:w="723"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320</w:t>
            </w:r>
          </w:p>
        </w:tc>
        <w:tc>
          <w:tcPr>
            <w:tcW w:w="1483"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172.6</w:t>
            </w:r>
          </w:p>
        </w:tc>
        <w:tc>
          <w:tcPr>
            <w:tcW w:w="1277"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4.34</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P03</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서귀포과학문화축전</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416</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269.7</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11.23</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P06</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2025 문화의 달 행사</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23,040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11,626.5</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7.10</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P07</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유채꽃 국제걷기대회</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1,600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1,037.5</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9.24</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P08</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겨울바다 펭귄수영대회</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640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415.0</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6.12</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P09</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새연교 주말 문화공연</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A</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13,656</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10,371.8</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39.50</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P10</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야해(</w:t>
            </w:r>
            <w:r>
              <w:rPr/>
              <w:t xml:space="preserve">夜海) </w:t>
            </w:r>
            <w:r>
              <w:rPr/>
              <w:t>페스티벌</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B</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1,082</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865.2</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15.64</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P12</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제31회 서귀포칠십리축제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23,040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14,940.2</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31.14</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P13</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제42회 서귀포유채꽃축제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6,676</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4,329.0</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19.30</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P23</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대정암반수마농박람회</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640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321.4</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4.75</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P24</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가파도 청보리 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17,600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11,412.6</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244.08</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P25</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한라산 청정 고사리축제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9,280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6,017.6</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61.44</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P26</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성산 조개바당축제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3,200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2,075.0</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19.64</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P28</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광평리 제주메밀축제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256</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138.8</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4.72</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P29</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안덕 수눌음 수국 페스타</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80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51.8</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2.49</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P32</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제21회 보목자리돔 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960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622.5</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8.09</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P36</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제21회 쇠소깍 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1,920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1,245.0</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22.76</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P37</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영천동 해바라기 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2,560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1,660.1</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10.48</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P38</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동홍동 정월대보름 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160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103.8</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3.83</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P39</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서홍 벚꽃구경 행사</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320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207.5</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5.44</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P42</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중문 칠선녀축제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960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622.5</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14.23</w:t>
            </w:r>
          </w:p>
        </w:tc>
      </w:tr>
      <w:tr>
        <w:trPr>
          <w:trHeight w:val="56"/>
        </w:trPr>
        <w:tc>
          <w:tcPr>
            <w:tcW w:w="78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P43</w:t>
            </w:r>
          </w:p>
        </w:tc>
        <w:tc>
          <w:tcPr>
            <w:tcW w:w="2696"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예래 논짓물축제</w:t>
            </w:r>
          </w:p>
        </w:tc>
        <w:tc>
          <w:tcPr>
            <w:tcW w:w="72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C</w:t>
            </w:r>
          </w:p>
        </w:tc>
        <w:tc>
          <w:tcPr>
            <w:tcW w:w="1170"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960</w:t>
            </w:r>
          </w:p>
        </w:tc>
        <w:tc>
          <w:tcPr>
            <w:tcW w:w="148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484.4</w:t>
            </w:r>
          </w:p>
        </w:tc>
        <w:tc>
          <w:tcPr>
            <w:tcW w:w="1277"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9.64</w:t>
            </w:r>
          </w:p>
        </w:tc>
      </w:tr>
      <w:tr>
        <w:trPr>
          <w:trHeight w:val="56"/>
        </w:trPr>
        <w:tc>
          <w:tcPr>
            <w:tcW w:w="78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소계</w:t>
            </w:r>
          </w:p>
        </w:tc>
        <w:tc>
          <w:tcPr>
            <w:tcW w:w="2696"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rPr/>
            </w:pPr>
          </w:p>
        </w:tc>
        <w:tc>
          <w:tcPr>
            <w:tcW w:w="723"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rPr/>
            </w:pPr>
          </w:p>
        </w:tc>
        <w:tc>
          <w:tcPr>
            <w:tcW w:w="1170"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108,766</w:t>
            </w:r>
          </w:p>
        </w:tc>
        <w:tc>
          <w:tcPr>
            <w:tcW w:w="1483"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68,990.5</w:t>
            </w:r>
          </w:p>
        </w:tc>
        <w:tc>
          <w:tcPr>
            <w:tcW w:w="1277"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17.22</w:t>
            </w:r>
          </w:p>
        </w:tc>
      </w:tr>
    </w:tbl>
    <w:p>
      <w:pPr>
        <w:pStyle w:val="0"/>
        <w:widowControl w:val="off"/>
        <w:jc w:val="left"/>
      </w:pPr>
    </w:p>
    <w:p>
      <w:pPr>
        <w:pStyle w:val="0"/>
        <w:widowControl w:val="off"/>
        <w:rPr>
          <w:rFonts w:ascii="굴림" w:eastAsia="굴림"/>
          <w:b/>
          <w:color w:val="000000"/>
          <w:shd w:val="clear" w:color="000000"/>
        </w:rPr>
      </w:pPr>
    </w:p>
    <w:p>
      <w:pPr>
        <w:pStyle w:val="0"/>
        <w:widowControl w:val="off"/>
        <w:ind w:left="600"/>
        <w:rPr>
          <w:rFonts w:ascii="굴림" w:eastAsia="굴림"/>
          <w:b/>
          <w:color w:val="000000"/>
          <w:shd w:val="clear" w:color="000000"/>
        </w:rPr>
      </w:pPr>
    </w:p>
    <w:p>
      <w:pPr>
        <w:pStyle w:val="1"/>
        <w:widowControl w:val="off"/>
      </w:pPr>
      <w:r>
        <w:rPr/>
        <w:t>통합 효율(정책지출+참여자 / 예산)이 사업별 2.49배~244.08배 범위로 100배에 가까운 편차</w:t>
      </w:r>
    </w:p>
    <w:p>
      <w:pPr>
        <w:pStyle w:val="2"/>
        <w:widowControl w:val="off"/>
      </w:pPr>
      <w:r>
        <w:rPr/>
        <w:t>효율 244배(P24 가파도 청보리)는 외지인 17,600명 × KTO 1박 단가(약 9.5만원) + 행사현장 15만원 가정이 예산 4,700만 원에 비해 과대 추정된 결과</w:t>
      </w:r>
    </w:p>
    <w:p>
      <w:pPr>
        <w:pStyle w:val="2"/>
        <w:widowControl w:val="off"/>
      </w:pPr>
      <w:r>
        <w:rPr/>
        <w:t>외지인 모집단이 정확하더라도 실제 외지인 1인당 추가 체류일수는 1박 미만일 가능성이 크며 본 효율은 상한치 성격</w:t>
      </w:r>
    </w:p>
    <w:p>
      <w:pPr>
        <w:pStyle w:val="1"/>
        <w:widowControl w:val="off"/>
      </w:pPr>
      <w:r>
        <w:rPr/>
        <w:t>P09 새연교(39.50배)와 P10 야해(15.64배)는 만족도조사 실측 자료를 일부 사용했음에도 효율이 크게 나타남</w:t>
      </w:r>
    </w:p>
    <w:p>
      <w:pPr>
        <w:pStyle w:val="2"/>
        <w:widowControl w:val="off"/>
      </w:pPr>
      <w:r>
        <w:rPr/>
        <w:t>P09는 26회 누적 운영(7~10월 매주 금·토)이라 외지인 13,656명 누적값 사용, 회당 환산 시 효율은 ~1.5배 수준</w:t>
      </w:r>
    </w:p>
    <w:p>
      <w:pPr>
        <w:pStyle w:val="2"/>
        <w:widowControl w:val="off"/>
      </w:pPr>
      <w:r>
        <w:rPr/>
        <w:t>P10은 단발 행사이나 행사목적 가중치 0.864(지역상권 이용의향 대용)가 표준값보다 크게 산정됨</w:t>
      </w:r>
    </w:p>
    <w:p>
      <w:pPr>
        <w:pStyle w:val="1"/>
        <w:widowControl w:val="off"/>
      </w:pPr>
      <w:r>
        <w:rPr/>
        <w:t>자료 등급 C인 사업의 참여자 효과는 표준 외지인 비율(32%)에 의존하므로 실제 사업별 외지인 비율 차이(마을 축제 10~20% vs 국제대회 60~80%)에 따라 ±50% 이상 편차 가능</w:t>
      </w:r>
    </w:p>
    <w:p>
      <w:pPr>
        <w:pStyle w:val="0"/>
        <w:widowControl w:val="off"/>
        <w:spacing w:line="331" w:lineRule="auto"/>
        <w:ind w:left="-600"/>
        <w:rPr>
          <w:rFonts w:ascii="굴림" w:eastAsia="굴림"/>
          <w:b/>
          <w:color w:val="000000"/>
          <w:shd w:val="clear" w:color="000000"/>
        </w:rPr>
      </w:pPr>
    </w:p>
    <w:p>
      <w:pPr>
        <w:pStyle w:val="5"/>
        <w:widowControl w:val="off"/>
      </w:pPr>
      <w:r>
        <w:rPr/>
        <w:t>통합 효율의 해석 주의사항</w:t>
      </w:r>
    </w:p>
    <w:p>
      <w:pPr>
        <w:pStyle w:val="0"/>
        <w:widowControl w:val="off"/>
        <w:spacing w:line="331" w:lineRule="auto"/>
        <w:rPr>
          <w:rFonts w:ascii="Arial" w:eastAsia="Arial"/>
          <w:color w:val="000000"/>
          <w:sz w:val="22"/>
          <w:shd w:val="clear" w:color="000000"/>
        </w:rPr>
      </w:pPr>
    </w:p>
    <w:p>
      <w:pPr>
        <w:pStyle w:val="1"/>
        <w:widowControl w:val="off"/>
      </w:pPr>
      <w:r>
        <w:rPr/>
        <w:t>정책지출 효율 평균 1.27배는 사업 간 비교 가능한 안정 지표</w:t>
      </w:r>
    </w:p>
    <w:p>
      <w:pPr>
        <w:pStyle w:val="1"/>
        <w:widowControl w:val="off"/>
      </w:pPr>
      <w:r>
        <w:rPr/>
        <w:t>참여자 효과 포함 통합 효율은 외지인 추정 정확도에 따라 사업별 편차가 매우 큼 (2.5배~244배)</w:t>
      </w:r>
    </w:p>
    <w:p>
      <w:pPr>
        <w:pStyle w:val="2"/>
        <w:widowControl w:val="off"/>
      </w:pPr>
      <w:r>
        <w:rPr/>
        <w:t>단순 통합 효율로 사업 우선순위를 매기는 것은 부적절</w:t>
      </w:r>
    </w:p>
    <w:p>
      <w:pPr>
        <w:pStyle w:val="1"/>
        <w:widowControl w:val="off"/>
      </w:pPr>
      <w:r>
        <w:rPr/>
        <w:t>본 분석은 정책지출 효과를 1차 비교 기준으로, 참여자 효과는 사업의 외지인 유치 잠재력 지표로 분리 활용 권장</w:t>
      </w:r>
    </w:p>
    <w:p>
      <w:pPr>
        <w:pStyle w:val="0"/>
        <w:widowControl w:val="off"/>
        <w:spacing w:line="331" w:lineRule="auto"/>
        <w:ind w:left="-600"/>
        <w:rPr>
          <w:rFonts w:ascii="굴림" w:eastAsia="굴림"/>
          <w:b/>
          <w:color w:val="000000"/>
          <w:shd w:val="clear" w:color="000000"/>
        </w:rPr>
      </w:pPr>
    </w:p>
    <w:p>
      <w:pPr>
        <w:pStyle w:val="0"/>
        <w:widowControl w:val="off"/>
        <w:spacing w:line="331" w:lineRule="auto"/>
        <w:rPr>
          <w:color w:val="000000"/>
          <w:shd w:val="clear" w:color="000000"/>
        </w:rPr>
      </w:pPr>
    </w:p>
    <w:p>
      <w:pPr>
        <w:pStyle w:val="0"/>
        <w:widowControl w:val="off"/>
        <w:spacing w:line="331" w:lineRule="auto"/>
        <w:jc w:val="left"/>
        <w:rPr>
          <w:color w:val="000000"/>
          <w:shd w:val="clear" w:color="000000"/>
        </w:rPr>
      </w:pPr>
    </w:p>
    <w:p>
      <w:pPr>
        <w:pStyle w:val="4"/>
        <w:widowControl w:val="off"/>
      </w:pPr>
      <w:r>
        <w:rPr/>
        <w:t>결론 및 정책 시사점</w:t>
      </w:r>
    </w:p>
    <w:p>
      <w:pPr>
        <w:pStyle w:val="5"/>
        <w:widowControl w:val="off"/>
      </w:pPr>
      <w:r>
        <w:rPr/>
        <w:t>정책지출 효과 종합 (1차 결과)</w:t>
      </w:r>
    </w:p>
    <w:p>
      <w:pPr>
        <w:pStyle w:val="7"/>
        <w:widowControl w:val="off"/>
        <w:rPr/>
      </w:pPr>
    </w:p>
    <w:p>
      <w:pPr>
        <w:pStyle w:val="7"/>
        <w:widowControl w:val="off"/>
      </w:pPr>
      <w:r>
        <w:rPr/>
        <w:t xml:space="preserve">&lt;표 </w:t>
      </w:r>
      <w:r>
        <w:rPr/>
        <w:t>Ⅲ</w:t>
      </w:r>
      <w:r>
        <w:rPr/>
        <w:t>-4-1&gt; 축제 22건의 정책지출 효과 종합 (도내 귀착 기준, 단위: 백만 원, 명)</w:t>
      </w:r>
    </w:p>
    <w:tbl>
      <w:tblPr>
        <w:tblOverlap w:val="never"/>
        <w:tblW w:w="755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93"/>
        <w:gridCol w:w="1913"/>
        <w:gridCol w:w="3553"/>
      </w:tblGrid>
      <w:tr>
        <w:trPr>
          <w:trHeight w:val="56"/>
        </w:trPr>
        <w:tc>
          <w:tcPr>
            <w:tcW w:w="209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지표</w:t>
            </w:r>
          </w:p>
        </w:tc>
        <w:tc>
          <w:tcPr>
            <w:tcW w:w="191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규모</w:t>
            </w:r>
          </w:p>
        </w:tc>
        <w:tc>
          <w:tcPr>
            <w:tcW w:w="3553" w:type="dxa"/>
            <w:tcBorders>
              <w:top w:val="single" w:color="000000" w:sz="3"/>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의의</w:t>
            </w:r>
          </w:p>
        </w:tc>
      </w:tr>
      <w:tr>
        <w:trPr>
          <w:trHeight w:val="56"/>
        </w:trPr>
        <w:tc>
          <w:tcPr>
            <w:tcW w:w="2093"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투입예산</w:t>
            </w:r>
          </w:p>
        </w:tc>
        <w:tc>
          <w:tcPr>
            <w:tcW w:w="1913"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9"/>
              <w:widowControl w:val="off"/>
            </w:pPr>
            <w:r>
              <w:rPr/>
              <w:t>4,328.2</w:t>
            </w:r>
          </w:p>
        </w:tc>
        <w:tc>
          <w:tcPr>
            <w:tcW w:w="3553" w:type="dxa"/>
            <w:tcBorders>
              <w:top w:val="single" w:color="000000" w:sz="3"/>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약 43.3억 원 투자 규모</w:t>
            </w:r>
          </w:p>
        </w:tc>
      </w:tr>
      <w:tr>
        <w:trPr>
          <w:trHeight w:val="56"/>
        </w:trPr>
        <w:tc>
          <w:tcPr>
            <w:tcW w:w="209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정책지출 생산유발</w:t>
            </w:r>
          </w:p>
        </w:tc>
        <w:tc>
          <w:tcPr>
            <w:tcW w:w="19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9"/>
              <w:widowControl w:val="off"/>
            </w:pPr>
            <w:r>
              <w:rPr/>
              <w:t>5,528.4 (도내)</w:t>
            </w:r>
          </w:p>
        </w:tc>
        <w:tc>
          <w:tcPr>
            <w:tcW w:w="355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약 55.3억 원 도내 1차 경제 활성화</w:t>
            </w:r>
          </w:p>
        </w:tc>
      </w:tr>
      <w:tr>
        <w:trPr>
          <w:trHeight w:val="56"/>
        </w:trPr>
        <w:tc>
          <w:tcPr>
            <w:tcW w:w="209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정책지출 부가가치</w:t>
            </w:r>
          </w:p>
        </w:tc>
        <w:tc>
          <w:tcPr>
            <w:tcW w:w="19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9"/>
              <w:widowControl w:val="off"/>
            </w:pPr>
            <w:r>
              <w:rPr/>
              <w:t>2,816.7 (도내)</w:t>
            </w:r>
          </w:p>
        </w:tc>
        <w:tc>
          <w:tcPr>
            <w:tcW w:w="355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약 28.2억 원 도내 소득 창출</w:t>
            </w:r>
          </w:p>
        </w:tc>
      </w:tr>
      <w:tr>
        <w:trPr>
          <w:trHeight w:val="56"/>
        </w:trPr>
        <w:tc>
          <w:tcPr>
            <w:tcW w:w="209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정책지출 고용</w:t>
            </w:r>
          </w:p>
        </w:tc>
        <w:tc>
          <w:tcPr>
            <w:tcW w:w="191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9"/>
              <w:widowControl w:val="off"/>
            </w:pPr>
            <w:r>
              <w:rPr/>
              <w:t>37.0 (도내)</w:t>
            </w:r>
          </w:p>
        </w:tc>
        <w:tc>
          <w:tcPr>
            <w:tcW w:w="3553" w:type="dxa"/>
            <w:tcBorders>
              <w:top w:val="dotted" w:color="000000" w:sz="7"/>
              <w:left w:val="single" w:color="000000" w:sz="3"/>
              <w:bottom w:val="dotted" w:color="000000" w:sz="7"/>
              <w:right w:val="single" w:color="000000" w:sz="3"/>
            </w:tcBorders>
            <w:tcMar>
              <w:top w:w="100" w:type="dxa"/>
              <w:left w:w="100" w:type="dxa"/>
              <w:bottom w:w="100" w:type="dxa"/>
              <w:right w:w="100" w:type="dxa"/>
            </w:tcMar>
            <w:vAlign w:val="top"/>
          </w:tcPr>
          <w:p>
            <w:pPr>
              <w:pStyle w:val="8"/>
              <w:widowControl w:val="off"/>
            </w:pPr>
            <w:r>
              <w:rPr/>
              <w:t>약 37명 신규 도내 일자리</w:t>
            </w:r>
          </w:p>
        </w:tc>
      </w:tr>
      <w:tr>
        <w:trPr>
          <w:trHeight w:val="56"/>
        </w:trPr>
        <w:tc>
          <w:tcPr>
            <w:tcW w:w="2093"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평균 정책효율</w:t>
            </w:r>
          </w:p>
        </w:tc>
        <w:tc>
          <w:tcPr>
            <w:tcW w:w="1913"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9"/>
              <w:widowControl w:val="off"/>
            </w:pPr>
            <w:r>
              <w:rPr/>
              <w:t>1.28배</w:t>
            </w:r>
          </w:p>
        </w:tc>
        <w:tc>
          <w:tcPr>
            <w:tcW w:w="3553" w:type="dxa"/>
            <w:tcBorders>
              <w:top w:val="dotted" w:color="000000" w:sz="7"/>
              <w:left w:val="single" w:color="000000" w:sz="3"/>
              <w:bottom w:val="single" w:color="000000" w:sz="3"/>
              <w:right w:val="single" w:color="000000" w:sz="3"/>
            </w:tcBorders>
            <w:tcMar>
              <w:top w:w="100" w:type="dxa"/>
              <w:left w:w="100" w:type="dxa"/>
              <w:bottom w:w="100" w:type="dxa"/>
              <w:right w:w="100" w:type="dxa"/>
            </w:tcMar>
            <w:vAlign w:val="top"/>
          </w:tcPr>
          <w:p>
            <w:pPr>
              <w:pStyle w:val="8"/>
              <w:widowControl w:val="off"/>
            </w:pPr>
            <w:r>
              <w:rPr/>
              <w:t>예산 1원당 도내 1.28원의 1차 파급</w:t>
            </w:r>
          </w:p>
        </w:tc>
      </w:tr>
    </w:tbl>
    <w:p>
      <w:pPr>
        <w:pStyle w:val="0"/>
        <w:widowControl w:val="off"/>
        <w:jc w:val="left"/>
      </w:pPr>
    </w:p>
    <w:p>
      <w:pPr>
        <w:pStyle w:val="0"/>
        <w:widowControl w:val="off"/>
        <w:ind w:left="600"/>
        <w:rPr>
          <w:rFonts w:ascii="굴림" w:eastAsia="굴림"/>
          <w:b/>
          <w:color w:val="000000"/>
          <w:shd w:val="clear" w:color="000000"/>
        </w:rPr>
      </w:pPr>
    </w:p>
    <w:p>
      <w:pPr>
        <w:pStyle w:val="1"/>
        <w:widowControl w:val="off"/>
      </w:pPr>
      <w:r>
        <w:rPr/>
        <w:t>본 표의 정책지출 효과는 사업 예산세부내역과 RIO 부문별 유발계수의 곱셈으로 산정되므로 사업별 신뢰도가 균질함</w:t>
      </w:r>
    </w:p>
    <w:p>
      <w:pPr>
        <w:pStyle w:val="1"/>
        <w:widowControl w:val="off"/>
      </w:pPr>
      <w:r>
        <w:rPr/>
        <w:t>추가적으로 외지인 유입에 따른 참여자 효과는 약 689억 원으로 추정되었으나 사업별 자료 등급에 따라 신뢰 구간 편차가 크므로 본 결론은 정책지출 효과를 1차 기준으로 함</w:t>
      </w:r>
    </w:p>
    <w:p>
      <w:pPr>
        <w:pStyle w:val="0"/>
        <w:widowControl w:val="off"/>
        <w:spacing w:line="331" w:lineRule="auto"/>
        <w:ind w:left="-600"/>
        <w:rPr>
          <w:rFonts w:ascii="굴림" w:eastAsia="굴림"/>
          <w:b/>
          <w:color w:val="000000"/>
          <w:shd w:val="clear" w:color="000000"/>
        </w:rPr>
      </w:pPr>
    </w:p>
    <w:p>
      <w:pPr>
        <w:pStyle w:val="5"/>
        <w:widowControl w:val="off"/>
      </w:pPr>
      <w:r>
        <w:rPr/>
        <w:t>참여자 효과의 보완적 의의</w:t>
      </w:r>
    </w:p>
    <w:p>
      <w:pPr>
        <w:pStyle w:val="1"/>
        <w:widowControl w:val="off"/>
      </w:pPr>
      <w:r>
        <w:rPr/>
        <w:t>참여자 효과는 사업의 외지인 유치 잠재력을 보여주는 지표이나 정책 우선순위 산정에는 부적합</w:t>
      </w:r>
    </w:p>
    <w:p>
      <w:pPr>
        <w:pStyle w:val="2"/>
        <w:widowControl w:val="off"/>
      </w:pPr>
      <w:r>
        <w:rPr/>
        <w:t>자료 등급 A·B (P09, P10): 만족도조사 실측 기반으로 신뢰도 높음</w:t>
      </w:r>
    </w:p>
    <w:p>
      <w:pPr>
        <w:pStyle w:val="2"/>
        <w:widowControl w:val="off"/>
      </w:pPr>
      <w:r>
        <w:rPr/>
        <w:t>그러나 P09는 26회 누적 운영의 외지인 합산값이고 P10은 단발 행사라 사업 특성이 다르므로 단순 효율 비교 부적절</w:t>
      </w:r>
    </w:p>
    <w:p>
      <w:pPr>
        <w:pStyle w:val="1"/>
        <w:widowControl w:val="off"/>
      </w:pPr>
      <w:r>
        <w:rPr/>
        <w:t>자료 등급 C (20건): master 방문객 보고치 × 표준 외지인 비율 32%</w:t>
      </w:r>
    </w:p>
    <w:p>
      <w:pPr>
        <w:pStyle w:val="2"/>
        <w:widowControl w:val="off"/>
      </w:pPr>
      <w:r>
        <w:rPr/>
        <w:t>사업별 실제 외지인 비율은 마을 축제(1020%)부터 국제 행사(6080%)까지 큰 편차가 있어 표준값 적용 시 사업별 ±50% 이상 편차 가능</w:t>
      </w:r>
    </w:p>
    <w:p>
      <w:pPr>
        <w:pStyle w:val="2"/>
        <w:widowControl w:val="off"/>
      </w:pPr>
      <w:r>
        <w:rPr/>
        <w:t>통합 효율 244배(P24 가파도) 같은 극단값은 외지인 모집단 과대 추정의 산물</w:t>
      </w:r>
    </w:p>
    <w:p>
      <w:pPr>
        <w:pStyle w:val="0"/>
        <w:widowControl w:val="off"/>
        <w:spacing w:line="331" w:lineRule="auto"/>
        <w:ind w:left="-1200"/>
        <w:rPr>
          <w:rFonts w:ascii="굴림" w:eastAsia="굴림"/>
          <w:b/>
          <w:color w:val="000000"/>
          <w:shd w:val="clear" w:color="000000"/>
        </w:rPr>
      </w:pPr>
    </w:p>
    <w:p>
      <w:pPr>
        <w:pStyle w:val="5"/>
        <w:widowControl w:val="off"/>
      </w:pPr>
      <w:r>
        <w:rPr/>
        <w:t>정책적 시사점</w:t>
      </w:r>
    </w:p>
    <w:p>
      <w:pPr>
        <w:pStyle w:val="1"/>
        <w:widowControl w:val="off"/>
      </w:pPr>
      <w:r>
        <w:rPr/>
        <w:t>정책지출 효율 기반 사업 평가</w:t>
      </w:r>
    </w:p>
    <w:p>
      <w:pPr>
        <w:pStyle w:val="2"/>
        <w:widowControl w:val="off"/>
      </w:pPr>
      <w:r>
        <w:rPr/>
        <w:t>정책지출 효율 차원에서 사업 간 차이가 작아(1.19~1.33배), 효율 비교는 정책 우선순위 결정의 1차 기준으로 활용도가 낮음</w:t>
      </w:r>
    </w:p>
    <w:p>
      <w:pPr>
        <w:pStyle w:val="2"/>
        <w:widowControl w:val="off"/>
      </w:pPr>
      <w:r>
        <w:rPr/>
        <w:t>대신 정책지출 절대 규모(P06 문화의 달·P12 칠십리축제·P13 유채꽃축제 등이 큼)와 정책지출 부문 구성(부문 80 비중 높으면 일반 행사 운영, 부문 58 비중 높으면 지역 외식·숙박업 직접 지원 성격)을 함께 고려할 가치 있음</w:t>
      </w:r>
    </w:p>
    <w:p>
      <w:pPr>
        <w:pStyle w:val="1"/>
        <w:widowControl w:val="off"/>
      </w:pPr>
      <w:r>
        <w:rPr/>
        <w:t>참여자 효과 활용 전략</w:t>
      </w:r>
    </w:p>
    <w:p>
      <w:pPr>
        <w:pStyle w:val="2"/>
        <w:widowControl w:val="off"/>
      </w:pPr>
      <w:r>
        <w:rPr/>
        <w:t>참여자 효과는 사업 단위 비교가 아닌 외지인 유치 잠재력을 감안한 큐레이션 도구로 활용하는 것이 권장됨</w:t>
      </w:r>
    </w:p>
    <w:p>
      <w:pPr>
        <w:pStyle w:val="2"/>
        <w:widowControl w:val="off"/>
      </w:pPr>
      <w:r>
        <w:rPr/>
        <w:t>외지인 유입이 큰 사업(P12 칠십리축제 72,000명, P09 새연교 42,866명 등)은 부수체류 프로그램 연계 강화로 효과를 극대화할 수 있음</w:t>
      </w:r>
    </w:p>
    <w:p>
      <w:pPr>
        <w:pStyle w:val="2"/>
        <w:widowControl w:val="off"/>
      </w:pPr>
      <w:r>
        <w:rPr/>
        <w:t>외지인 비중이 낮은 마을 축제는 정책지출 효과 자체가 도내 발주를 통한 직접 효과이며, 지역 커뮤니티 강화와 같은 경제 효과만으로는 측정할 수 없는 질적인 가치가 존재함을 감안해야 할 것임</w:t>
      </w:r>
    </w:p>
    <w:p>
      <w:pPr>
        <w:pStyle w:val="2"/>
        <w:widowControl w:val="off"/>
      </w:pPr>
      <w:r>
        <w:rPr/>
        <w:t>사업별 외지인 비율의 실측 자료 확보가 우선 과제</w:t>
      </w:r>
    </w:p>
    <w:p>
      <w:pPr>
        <w:pStyle w:val="1"/>
        <w:widowControl w:val="off"/>
      </w:pPr>
      <w:r>
        <w:rPr/>
        <w:t>고용 창출 효과</w:t>
      </w:r>
    </w:p>
    <w:p>
      <w:pPr>
        <w:pStyle w:val="2"/>
        <w:widowControl w:val="off"/>
      </w:pPr>
      <w:r>
        <w:rPr/>
        <w:t>정책지출 기반 도내 고용 유발은 약 37명, 1인당 예산 약 117.0M원</w:t>
      </w:r>
    </w:p>
    <w:p>
      <w:pPr>
        <w:pStyle w:val="2"/>
        <w:widowControl w:val="off"/>
      </w:pPr>
      <w:r>
        <w:rPr/>
        <w:t>행사 운영·체험·기획 직군이 중심이며 대부분 단기·계절성 일자리</w:t>
      </w:r>
    </w:p>
    <w:p>
      <w:pPr>
        <w:pStyle w:val="2"/>
        <w:widowControl w:val="off"/>
      </w:pPr>
      <w:r>
        <w:rPr/>
        <w:t>도내 귀착률 72.3%로 세 효과지표 중 두 번째로 높음. 행사 인력의 지역 노동시장 직접 충원 특성 반영</w:t>
      </w:r>
    </w:p>
    <w:p>
      <w:pPr>
        <w:pStyle w:val="0"/>
        <w:widowControl w:val="off"/>
        <w:spacing w:line="331" w:lineRule="auto"/>
        <w:ind w:left="-1200"/>
        <w:rPr>
          <w:rFonts w:ascii="굴림" w:eastAsia="굴림"/>
          <w:b/>
          <w:color w:val="000000"/>
          <w:shd w:val="clear" w:color="000000"/>
        </w:rPr>
      </w:pPr>
    </w:p>
    <w:p>
      <w:pPr>
        <w:pStyle w:val="5"/>
        <w:widowControl w:val="off"/>
      </w:pPr>
      <w:r>
        <w:rPr/>
        <w:t>후속 연구를 위한 자료 축적 방향</w:t>
      </w:r>
    </w:p>
    <w:p>
      <w:pPr>
        <w:pStyle w:val="1"/>
        <w:widowControl w:val="off"/>
      </w:pPr>
      <w:r>
        <w:rPr/>
        <w:t>본 연구의 자료 조건상 한계를 향후 연구에서 보완하기 위해 사업 단위에서 축적·표준화 가능한 자료 항목을 정리함</w:t>
      </w:r>
    </w:p>
    <w:p>
      <w:pPr>
        <w:pStyle w:val="2"/>
        <w:widowControl w:val="off"/>
      </w:pPr>
      <w:r>
        <w:rPr/>
        <w:t>서귀포시의 사업 운영 단계에서 통상적으로 수집 가능한 정보로, 행정 부담을 늘리지 않는 범위에서 사업 결과보고서 양식 개선만으로 확보 가능</w:t>
      </w:r>
    </w:p>
    <w:p>
      <w:pPr>
        <w:pStyle w:val="1"/>
        <w:widowControl w:val="off"/>
      </w:pPr>
      <w:r>
        <w:rPr/>
        <w:t>만족도조사 표준 양식 정착</w:t>
      </w:r>
    </w:p>
    <w:p>
      <w:pPr>
        <w:pStyle w:val="2"/>
        <w:widowControl w:val="off"/>
      </w:pPr>
      <w:r>
        <w:rPr/>
        <w:t>공통 질문 항목: 거주지 분포(시·도 단위), 1인당 지출(식음료·오락·쇼핑·교통·숙박·기타 6항목), 행사목적 가중치(Likert), 평균 체류일수</w:t>
      </w:r>
    </w:p>
    <w:p>
      <w:pPr>
        <w:pStyle w:val="2"/>
        <w:widowControl w:val="off"/>
      </w:pPr>
      <w:r>
        <w:rPr/>
        <w:t>사업별 응답 수 200건 이상 확보 시 본 분석의 자료 등급 A·B 수준 적용 가능</w:t>
      </w:r>
    </w:p>
    <w:p>
      <w:pPr>
        <w:pStyle w:val="1"/>
        <w:widowControl w:val="off"/>
      </w:pPr>
      <w:r>
        <w:rPr/>
        <w:t>사업별 외지인 비율 사업 측 직접 보고</w:t>
      </w:r>
    </w:p>
    <w:p>
      <w:pPr>
        <w:pStyle w:val="2"/>
        <w:widowControl w:val="off"/>
      </w:pPr>
      <w:r>
        <w:rPr/>
        <w:t>현장 카운팅·QR 등록·결과보고서 내 거주지 항목 등 사업 특성에 맞는 방식으로 사업 측이 외지인 비율을 직접 보고</w:t>
      </w:r>
    </w:p>
    <w:p>
      <w:pPr>
        <w:pStyle w:val="1"/>
        <w:widowControl w:val="off"/>
      </w:pPr>
      <w:r>
        <w:rPr/>
        <w:t>사업 결과보고서 양식의 표준화</w:t>
      </w:r>
    </w:p>
    <w:p>
      <w:pPr>
        <w:pStyle w:val="2"/>
        <w:widowControl w:val="off"/>
      </w:pPr>
      <w:r>
        <w:rPr/>
        <w:t>「예산세부내역」</w:t>
      </w:r>
      <w:r>
        <w:rPr/>
        <w:t xml:space="preserve"> 표(항목·금액·지출처·비고 4열)를 사업 결과보고서 필수 항목으로 정착</w:t>
      </w:r>
    </w:p>
    <w:p>
      <w:pPr>
        <w:pStyle w:val="2"/>
        <w:widowControl w:val="off"/>
      </w:pPr>
      <w:r>
        <w:rPr/>
        <w:t>회차별 운영 사업은 회차별 방문객 수치를 별도 보고</w:t>
      </w:r>
    </w:p>
    <w:p>
      <w:pPr>
        <w:pStyle w:val="0"/>
        <w:widowControl w:val="off"/>
        <w:spacing w:line="331" w:lineRule="auto"/>
        <w:ind w:left="-1200"/>
        <w:rPr>
          <w:rFonts w:ascii="굴림" w:eastAsia="굴림"/>
          <w:b/>
          <w:color w:val="000000"/>
          <w:shd w:val="clear" w:color="000000"/>
        </w:rPr>
      </w:pPr>
    </w:p>
    <w:p>
      <w:pPr>
        <w:pStyle w:val="5"/>
        <w:widowControl w:val="off"/>
      </w:pPr>
      <w:r>
        <w:rPr/>
        <w:t>종합 결론</w:t>
      </w:r>
    </w:p>
    <w:p>
      <w:pPr>
        <w:pStyle w:val="0"/>
        <w:widowControl w:val="off"/>
        <w:spacing w:line="331" w:lineRule="auto"/>
        <w:ind w:left="600"/>
        <w:rPr>
          <w:rFonts w:ascii="굴림" w:eastAsia="굴림"/>
          <w:b/>
          <w:color w:val="000000"/>
          <w:shd w:val="clear" w:color="000000"/>
        </w:rPr>
      </w:pPr>
    </w:p>
    <w:p>
      <w:pPr>
        <w:pStyle w:val="1"/>
        <w:widowControl w:val="off"/>
      </w:pPr>
      <w:r>
        <w:rPr/>
        <w:t>서귀포시 축제사업 22건은 총 43억 원의 예산 투입으로 도내 55억 원의 1차 정책지출 효과(승수 약 1.28배)를 안정적으로 창출함</w:t>
      </w:r>
    </w:p>
    <w:p>
      <w:pPr>
        <w:pStyle w:val="2"/>
        <w:widowControl w:val="off"/>
      </w:pPr>
      <w:r>
        <w:rPr/>
        <w:t>사업 규모와 관계없이 1.19~1.33배 범위의 균질한 패턴</w:t>
      </w:r>
    </w:p>
    <w:p>
      <w:pPr>
        <w:pStyle w:val="2"/>
        <w:widowControl w:val="off"/>
      </w:pPr>
      <w:r>
        <w:rPr/>
        <w:t>이는 정책 의사결정의 신뢰 가능한 기준선으로 해석할 수 있음</w:t>
      </w:r>
    </w:p>
    <w:p>
      <w:pPr>
        <w:pStyle w:val="1"/>
        <w:widowControl w:val="off"/>
      </w:pPr>
      <w:r>
        <w:rPr/>
        <w:t>본 사업군의 1차 정책효과는 한국은행 표준 RIO 승수에 부합하며 사업별 비교 가능한 안정 지표</w:t>
      </w:r>
    </w:p>
    <w:p>
      <w:pPr>
        <w:pStyle w:val="2"/>
        <w:widowControl w:val="off"/>
      </w:pPr>
      <w:r>
        <w:rPr/>
        <w:t>사업 우선순위 결정 시 정책지출 효과의 절대 규모와 부문 구성을 함께 고려해야 함</w:t>
      </w:r>
    </w:p>
    <w:p>
      <w:pPr>
        <w:pStyle w:val="1"/>
        <w:widowControl w:val="off"/>
      </w:pPr>
      <w:r>
        <w:rPr/>
        <w:t>참여자 효과(외지인 파급)는 사업별 잠재력의 방향성은 보여주나, 본 연구의 자료 조건상 사업별 신뢰도 편차가 크므로 단독 지표로는 부적합함</w:t>
      </w:r>
    </w:p>
    <w:p>
      <w:pPr>
        <w:pStyle w:val="2"/>
        <w:widowControl w:val="off"/>
      </w:pPr>
      <w:r>
        <w:rPr/>
        <w:t>본 결과는 외지인 유치 잠재력의 보조 지표로 활용하는 것을 권장함</w:t>
      </w:r>
    </w:p>
    <w:p>
      <w:pPr>
        <w:pStyle w:val="1"/>
        <w:widowControl w:val="off"/>
      </w:pPr>
      <w:r>
        <w:rPr/>
        <w:t>향후 서귀포시가 사업 결과보고서 양식 표준화를 통해 만족도조사·외지인 거주지 자료를 사업 운영 단계에서 정기 축적할 경우, 동일 방법론으로 후속 연구에서 사업별 신뢰도 편차가 완화될 수 있음</w:t>
      </w:r>
    </w:p>
    <w:p>
      <w:pPr>
        <w:pStyle w:val="0"/>
        <w:widowControl w:val="off"/>
        <w:spacing w:line="331" w:lineRule="auto"/>
        <w:rPr>
          <w:rFonts w:ascii="Arial" w:eastAsia="Arial"/>
          <w:color w:val="000000"/>
          <w:sz w:val="22"/>
          <w:shd w:val="clear" w:color="000000"/>
        </w:rPr>
      </w:pPr>
    </w:p>
    <w:p>
      <w:r>
        <w:br w:type="page"/>
      </w:r>
    </w:p>
    <w:p>
      <w:pPr>
        <w:pStyle w:val="1"/>
        <w:widowControl w:val="off"/>
        <w:rPr/>
        <w:sectPr>
          <w:footnotePr>
            <w:numFmt w:val="decimal"/>
            <w:numRestart w:val="continuous"/>
          </w:footnotePr>
          <w:endnotePr>
            <w:pos w:val="docEnd"/>
            <w:numFmt w:val="decimal"/>
            <w:numRestart w:val="continuous"/>
          </w:endnotePr>
          <w:pgSz w:w="10772" w:h="14740"/>
          <w:pgMar w:top="1701" w:right="1701" w:bottom="850" w:left="1417" w:header="1701" w:footer="850" w:gutter="0"/>
          <w:cols w:space="0"/>
        </w:sectPr>
      </w:pPr>
    </w:p>
    <w:p>
      <w:pPr>
        <w:pStyle w:val="0"/>
        <w:widowControl w:val="off"/>
      </w:pPr>
      <w:r>
        <w:rPr>
          <w:rFonts w:eastAsia="KoPubWorld돋움체 Bold"/>
          <w:sz w:val="30"/>
        </w:rPr>
        <w:t>참고문헌</w:t>
      </w:r>
    </w:p>
    <w:p>
      <w:pPr>
        <w:pStyle w:val="0"/>
        <w:widowControl w:val="off"/>
        <w:rPr/>
      </w:pPr>
    </w:p>
    <w:p>
      <w:pPr>
        <w:pStyle w:val="0"/>
        <w:widowControl w:val="off"/>
        <w:rPr/>
      </w:pPr>
    </w:p>
    <w:p>
      <w:pPr>
        <w:pStyle w:val="0"/>
        <w:widowControl w:val="off"/>
      </w:pPr>
      <w:r>
        <w:rPr>
          <w:rFonts w:ascii="KoPubWorld돋움체 Bold" w:eastAsia="KoPubWorld돋움체 Bold"/>
          <w:sz w:val="24"/>
        </w:rPr>
        <w:t>해외 문헌</w:t>
      </w:r>
    </w:p>
    <w:p>
      <w:pPr>
        <w:pStyle w:val="0"/>
        <w:widowControl w:val="off"/>
        <w:rPr/>
      </w:pPr>
    </w:p>
    <w:p>
      <w:pPr>
        <w:pStyle w:val="0"/>
        <w:widowControl w:val="off"/>
        <w:ind w:left="200" w:hanging="200"/>
      </w:pPr>
      <w:r>
        <w:rPr/>
        <w:t>∙</w:t>
      </w:r>
      <w:r>
        <w:rPr/>
        <w:t xml:space="preserve"> ADB(Asian Development Bank), 2025.12. Asian Development Outlook Economist,</w:t>
      </w:r>
      <w:r>
        <w:rPr/>
        <w:t>「</w:t>
      </w:r>
      <w:r>
        <w:rPr/>
        <w:t>2026 세계대전망(The World Ahead: 2026, Economist)</w:t>
      </w:r>
      <w:r>
        <w:rPr/>
        <w:t>」</w:t>
      </w:r>
      <w:r>
        <w:rPr/>
        <w:t xml:space="preserve">, 한국경제신문, e-book </w:t>
      </w:r>
    </w:p>
    <w:p>
      <w:pPr>
        <w:pStyle w:val="0"/>
        <w:widowControl w:val="off"/>
        <w:ind w:left="200" w:hanging="200"/>
      </w:pPr>
      <w:r>
        <w:rPr/>
        <w:t>∙</w:t>
      </w:r>
      <w:r>
        <w:rPr/>
        <w:t xml:space="preserve"> IMF(International Monetary Fund), 2025.10. IMF World Economic Outlook(IMF WEO) </w:t>
      </w:r>
    </w:p>
    <w:p>
      <w:pPr>
        <w:pStyle w:val="0"/>
        <w:widowControl w:val="off"/>
        <w:ind w:left="200" w:hanging="200"/>
      </w:pPr>
      <w:r>
        <w:rPr/>
        <w:t>∙</w:t>
      </w:r>
      <w:r>
        <w:rPr/>
        <w:t xml:space="preserve"> OECD, 2025.12. OECD Economic Outlook </w:t>
      </w:r>
    </w:p>
    <w:p>
      <w:pPr>
        <w:pStyle w:val="0"/>
        <w:widowControl w:val="off"/>
        <w:ind w:left="200" w:hanging="200"/>
      </w:pPr>
      <w:r>
        <w:rPr/>
        <w:t>∙</w:t>
      </w:r>
      <w:r>
        <w:rPr/>
        <w:t xml:space="preserve"> World Bank, 2025.6. World Bank Global Economic Prospects </w:t>
      </w:r>
    </w:p>
    <w:p>
      <w:pPr>
        <w:pStyle w:val="0"/>
        <w:widowControl w:val="off"/>
        <w:rPr/>
      </w:pPr>
    </w:p>
    <w:p>
      <w:pPr>
        <w:pStyle w:val="0"/>
        <w:widowControl w:val="off"/>
        <w:rPr/>
      </w:pPr>
    </w:p>
    <w:p>
      <w:pPr>
        <w:pStyle w:val="0"/>
        <w:widowControl w:val="off"/>
      </w:pPr>
      <w:r>
        <w:rPr>
          <w:rFonts w:ascii="KoPubWorld돋움체 Bold" w:eastAsia="KoPubWorld돋움체 Bold"/>
          <w:sz w:val="24"/>
        </w:rPr>
        <w:t>국내 문헌</w:t>
      </w:r>
    </w:p>
    <w:p>
      <w:pPr>
        <w:pStyle w:val="0"/>
        <w:widowControl w:val="off"/>
        <w:rPr/>
      </w:pPr>
    </w:p>
    <w:p>
      <w:pPr>
        <w:pStyle w:val="0"/>
        <w:widowControl w:val="off"/>
        <w:ind w:left="200" w:hanging="200"/>
      </w:pPr>
      <w:r>
        <w:rPr/>
        <w:t>∙</w:t>
      </w:r>
      <w:r>
        <w:rPr/>
        <w:t xml:space="preserve"> 국립중앙의료원, 2025. 2023년 공공보건의료 주요 통계 </w:t>
      </w:r>
    </w:p>
    <w:p>
      <w:pPr>
        <w:pStyle w:val="0"/>
        <w:widowControl w:val="off"/>
        <w:ind w:left="200" w:hanging="200"/>
      </w:pPr>
      <w:r>
        <w:rPr/>
        <w:t>∙</w:t>
      </w:r>
      <w:r>
        <w:rPr/>
        <w:t xml:space="preserve"> 대외경제정책연구원, 2025.11.11., 2026년 세계경제 전망 </w:t>
      </w:r>
    </w:p>
    <w:p>
      <w:pPr>
        <w:pStyle w:val="0"/>
        <w:widowControl w:val="off"/>
        <w:ind w:left="200" w:hanging="200"/>
      </w:pPr>
      <w:r>
        <w:rPr/>
        <w:t>∙</w:t>
      </w:r>
      <w:r>
        <w:rPr/>
        <w:t xml:space="preserve"> 대외경제정책연구원, 2025.12.01., KIEP-IMF 공동컨퍼런스 2026년 아시아 경제전망 </w:t>
      </w:r>
    </w:p>
    <w:p>
      <w:pPr>
        <w:pStyle w:val="0"/>
        <w:widowControl w:val="off"/>
        <w:ind w:left="200" w:hanging="200"/>
      </w:pPr>
      <w:r>
        <w:rPr/>
        <w:t>∙</w:t>
      </w:r>
      <w:r>
        <w:rPr/>
        <w:t xml:space="preserve"> 산업연구원, 2025.11.24., 2026 경제 산업 전망 </w:t>
      </w:r>
    </w:p>
    <w:p>
      <w:pPr>
        <w:pStyle w:val="0"/>
        <w:widowControl w:val="off"/>
        <w:ind w:left="200" w:hanging="200"/>
      </w:pPr>
      <w:r>
        <w:rPr/>
        <w:t>∙</w:t>
      </w:r>
      <w:r>
        <w:rPr/>
        <w:t xml:space="preserve"> 삼일회계법인, 2025.12., 2026년 국내외 경제전망 </w:t>
      </w:r>
    </w:p>
    <w:p>
      <w:pPr>
        <w:pStyle w:val="0"/>
        <w:widowControl w:val="off"/>
        <w:ind w:left="200" w:hanging="200"/>
      </w:pPr>
      <w:r>
        <w:rPr/>
        <w:t>∙</w:t>
      </w:r>
      <w:r>
        <w:rPr/>
        <w:t xml:space="preserve"> 삼일회계법인, 2025.12., 산업 격변의 시대, 정부의 전략산업정책으로 보는 2026년 산업 지도 </w:t>
      </w:r>
    </w:p>
    <w:p>
      <w:pPr>
        <w:pStyle w:val="0"/>
        <w:widowControl w:val="off"/>
        <w:ind w:left="200" w:hanging="200"/>
      </w:pPr>
      <w:r>
        <w:rPr/>
        <w:t>∙</w:t>
      </w:r>
      <w:r>
        <w:rPr/>
        <w:t xml:space="preserve"> 재정경제부, 2026.01.09., 2026년 경제성장전략 </w:t>
      </w:r>
    </w:p>
    <w:p>
      <w:pPr>
        <w:pStyle w:val="0"/>
        <w:widowControl w:val="off"/>
        <w:ind w:left="200" w:hanging="200"/>
      </w:pPr>
      <w:r>
        <w:rPr/>
        <w:t>∙</w:t>
      </w:r>
      <w:r>
        <w:rPr/>
        <w:t xml:space="preserve"> 제주도의회, 2021. 제3기 제주특별자치도 보건의료발전계획(수정) 및 2022년 시행계획 수립 연구</w:t>
      </w:r>
    </w:p>
    <w:p>
      <w:pPr>
        <w:pStyle w:val="0"/>
        <w:widowControl w:val="off"/>
        <w:ind w:left="200" w:hanging="200"/>
      </w:pPr>
      <w:r>
        <w:rPr/>
        <w:t>∙</w:t>
      </w:r>
      <w:r>
        <w:rPr/>
        <w:t xml:space="preserve"> 제주연구원, 2025. 제주지역 장기요양기관 및 인력 수급 계획 연구. 제주고령사회연구센터 연구보고서 </w:t>
      </w:r>
    </w:p>
    <w:p>
      <w:pPr>
        <w:pStyle w:val="0"/>
        <w:widowControl w:val="off"/>
        <w:ind w:left="200" w:hanging="200"/>
      </w:pPr>
      <w:r>
        <w:rPr/>
        <w:t>∙</w:t>
      </w:r>
      <w:r>
        <w:rPr/>
        <w:t xml:space="preserve"> 제주특별자치도, 제8기(2023~2026) 제주특별자치도 지역보건의료계획 </w:t>
      </w:r>
    </w:p>
    <w:p>
      <w:pPr>
        <w:pStyle w:val="0"/>
        <w:widowControl w:val="off"/>
        <w:ind w:left="200" w:hanging="200"/>
      </w:pPr>
      <w:r>
        <w:rPr/>
        <w:t>∙</w:t>
      </w:r>
      <w:r>
        <w:rPr/>
        <w:t xml:space="preserve"> 조남운, 2024. 제주 민간 주도 우주산업 발전 정책 연구. 제주연구원 기본연구 2024-08</w:t>
      </w:r>
    </w:p>
    <w:p>
      <w:pPr>
        <w:pStyle w:val="0"/>
        <w:widowControl w:val="off"/>
        <w:ind w:left="200" w:hanging="200"/>
      </w:pPr>
      <w:r>
        <w:rPr/>
        <w:t>∙</w:t>
      </w:r>
      <w:r>
        <w:rPr/>
        <w:t xml:space="preserve"> 조남운, 2024. 제주특별자치도 우주산업 육성 정책에 따른 경제적 효과 분석. 제주연구원 정책연구 2024-19 </w:t>
      </w:r>
    </w:p>
    <w:p>
      <w:pPr>
        <w:pStyle w:val="0"/>
        <w:widowControl w:val="off"/>
        <w:ind w:left="200" w:hanging="200"/>
      </w:pPr>
      <w:r>
        <w:rPr/>
        <w:t>∙</w:t>
      </w:r>
      <w:r>
        <w:rPr/>
        <w:t xml:space="preserve"> 한국금융연구원, 2025.11.22., 2026년 경제전망과 정책적 시사점 </w:t>
      </w:r>
    </w:p>
    <w:p>
      <w:r>
        <w:br w:type="page"/>
      </w:r>
    </w:p>
    <w:p>
      <w:pPr>
        <w:pStyle w:val="0"/>
        <w:widowControl w:val="off"/>
      </w:pPr>
      <w:r>
        <w:rPr/>
        <w:t>•</w:t>
      </w:r>
      <w:r>
        <w:rPr/>
        <w:t xml:space="preserve"> 한국개발연구원, 2025.11.12., KDI 경제동향 및 2026년 경제전망 </w:t>
      </w:r>
    </w:p>
    <w:p>
      <w:pPr>
        <w:pStyle w:val="0"/>
        <w:widowControl w:val="off"/>
      </w:pPr>
      <w:r>
        <w:rPr/>
        <w:t>•</w:t>
      </w:r>
      <w:r>
        <w:rPr/>
        <w:t xml:space="preserve"> 한국개발연구원, 2025.11.11., KDI 경제전망(2025년 하반기) </w:t>
      </w:r>
    </w:p>
    <w:p>
      <w:pPr>
        <w:pStyle w:val="0"/>
        <w:widowControl w:val="off"/>
      </w:pPr>
      <w:r>
        <w:rPr/>
        <w:t>•</w:t>
      </w:r>
      <w:r>
        <w:rPr/>
        <w:t xml:space="preserve"> 한국은행, 2025.08.28., 경제전망보고서(2025년 8월) </w:t>
      </w:r>
    </w:p>
    <w:p>
      <w:pPr>
        <w:pStyle w:val="0"/>
        <w:widowControl w:val="off"/>
      </w:pPr>
      <w:r>
        <w:rPr/>
        <w:t>•</w:t>
      </w:r>
      <w:r>
        <w:rPr/>
        <w:t xml:space="preserve"> 한국은행, 2025.11.27., 경제전망보고서(2025년 11월) </w:t>
      </w:r>
    </w:p>
    <w:p>
      <w:pPr>
        <w:pStyle w:val="0"/>
        <w:widowControl w:val="off"/>
      </w:pPr>
      <w:r>
        <w:rPr/>
        <w:t>•</w:t>
      </w:r>
      <w:r>
        <w:rPr/>
        <w:t xml:space="preserve"> 한국은행, 2025.12.17., 물가안정목표 운영상황 점검 </w:t>
      </w:r>
    </w:p>
    <w:p>
      <w:pPr>
        <w:pStyle w:val="0"/>
        <w:widowControl w:val="off"/>
      </w:pPr>
      <w:r>
        <w:rPr/>
        <w:t>•</w:t>
      </w:r>
      <w:r>
        <w:rPr/>
        <w:t xml:space="preserve"> 현대경제연구원, 2024.06.10., 2024년 한국 경제 전망(수정) </w:t>
      </w:r>
    </w:p>
    <w:p>
      <w:pPr>
        <w:pStyle w:val="0"/>
        <w:widowControl w:val="off"/>
        <w:ind w:left="191" w:hanging="191"/>
      </w:pPr>
      <w:r>
        <w:rPr/>
        <w:t>•</w:t>
      </w:r>
      <w:r>
        <w:rPr/>
        <w:t xml:space="preserve"> 현대경제연구원, 2025.09.12., 경제주평 25-17호, 2026년 한국 경제, 어둡고 긴 터널 그 끝이 보이는가 </w:t>
      </w:r>
    </w:p>
    <w:p>
      <w:pPr>
        <w:pStyle w:val="0"/>
        <w:widowControl w:val="off"/>
        <w:ind w:left="183" w:hanging="183"/>
      </w:pPr>
      <w:r>
        <w:rPr/>
        <w:t>•</w:t>
      </w:r>
      <w:r>
        <w:rPr/>
        <w:t xml:space="preserve"> iM증권(리서치본부 투자전략부), 2025.10.27., 2026년 경제 전망: 3가지 축(미-중 패권, AI 생태계 및 자산시장)</w:t>
      </w:r>
    </w:p>
    <w:p>
      <w:pPr>
        <w:pStyle w:val="0"/>
        <w:widowControl w:val="off"/>
        <w:rPr/>
      </w:pPr>
    </w:p>
    <w:p>
      <w:pPr>
        <w:pStyle w:val="0"/>
        <w:widowControl w:val="off"/>
        <w:rPr/>
      </w:pPr>
    </w:p>
    <w:p>
      <w:pPr>
        <w:pStyle w:val="0"/>
        <w:widowControl w:val="off"/>
      </w:pPr>
      <w:r>
        <w:rPr>
          <w:rFonts w:ascii="KoPubWorld돋움체 Bold" w:eastAsia="KoPubWorld돋움체 Bold"/>
          <w:sz w:val="24"/>
        </w:rPr>
        <w:t>기타 자료</w:t>
      </w:r>
    </w:p>
    <w:p>
      <w:pPr>
        <w:pStyle w:val="0"/>
        <w:widowControl w:val="off"/>
        <w:rPr/>
      </w:pPr>
    </w:p>
    <w:p>
      <w:pPr>
        <w:pStyle w:val="0"/>
        <w:widowControl w:val="off"/>
      </w:pPr>
      <w:r>
        <w:rPr/>
        <w:t>•</w:t>
      </w:r>
      <w:r>
        <w:rPr/>
        <w:t xml:space="preserve"> 고용노동부, 보도자료, 2025.11.12., 2025년 10월 고용동향 분석 </w:t>
      </w:r>
    </w:p>
    <w:p>
      <w:pPr>
        <w:pStyle w:val="0"/>
        <w:widowControl w:val="off"/>
        <w:ind w:left="206" w:hanging="206"/>
      </w:pPr>
      <w:r>
        <w:rPr/>
        <w:t>•</w:t>
      </w:r>
      <w:r>
        <w:rPr/>
        <w:t xml:space="preserve"> 대한민국 정책브리핑, 정책뉴스, 2025.12.17., 산업부, 내년 초 ‘5극 3특’ 성장엔진 산업 선정</w:t>
      </w:r>
      <w:r>
        <w:rPr/>
        <w:t>…</w:t>
      </w:r>
      <w:r>
        <w:rPr/>
        <w:t xml:space="preserve">AI 팩토리 500곳으로 확대 </w:t>
      </w:r>
    </w:p>
    <w:p>
      <w:pPr>
        <w:pStyle w:val="0"/>
        <w:widowControl w:val="off"/>
      </w:pPr>
      <w:r>
        <w:rPr/>
        <w:t>•</w:t>
      </w:r>
      <w:r>
        <w:rPr/>
        <w:t xml:space="preserve"> 대한상공회의소, 보도자료, 2025.12.15., 2026년 산업기상도 전망 조사 </w:t>
      </w:r>
    </w:p>
    <w:p>
      <w:pPr>
        <w:pStyle w:val="0"/>
        <w:widowControl w:val="off"/>
      </w:pPr>
      <w:r>
        <w:rPr/>
        <w:t>•</w:t>
      </w:r>
      <w:r>
        <w:rPr/>
        <w:t xml:space="preserve"> 탄소중립녹색성장위원회, 홍보자료, 2025.07.31., RE100(재성에너지 100%) </w:t>
      </w:r>
    </w:p>
    <w:p>
      <w:pPr>
        <w:pStyle w:val="0"/>
        <w:widowControl w:val="off"/>
      </w:pPr>
      <w:r>
        <w:rPr/>
        <w:t>•</w:t>
      </w:r>
      <w:r>
        <w:rPr/>
        <w:t xml:space="preserve"> 한국금융연구원, 영상보고서, 2025.12.03., 2026년 경제를 흔들 7가지 핵심 이슈 </w:t>
      </w:r>
    </w:p>
    <w:p>
      <w:pPr>
        <w:pStyle w:val="0"/>
        <w:widowControl w:val="off"/>
        <w:ind w:left="181" w:hanging="181"/>
      </w:pPr>
      <w:r>
        <w:rPr/>
        <w:t>•</w:t>
      </w:r>
      <w:r>
        <w:rPr/>
        <w:t xml:space="preserve"> 한국무역협회, 무역뉴스, 2025.12.11., [2026년 상반기 환율 전망] “경제체질 개선 없으면 고환율 뉴노멀 지속”</w:t>
      </w:r>
    </w:p>
    <w:p>
      <w:pPr>
        <w:pStyle w:val="0"/>
        <w:widowControl w:val="off"/>
        <w:ind w:left="216" w:hanging="216"/>
      </w:pPr>
      <w:r>
        <w:rPr/>
        <w:t>•</w:t>
      </w:r>
      <w:r>
        <w:rPr/>
        <w:t xml:space="preserve"> KDI 경제교육</w:t>
      </w:r>
      <w:r>
        <w:rPr/>
        <w:t>‧정보센터</w:t>
      </w:r>
      <w:r>
        <w:rPr/>
        <w:t xml:space="preserve">, 경제정책해설, 2025.10., 올해 대비 19.3% 늘어난 내년 R&amp;D 예산 안 35조3천억 원으로 역대 최대 </w:t>
      </w:r>
    </w:p>
    <w:p>
      <w:pPr>
        <w:pStyle w:val="0"/>
        <w:widowControl w:val="off"/>
        <w:rPr/>
      </w:pPr>
    </w:p>
    <w:p>
      <w:pPr>
        <w:pStyle w:val="0"/>
        <w:widowControl w:val="off"/>
        <w:rPr/>
      </w:pPr>
    </w:p>
    <w:p>
      <w:pPr>
        <w:pStyle w:val="0"/>
        <w:widowControl w:val="off"/>
      </w:pPr>
      <w:r>
        <w:rPr>
          <w:rFonts w:ascii="KoPubWorld돋움체 Bold" w:eastAsia="KoPubWorld돋움체 Bold"/>
          <w:sz w:val="24"/>
        </w:rPr>
        <w:t>통계 자료</w:t>
      </w:r>
      <w:r>
        <w:rPr/>
        <w:t xml:space="preserve"> </w:t>
      </w:r>
    </w:p>
    <w:p>
      <w:pPr>
        <w:pStyle w:val="0"/>
        <w:widowControl w:val="off"/>
        <w:rPr>
          <w:color w:val="000000"/>
          <w:sz w:val="14"/>
        </w:rPr>
      </w:pPr>
    </w:p>
    <w:p>
      <w:pPr>
        <w:pStyle w:val="0"/>
        <w:widowControl w:val="off"/>
      </w:pPr>
      <w:r>
        <w:rPr/>
        <w:t>•</w:t>
      </w:r>
      <w:r>
        <w:rPr/>
        <w:t xml:space="preserve"> 시도별 경제활동별 지역내총생산, 2025.12.23.(자료갱신일), 국가데이터처 </w:t>
      </w:r>
    </w:p>
    <w:p>
      <w:pPr>
        <w:pStyle w:val="0"/>
        <w:widowControl w:val="off"/>
      </w:pPr>
      <w:r>
        <w:rPr/>
        <w:t>•</w:t>
      </w:r>
      <w:r>
        <w:rPr/>
        <w:t xml:space="preserve"> 대한건설협회 제주특별자치도회, 제주지역 건설수주액 자료 </w:t>
      </w:r>
    </w:p>
    <w:p>
      <w:pPr>
        <w:pStyle w:val="0"/>
        <w:widowControl w:val="off"/>
      </w:pPr>
      <w:r>
        <w:rPr/>
        <w:t>•</w:t>
      </w:r>
      <w:r>
        <w:rPr/>
        <w:t xml:space="preserve"> 시도별 경제활동별 지역내총생산, 국가데이터처 </w:t>
      </w:r>
    </w:p>
    <w:p>
      <w:pPr>
        <w:pStyle w:val="0"/>
        <w:widowControl w:val="off"/>
      </w:pPr>
      <w:r>
        <w:rPr/>
        <w:t>•</w:t>
      </w:r>
      <w:r>
        <w:rPr/>
        <w:t xml:space="preserve"> 시도별·분기 지역내총생산, KOSIS(국가통계포털) </w:t>
      </w:r>
    </w:p>
    <w:p>
      <w:pPr>
        <w:pStyle w:val="0"/>
        <w:widowControl w:val="off"/>
      </w:pPr>
      <w:r>
        <w:rPr/>
        <w:t>•</w:t>
      </w:r>
      <w:r>
        <w:rPr/>
        <w:t xml:space="preserve"> 한국은행 경제통계시스템(ECOS) </w:t>
      </w:r>
    </w:p>
    <w:p>
      <w:pPr>
        <w:pStyle w:val="0"/>
        <w:widowControl w:val="off"/>
      </w:pPr>
      <w:r>
        <w:rPr/>
        <w:t>•</w:t>
      </w:r>
      <w:r>
        <w:rPr/>
        <w:t xml:space="preserve"> KODATA</w:t>
      </w:r>
    </w:p>
    <w:sectPr>
      <w:footnotePr>
        <w:numFmt w:val="decimal"/>
        <w:numRestart w:val="continuous"/>
      </w:footnotePr>
      <w:endnotePr>
        <w:pos w:val="docEnd"/>
        <w:numFmt w:val="decimal"/>
        <w:numRestart w:val="continuous"/>
      </w:endnotePr>
      <w:pgSz w:w="10772" w:h="14740"/>
      <w:pgMar w:top="1701" w:right="1701" w:bottom="850" w:left="1701" w:header="1701"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4">
    <w:multiLevelType w:val="hybridMultilevel"/>
    <w:lvl w:ilvl="0">
      <w:start w:val="1"/>
      <w:numFmt w:val="bullet"/>
      <w:suff w:val="space"/>
      <w:lvlText w:val="￭"/>
      <w:lvlJc w:val="left"/>
    </w:lvl>
  </w:abstractNum>
  <w:abstractNum w:abstractNumId="201">
    <w:multiLevelType w:val="hybridMultilevel"/>
    <w:lvl w:ilvl="0">
      <w:start w:val="1"/>
      <w:numFmt w:val="bullet"/>
      <w:suff w:val="space"/>
      <w:lvlText w:val="￭"/>
      <w:lvlJc w:val="left"/>
    </w:lvl>
  </w:abstractNum>
  <w:abstractNum w:abstractNumId="202">
    <w:multiLevelType w:val="hybridMultilevel"/>
    <w:lvl w:ilvl="0">
      <w:start w:val="1"/>
      <w:numFmt w:val="bullet"/>
      <w:suff w:val="space"/>
      <w:lvlText w:val="-"/>
      <w:lvlJc w:val="left"/>
    </w:lvl>
  </w:abstractNum>
  <w:abstractNum w:abstractNumId="203">
    <w:multiLevelType w:val="multilevel"/>
    <w:lvl w:ilvl="0">
      <w:start w:val="1"/>
      <w:numFmt w:val="decimal"/>
      <w:suff w:val="space"/>
      <w:lvlText w:val="%1."/>
      <w:lvlJc w:val="left"/>
      <w:pStyle w:val="3"/>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hybridMultilevel"/>
    <w:lvl w:ilvl="0">
      <w:start w:val="1"/>
      <w:numFmt w:val="bullet"/>
      <w:suff w:val="space"/>
      <w:lvlText w:val=""/>
      <w:lvlJc w:val="left"/>
      <w:rPr/>
    </w:lvl>
  </w:abstractNum>
  <w:abstractNum w:abstractNumId="21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13"/>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16">
    <w:multiLevelType w:val="hybridMultilevel"/>
    <w:lvl w:ilvl="0">
      <w:start w:val="1"/>
      <w:numFmt w:val="bullet"/>
      <w:suff w:val="space"/>
      <w:lvlText w:val="-"/>
      <w:lvlJc w:val="left"/>
    </w:lvl>
  </w:abstractNum>
  <w:abstractNum w:abstractNumId="217">
    <w:multiLevelType w:val="multilevel"/>
    <w:lvl w:ilvl="0">
      <w:start w:val="1"/>
      <w:numFmt w:val="decimal"/>
      <w:suff w:val="space"/>
      <w:lvlText w:val="%1."/>
      <w:lvlJc w:val="left"/>
    </w:lvl>
    <w:lvl w:ilvl="1">
      <w:start w:val="1"/>
      <w:numFmt w:val="ganada"/>
      <w:suff w:val="space"/>
      <w:lvlText w:val="%2."/>
      <w:lvlJc w:val="left"/>
      <w:pStyle w:val="17"/>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4">
    <w:abstractNumId w:val="4"/>
  </w:num>
  <w:num w:numId="201">
    <w:abstractNumId w:val="201"/>
  </w:num>
  <w:num w:numId="202">
    <w:abstractNumId w:val="202"/>
  </w:num>
  <w:num w:numId="203">
    <w:abstractNumId w:val="203"/>
  </w:num>
  <w:num w:numId="204">
    <w:abstractNumId w:val="204"/>
  </w:num>
  <w:num w:numId="205">
    <w:abstractNumId w:val="205"/>
  </w:num>
  <w:num w:numId="206">
    <w:abstractNumId w:val="206"/>
  </w:num>
  <w:num w:numId="213">
    <w:abstractNumId w:val="213"/>
  </w:num>
  <w:num w:numId="216">
    <w:abstractNumId w:val="216"/>
  </w:num>
  <w:num w:numId="217">
    <w:abstractNumId w:val="217"/>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0" w:right="0" w:firstLine="0"/>
      <w:jc w:val="both"/>
      <w:textAlignment w:val="baseline"/>
    </w:pPr>
    <w:rPr>
      <w:rFonts w:ascii="KoPubWorld돋움체 Medium" w:eastAsia="KoPubWorld돋움체 Medium"/>
      <w:color w:val="03004c"/>
      <w:sz w:val="20"/>
      <w:shd w:val="clear" w:color="999999"/>
    </w:rPr>
  </w:style>
  <w:style w:type="paragraph" w:styleId="1">
    <w:name w:val="￭ "/>
    <w:uiPriority w:val="1"/>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432" w:lineRule="auto"/>
      <w:ind w:left="100" w:right="0" w:firstLine="0"/>
      <w:jc w:val="both"/>
      <w:textAlignment w:val="baseline"/>
      <w:numPr>
        <w:numId w:val="201"/>
        <w:ilvl w:val="0"/>
      </w:numPr>
    </w:pPr>
    <w:rPr>
      <w:rFonts w:ascii="KoPub돋움체 Medium" w:eastAsia="KoPub돋움체 Medium"/>
      <w:color w:val="000000"/>
      <w:spacing w:val="-5"/>
      <w:w w:val="95"/>
      <w:sz w:val="22"/>
    </w:rPr>
  </w:style>
  <w:style w:type="paragraph" w:styleId="2">
    <w:name w:val="- "/>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40" w:line="384" w:lineRule="auto"/>
      <w:ind w:left="300" w:right="0" w:firstLine="0"/>
      <w:jc w:val="both"/>
      <w:textAlignment w:val="baseline"/>
      <w:numPr>
        <w:numId w:val="202"/>
        <w:ilvl w:val="0"/>
      </w:numPr>
    </w:pPr>
    <w:rPr>
      <w:rFonts w:ascii="KoPub돋움체 Medium" w:eastAsia="KoPub돋움체 Medium"/>
      <w:dstrike w:val="0"/>
      <w:strike w:val="0"/>
      <w:color w:val="000000"/>
      <w:spacing w:val="-5"/>
      <w:sz w:val="22"/>
      <w:shd w:val="clear" w:color="000000"/>
    </w:rPr>
  </w:style>
  <w:style w:type="paragraph" w:styleId="3">
    <w:name w:val="로마자"/>
    <w:uiPriority w:val="3"/>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1000" w:line="384" w:lineRule="auto"/>
      <w:ind w:left="0" w:right="0" w:firstLine="0"/>
      <w:jc w:val="both"/>
      <w:textAlignment w:val="baseline"/>
      <w:outlineLvl w:val="0"/>
      <w:numPr>
        <w:numId w:val="203"/>
        <w:ilvl w:val="0"/>
      </w:numPr>
    </w:pPr>
    <w:rPr>
      <w:rFonts w:ascii="KoPubWorld돋움체 Bold" w:eastAsia="KoPubWorld돋움체 Bold"/>
      <w:b/>
      <w:color w:val="06004b"/>
      <w:sz w:val="40"/>
    </w:rPr>
  </w:style>
  <w:style w:type="paragraph" w:styleId="4">
    <w:name w:val="1."/>
    <w:uiPriority w:val="4"/>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0" w:line="600" w:lineRule="auto"/>
      <w:ind w:left="0" w:right="0" w:firstLine="0"/>
      <w:jc w:val="both"/>
      <w:textAlignment w:val="baseline"/>
      <w:outlineLvl w:val="1"/>
      <w:numPr>
        <w:numId w:val="204"/>
        <w:ilvl w:val="1"/>
      </w:numPr>
    </w:pPr>
    <w:rPr>
      <w:rFonts w:ascii="KoPubWorld돋움체 Bold" w:eastAsia="KoPubWorld돋움체 Bold"/>
      <w:b/>
      <w:color w:val="06004b"/>
      <w:sz w:val="26"/>
    </w:rPr>
  </w:style>
  <w:style w:type="paragraph" w:styleId="5">
    <w:name w:val="1)"/>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0" w:right="0" w:firstLine="0"/>
      <w:jc w:val="both"/>
      <w:textAlignment w:val="baseline"/>
      <w:outlineLvl w:val="2"/>
      <w:numPr>
        <w:numId w:val="205"/>
        <w:ilvl w:val="2"/>
      </w:numPr>
    </w:pPr>
    <w:rPr>
      <w:rFonts w:ascii="KoPubWorld돋움체 Bold" w:eastAsia="KoPubWorld돋움체 Bold"/>
      <w:color w:val="03004c"/>
      <w:sz w:val="22"/>
      <w:shd w:val="clear" w:color="999999"/>
    </w:rPr>
  </w:style>
  <w:style w:type="paragraph" w:styleId="6">
    <w:name w:val="⦁"/>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400" w:right="0" w:firstLine="0"/>
      <w:jc w:val="both"/>
      <w:textAlignment w:val="baseline"/>
      <w:numPr>
        <w:numId w:val="206"/>
        <w:ilvl w:val="0"/>
      </w:numPr>
    </w:pPr>
    <w:rPr>
      <w:rFonts w:ascii="KoPubWorld돋움체 Light" w:eastAsia="KoPubWorld돋움체 Light"/>
      <w:color w:val="000000"/>
      <w:spacing w:val="-5"/>
      <w:w w:val="95"/>
      <w:sz w:val="22"/>
      <w:shd w:val="clear" w:color="999999"/>
    </w:rPr>
  </w:style>
  <w:style w:type="paragraph" w:styleId="7">
    <w:name w:val="표제목"/>
    <w:uiPriority w:val="7"/>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100" w:line="191" w:lineRule="atLeast"/>
      <w:ind w:left="0" w:right="0" w:firstLine="0"/>
      <w:jc w:val="both"/>
      <w:textAlignment w:val="baseline"/>
    </w:pPr>
    <w:rPr>
      <w:rFonts w:ascii="KoPubWorld돋움체 Bold" w:eastAsia="KoPubWorld돋움체 Bold"/>
      <w:b/>
      <w:color w:val="06004b"/>
      <w:sz w:val="20"/>
    </w:rPr>
  </w:style>
  <w:style w:type="paragraph" w:styleId="8">
    <w:name w:val="표내용"/>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24" w:lineRule="auto"/>
      <w:ind w:left="100" w:right="100" w:firstLine="0"/>
      <w:jc w:val="both"/>
      <w:textAlignment w:val="baseline"/>
    </w:pPr>
    <w:rPr>
      <w:rFonts w:ascii="KoPubWorld돋움체 Medium" w:eastAsia="KoPubWorld돋움체 Medium"/>
      <w:color w:val="03004c"/>
      <w:sz w:val="18"/>
      <w:shd w:val="clear" w:color="999999"/>
    </w:rPr>
  </w:style>
  <w:style w:type="paragraph" w:styleId="9">
    <w:name w:val="단위"/>
    <w:uiPriority w:val="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right"/>
      <w:textAlignment w:val="baseline"/>
    </w:pPr>
    <w:rPr>
      <w:rFonts w:ascii="KoPubWorld돋움체 Medium" w:eastAsia="KoPubWorld돋움체 Medium"/>
      <w:color w:val="03004c"/>
      <w:sz w:val="18"/>
      <w:shd w:val="clear" w:color="999999"/>
    </w:rPr>
  </w:style>
  <w:style w:type="paragraph" w:styleId="10">
    <w:name w:val="자료"/>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36" w:lineRule="auto"/>
      <w:ind w:left="434" w:right="0" w:hanging="434"/>
      <w:jc w:val="both"/>
      <w:textAlignment w:val="baseline"/>
    </w:pPr>
    <w:rPr>
      <w:rFonts w:ascii="KoPubWorld돋움체 Medium" w:eastAsia="KoPubWorld돋움체 Medium"/>
      <w:color w:val="03004c"/>
      <w:sz w:val="18"/>
      <w:shd w:val="clear" w:color="999999"/>
    </w:rPr>
  </w:style>
  <w:style w:type="paragraph" w:styleId="11">
    <w:name w:val="각주1"/>
    <w:uiPriority w:val="11"/>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0" w:line="324" w:lineRule="auto"/>
      <w:ind w:left="233" w:right="0" w:hanging="233"/>
      <w:jc w:val="both"/>
      <w:textAlignment w:val="baseline"/>
    </w:pPr>
    <w:rPr>
      <w:rFonts w:ascii="KoPub돋움체 Light" w:eastAsia="KoPub돋움체 Light"/>
      <w:color w:val="03004c"/>
      <w:sz w:val="18"/>
    </w:rPr>
  </w:style>
  <w:style w:type="character" w:styleId="12">
    <w:name w:val="쪽 번호"/>
    <w:uiPriority w:val="12"/>
    <w:rPr>
      <w:rFonts w:ascii="함초롬돋움" w:eastAsia="함초롬돋움"/>
      <w:color w:val="000000"/>
      <w:sz w:val="20"/>
      <w:shd w:val="clear" w:color="999999"/>
    </w:rPr>
  </w:style>
  <w:style w:type="paragraph" w:styleId="13">
    <w:name w:val="JRI_항제목"/>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200" w:line="384" w:lineRule="auto"/>
      <w:ind w:left="0" w:right="0" w:firstLine="0"/>
      <w:jc w:val="both"/>
      <w:textAlignment w:val="baseline"/>
      <w:outlineLvl w:val="2"/>
      <w:numPr>
        <w:numId w:val="213"/>
        <w:ilvl w:val="2"/>
      </w:numPr>
    </w:pPr>
    <w:rPr>
      <w:rFonts w:ascii="KoPub돋움체 Medium" w:eastAsia="KoPub돋움체 Medium"/>
      <w:dstrike w:val="0"/>
      <w:strike w:val="0"/>
      <w:color w:val="000000"/>
      <w:w w:val="95"/>
      <w:sz w:val="24"/>
      <w:shd w:val="clear" w:color="000000"/>
    </w:rPr>
  </w:style>
  <w:style w:type="paragraph" w:styleId="14">
    <w:name w:val="JRI_표내용"/>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0" w:right="20" w:firstLine="0"/>
      <w:jc w:val="both"/>
      <w:textAlignment w:val="baseline"/>
    </w:pPr>
    <w:rPr>
      <w:rFonts w:ascii="KoPub돋움체 Light" w:eastAsia="KoPub돋움체 Light"/>
      <w:dstrike w:val="0"/>
      <w:strike w:val="0"/>
      <w:color w:val="000000"/>
      <w:w w:val="95"/>
      <w:sz w:val="20"/>
      <w:shd w:val="clear" w:color="000000"/>
    </w:rPr>
  </w:style>
  <w:style w:type="paragraph" w:styleId="15">
    <w:name w:val="JRI_각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40" w:right="0" w:hanging="240"/>
      <w:jc w:val="both"/>
      <w:textAlignment w:val="baseline"/>
    </w:pPr>
    <w:rPr>
      <w:rFonts w:ascii="KoPub돋움체 Light" w:eastAsia="KoPub돋움체 Light"/>
      <w:color w:val="000000"/>
      <w:spacing w:val="-1"/>
      <w:w w:val="95"/>
      <w:sz w:val="16"/>
      <w:shd w:val="clear" w:color="000000"/>
    </w:rPr>
  </w:style>
  <w:style w:type="paragraph" w:styleId="16">
    <w:name w:val="JRI_-"/>
    <w:uiPriority w:val="1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60" w:line="360" w:lineRule="auto"/>
      <w:ind w:left="200" w:right="0" w:firstLine="0"/>
      <w:jc w:val="both"/>
      <w:textAlignment w:val="baseline"/>
      <w:numPr>
        <w:numId w:val="216"/>
        <w:ilvl w:val="0"/>
      </w:numPr>
    </w:pPr>
    <w:rPr>
      <w:rFonts w:ascii="KoPub돋움체 Light" w:eastAsia="KoPub돋움체 Light"/>
      <w:dstrike w:val="0"/>
      <w:strike w:val="0"/>
      <w:color w:val="000000"/>
      <w:w w:val="95"/>
      <w:sz w:val="20"/>
      <w:shd w:val="clear" w:color="000000"/>
    </w:rPr>
  </w:style>
  <w:style w:type="paragraph" w:styleId="17">
    <w:name w:val="JRI_절제목"/>
    <w:uiPriority w:val="1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36" w:lineRule="auto"/>
      <w:ind w:left="0" w:right="0" w:firstLine="0"/>
      <w:jc w:val="both"/>
      <w:textAlignment w:val="baseline"/>
      <w:outlineLvl w:val="1"/>
      <w:numPr>
        <w:numId w:val="217"/>
        <w:ilvl w:val="1"/>
      </w:numPr>
    </w:pPr>
    <w:rPr>
      <w:rFonts w:ascii="KoPub돋움체 Bold" w:eastAsia="KoPub돋움체 Bold"/>
      <w:dstrike w:val="0"/>
      <w:strike w:val="0"/>
      <w:color w:val="000000"/>
      <w:w w:val="95"/>
      <w:sz w:val="30"/>
      <w:shd w:val="clear" w:color="000000"/>
    </w:rPr>
  </w:style>
  <w:style w:type="paragraph" w:styleId="18">
    <w:name w:val="캡션"/>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100" w:after="0" w:line="384" w:lineRule="auto"/>
      <w:ind w:left="0" w:right="0" w:firstLine="0"/>
      <w:jc w:val="center"/>
      <w:textAlignment w:val="baseline"/>
    </w:pPr>
    <w:rPr>
      <w:rFonts w:ascii="제주명조" w:eastAsia="제주명조"/>
      <w:color w:val="000000"/>
      <w:spacing w:val="-5"/>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image" Target="media/image2.jpeg"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CONTENTS</dc:title>
  <dc:creator>김재환</dc:creator>
  <cp:lastModifiedBy>조남운</cp:lastModifiedBy>
  <dcterms:created xsi:type="dcterms:W3CDTF">2026-03-18T06:59:28.000</dcterms:created>
  <dcterms:modified xsi:type="dcterms:W3CDTF">2026-05-11T22:41:46.654</dcterms:modified>
  <cp:version>0501.0100.01</cp:version>
</cp:coreProperties>
</file>