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480" w:after="240" w:line="324" w:lineRule="auto"/>
        <w:jc w:val="center"/>
      </w:pPr>
      <w:r>
        <w:rPr>
          <w:rFonts w:ascii="SimHei" w:hAnsi="SimHei" w:eastAsia="SimHei"/>
          <w:b/>
          <w:color w:val="334A54"/>
          <w:sz w:val="44"/>
        </w:rPr>
        <w:t>现代机器学习模型实战</w:t>
      </w:r>
    </w:p>
    <w:p>
      <w:pPr>
        <w:spacing w:before="0" w:after="600" w:line="324" w:lineRule="auto"/>
        <w:jc w:val="center"/>
      </w:pPr>
      <w:r>
        <w:rPr>
          <w:rFonts w:ascii="SimHei" w:hAnsi="SimHei" w:eastAsia="SimHei"/>
          <w:b/>
          <w:color w:val="334A54"/>
          <w:sz w:val="44"/>
        </w:rPr>
        <w:t>综合实训报告</w:t>
      </w:r>
    </w:p>
    <w:p>
      <w:pPr>
        <w:spacing w:before="0" w:after="120" w:line="324" w:lineRule="auto"/>
        <w:jc w:val="center"/>
      </w:pPr>
      <w:r>
        <w:rPr>
          <w:rFonts w:ascii="SimHei" w:hAnsi="SimHei" w:eastAsia="SimHei"/>
          <w:b w:val="0"/>
          <w:color w:val="505050"/>
          <w:sz w:val="26"/>
        </w:rPr>
        <w:t>实验三: 基于 UCI HAR 的人体活动识别 - 多模型对比</w:t>
      </w:r>
    </w:p>
    <w:p>
      <w:pPr>
        <w:spacing w:before="0" w:after="480" w:line="324" w:lineRule="auto"/>
        <w:jc w:val="center"/>
      </w:pPr>
      <w:r>
        <w:rPr>
          <w:rFonts w:ascii="SimHei" w:hAnsi="SimHei" w:eastAsia="SimHei"/>
          <w:b w:val="0"/>
          <w:color w:val="505050"/>
          <w:sz w:val="26"/>
        </w:rPr>
        <w:t>实验四: 基于 CNN 的 MNIST 手写数字识别</w:t>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pPr>
      <w:r>
        <w:rPr>
          <w:rFonts w:ascii="SimHei" w:hAnsi="SimHei" w:eastAsia="SimHei"/>
          <w:b w:val="0"/>
          <w:color w:val="3C3C3C"/>
          <w:sz w:val="24"/>
        </w:rPr>
      </w:r>
    </w:p>
    <w:p>
      <w:pPr>
        <w:spacing w:before="0" w:after="80" w:line="324" w:lineRule="auto"/>
        <w:jc w:val="center"/>
      </w:pPr>
      <w:r>
        <w:rPr>
          <w:rFonts w:ascii="SimHei" w:hAnsi="SimHei" w:eastAsia="SimHei"/>
          <w:b w:val="0"/>
          <w:color w:val="505050"/>
          <w:sz w:val="24"/>
        </w:rPr>
        <w:t>2026 年小学期 - 机器学习课程</w:t>
      </w:r>
    </w:p>
    <w:p>
      <w:pPr>
        <w:spacing w:before="0" w:after="80" w:line="324" w:lineRule="auto"/>
        <w:jc w:val="center"/>
      </w:pPr>
      <w:r>
        <w:rPr>
          <w:rFonts w:ascii="SimHei" w:hAnsi="SimHei" w:eastAsia="SimHei"/>
          <w:b w:val="0"/>
          <w:color w:val="505050"/>
          <w:sz w:val="24"/>
        </w:rPr>
        <w:t>河南大学 数学与统计学院</w:t>
      </w:r>
    </w:p>
    <w:p>
      <w:pPr>
        <w:spacing w:before="0" w:after="80" w:line="324" w:lineRule="auto"/>
        <w:jc w:val="center"/>
      </w:pPr>
      <w:r>
        <w:rPr>
          <w:rFonts w:ascii="SimHei" w:hAnsi="SimHei" w:eastAsia="SimHei"/>
          <w:b w:val="0"/>
          <w:color w:val="505050"/>
          <w:sz w:val="24"/>
        </w:rPr>
        <w:t>指导教师: 杨利军</w:t>
      </w:r>
    </w:p>
    <w:p>
      <w:pPr>
        <w:spacing w:before="0" w:after="80" w:line="324" w:lineRule="auto"/>
        <w:jc w:val="center"/>
      </w:pPr>
      <w:r>
        <w:rPr>
          <w:rFonts w:ascii="SimHei" w:hAnsi="SimHei" w:eastAsia="SimHei"/>
          <w:b w:val="0"/>
          <w:color w:val="505050"/>
          <w:sz w:val="24"/>
        </w:rPr>
        <w:t>AI 辅助: DeepSeek-v4-pro (本地部署)</w:t>
      </w:r>
    </w:p>
    <w:p>
      <w:pPr>
        <w:spacing w:before="0" w:after="80" w:line="324" w:lineRule="auto"/>
        <w:jc w:val="center"/>
      </w:pPr>
      <w:r>
        <w:rPr>
          <w:rFonts w:ascii="SimHei" w:hAnsi="SimHei" w:eastAsia="SimHei"/>
          <w:b w:val="0"/>
          <w:color w:val="505050"/>
          <w:sz w:val="24"/>
        </w:rPr>
        <w:t>日期: 2026 年 7 月 14 日</w:t>
      </w:r>
    </w:p>
    <w:p>
      <w:r>
        <w:br w:type="page"/>
      </w:r>
    </w:p>
    <w:p>
      <w:pPr>
        <w:spacing w:before="240" w:after="360" w:line="324" w:lineRule="auto"/>
        <w:jc w:val="center"/>
      </w:pPr>
      <w:r>
        <w:rPr>
          <w:rFonts w:ascii="SimHei" w:hAnsi="SimHei" w:eastAsia="SimHei"/>
          <w:b/>
          <w:color w:val="334A54"/>
          <w:sz w:val="36"/>
        </w:rPr>
        <w:t>摘  要</w:t>
      </w:r>
    </w:p>
    <w:p>
      <w:pPr>
        <w:spacing w:before="0" w:after="120" w:line="336" w:lineRule="auto"/>
        <w:ind w:firstLine="420"/>
      </w:pPr>
      <w:r>
        <w:rPr>
          <w:rFonts w:ascii="SimHei" w:hAnsi="SimHei" w:eastAsia="SimHei"/>
          <w:b w:val="0"/>
          <w:color w:val="3C3C3C"/>
          <w:sz w:val="21"/>
        </w:rPr>
        <w:t>本报告为 2026 年小学期《机器学习》课程的综合实训报告, 涵盖实验三 (基于 UCI HAR 数据集的人体活动识别多模型对比) 与实验四 (基于 CNN 的 MNIST 手写数字识别) 两项内容。</w:t>
      </w:r>
    </w:p>
    <w:p>
      <w:pPr>
        <w:spacing w:before="0" w:after="120" w:line="336" w:lineRule="auto"/>
        <w:ind w:firstLine="420"/>
      </w:pPr>
      <w:r>
        <w:rPr>
          <w:rFonts w:ascii="SimHei" w:hAnsi="SimHei" w:eastAsia="SimHei"/>
          <w:b w:val="0"/>
          <w:color w:val="3C3C3C"/>
          <w:sz w:val="21"/>
        </w:rPr>
        <w:t>本报告的所有 Python 代码及报告文本, 均在使用者指令引导下, 由本地部署的 DeepSeek-v4-pro 大语言模型辅助生成。 具体工作流程如下: 使用者向模型提供实验题目、数据集说明和建模要求; 模型根据指令进行代码架构设计, 选定合理的模型超参数与网络结构, 并调用 Python 解释器完成数据预处理、模型训练、结果评估等全部计算任务; 使用者对模型输出的代码和中间结果进行审查, 提出修正意见; 模型根据反馈迭代优化代码和报告内容。 最终报告经使用者确认后定稿输出。</w:t>
      </w:r>
    </w:p>
    <w:p>
      <w:pPr>
        <w:spacing w:before="0" w:after="120" w:line="336" w:lineRule="auto"/>
        <w:ind w:firstLine="420"/>
      </w:pPr>
      <w:r>
        <w:rPr>
          <w:rFonts w:ascii="SimHei" w:hAnsi="SimHei" w:eastAsia="SimHei"/>
          <w:b w:val="0"/>
          <w:color w:val="3C3C3C"/>
          <w:sz w:val="21"/>
        </w:rPr>
        <w:t>在此过程中, DeepSeek-v4-pro 模型承担了代码生成、实验流程编排、超参数抉择、图表可视化、报告撰写与排版等多环节工作, 使用者在关键决策点 (如模型架构选择、报告结构设计等) 进行审查和指导, 形成了「人机协作」的高效工作模式。</w:t>
      </w:r>
    </w:p>
    <w:p>
      <w:pPr>
        <w:spacing w:before="0" w:after="120" w:line="336" w:lineRule="auto"/>
        <w:ind w:firstLine="420"/>
      </w:pPr>
      <w:r>
        <w:rPr>
          <w:rFonts w:ascii="SimHei" w:hAnsi="SimHei" w:eastAsia="SimHei"/>
          <w:b w:val="0"/>
          <w:color w:val="3C3C3C"/>
          <w:sz w:val="21"/>
        </w:rPr>
        <w:t>报告初稿完成后, 使用者进一步要求模型以「挑剔的审稿人」视角, 对实验设计和报告内容进行批判性审查, 寻找实质性缺陷。模型在审查中指出了三个核心问题: (a) 传统 ML 模型经过了超参数搜索和验证集择优, 而 PyTorch 实现的深度时序模型使用固定超参数且无早停, 实验条件不对等导致跨类模型比较存在系统性偏差; (b) 7 个模型的混淆矩阵以图片形式全部罗列但缺乏文字分析, 未能揭示「SITTING 与 STANDING 是最易混淆活动对」这一跨模型的共性规律, 也未能讨论其物理成因和实践意义; (c) 实验四 (MNIST) 与实验三 (HAR) 之间缺乏呼应, 两份实验各自孤立。针对前两个问题, 使用者指令模型在报告中补充了实验条件差异说明 (1.5 节)、混淆矩阵分析 (1.5 节) 和实验局限性讨论 (1.6 节); 第三个问题因两实验设计上本为独立内容, 未做强行关联。这一「AI 生成 — 审稿批判 — 迭代修正」的闭环流程, 有效提升了报告的学术严谨性和内容深度。</w:t>
      </w:r>
    </w:p>
    <w:p>
      <w:pPr>
        <w:spacing w:before="0" w:after="160" w:line="324" w:lineRule="auto"/>
      </w:pPr>
      <w:r>
        <w:rPr>
          <w:rFonts w:ascii="SimHei" w:hAnsi="SimHei" w:eastAsia="SimHei"/>
          <w:b w:val="0"/>
          <w:color w:val="3C3C3C"/>
          <w:sz w:val="12"/>
        </w:rPr>
      </w:r>
    </w:p>
    <w:p>
      <w:pPr>
        <w:spacing w:before="0" w:after="240" w:line="324" w:lineRule="auto"/>
        <w:jc w:val="center"/>
      </w:pPr>
      <w:r>
        <w:rPr>
          <w:rFonts w:ascii="SimHei" w:hAnsi="SimHei" w:eastAsia="SimHei"/>
          <w:b w:val="0"/>
          <w:color w:val="808080"/>
          <w:sz w:val="20"/>
        </w:rPr>
        <w:t>关键词: 机器学习, 深度学习, 模型对比, UCI HAR, MNIST, CNN, DeepSeek</w:t>
      </w:r>
    </w:p>
    <w:p>
      <w:r>
        <w:br w:type="page"/>
      </w:r>
    </w:p>
    <w:p>
      <w:pPr>
        <w:spacing w:before="360" w:after="160" w:line="324" w:lineRule="auto"/>
        <w:pBdr>
          <w:bottom w:val="single" w:sz="8" w:space="4" w:color="9DC8E8"/>
        </w:pBdr>
      </w:pPr>
      <w:r>
        <w:rPr>
          <w:rFonts w:ascii="SimHei" w:hAnsi="SimHei" w:eastAsia="SimHei"/>
          <w:b/>
          <w:color w:val="334A54"/>
          <w:sz w:val="32"/>
        </w:rPr>
        <w:t>目  录</w:t>
      </w:r>
    </w:p>
    <w:p>
      <w:pPr>
        <w:spacing w:before="0" w:after="60" w:line="324" w:lineRule="auto"/>
      </w:pPr>
      <w:r>
        <w:rPr>
          <w:rFonts w:ascii="SimHei" w:hAnsi="SimHei" w:eastAsia="SimHei"/>
          <w:b w:val="0"/>
          <w:color w:val="3C3C3C"/>
          <w:sz w:val="22"/>
        </w:rPr>
        <w:t>一、实验三: UCI HAR 人体活动识别多模型对比</w:t>
      </w:r>
    </w:p>
    <w:p>
      <w:pPr>
        <w:spacing w:before="0" w:after="60" w:line="324" w:lineRule="auto"/>
      </w:pPr>
      <w:r>
        <w:rPr>
          <w:rFonts w:ascii="SimHei" w:hAnsi="SimHei" w:eastAsia="SimHei"/>
          <w:b w:val="0"/>
          <w:color w:val="3C3C3C"/>
          <w:sz w:val="22"/>
        </w:rPr>
        <w:t xml:space="preserve">    1.1 实验情境与目标</w:t>
      </w:r>
    </w:p>
    <w:p>
      <w:pPr>
        <w:spacing w:before="0" w:after="60" w:line="324" w:lineRule="auto"/>
      </w:pPr>
      <w:r>
        <w:rPr>
          <w:rFonts w:ascii="SimHei" w:hAnsi="SimHei" w:eastAsia="SimHei"/>
          <w:b w:val="0"/>
          <w:color w:val="3C3C3C"/>
          <w:sz w:val="22"/>
        </w:rPr>
        <w:t xml:space="preserve">    1.2 数据集介绍</w:t>
      </w:r>
    </w:p>
    <w:p>
      <w:pPr>
        <w:spacing w:before="0" w:after="60" w:line="324" w:lineRule="auto"/>
      </w:pPr>
      <w:r>
        <w:rPr>
          <w:rFonts w:ascii="SimHei" w:hAnsi="SimHei" w:eastAsia="SimHei"/>
          <w:b w:val="0"/>
          <w:color w:val="3C3C3C"/>
          <w:sz w:val="22"/>
        </w:rPr>
        <w:t xml:space="preserve">    1.3 数据预处理与 EDA</w:t>
      </w:r>
    </w:p>
    <w:p>
      <w:pPr>
        <w:spacing w:before="0" w:after="60" w:line="324" w:lineRule="auto"/>
      </w:pPr>
      <w:r>
        <w:rPr>
          <w:rFonts w:ascii="SimHei" w:hAnsi="SimHei" w:eastAsia="SimHei"/>
          <w:b w:val="0"/>
          <w:color w:val="3C3C3C"/>
          <w:sz w:val="22"/>
        </w:rPr>
        <w:t xml:space="preserve">    1.4 模型介绍与方法</w:t>
      </w:r>
    </w:p>
    <w:p>
      <w:pPr>
        <w:spacing w:before="0" w:after="60" w:line="324" w:lineRule="auto"/>
      </w:pPr>
      <w:r>
        <w:rPr>
          <w:rFonts w:ascii="SimHei" w:hAnsi="SimHei" w:eastAsia="SimHei"/>
          <w:b w:val="0"/>
          <w:color w:val="3C3C3C"/>
          <w:sz w:val="22"/>
        </w:rPr>
        <w:t xml:space="preserve">    1.5 实验结果对比分析</w:t>
      </w:r>
    </w:p>
    <w:p>
      <w:pPr>
        <w:spacing w:before="0" w:after="60" w:line="324" w:lineRule="auto"/>
      </w:pPr>
      <w:r>
        <w:rPr>
          <w:rFonts w:ascii="SimHei" w:hAnsi="SimHei" w:eastAsia="SimHei"/>
          <w:b w:val="0"/>
          <w:color w:val="3C3C3C"/>
          <w:sz w:val="22"/>
        </w:rPr>
        <w:t xml:space="preserve">    1.6 实验三小结</w:t>
      </w:r>
    </w:p>
    <w:p>
      <w:pPr>
        <w:spacing w:before="0" w:after="60" w:line="324" w:lineRule="auto"/>
      </w:pPr>
      <w:r>
        <w:rPr>
          <w:rFonts w:ascii="SimHei" w:hAnsi="SimHei" w:eastAsia="SimHei"/>
          <w:b w:val="0"/>
          <w:color w:val="3C3C3C"/>
          <w:sz w:val="22"/>
        </w:rPr>
        <w:t>二、实验四: MNIST 手写数字识别 (CNN)</w:t>
      </w:r>
    </w:p>
    <w:p>
      <w:pPr>
        <w:spacing w:before="0" w:after="60" w:line="324" w:lineRule="auto"/>
      </w:pPr>
      <w:r>
        <w:rPr>
          <w:rFonts w:ascii="SimHei" w:hAnsi="SimHei" w:eastAsia="SimHei"/>
          <w:b w:val="0"/>
          <w:color w:val="3C3C3C"/>
          <w:sz w:val="22"/>
        </w:rPr>
        <w:t xml:space="preserve">    2.1 实验目标</w:t>
      </w:r>
    </w:p>
    <w:p>
      <w:pPr>
        <w:spacing w:before="0" w:after="60" w:line="324" w:lineRule="auto"/>
      </w:pPr>
      <w:r>
        <w:rPr>
          <w:rFonts w:ascii="SimHei" w:hAnsi="SimHei" w:eastAsia="SimHei"/>
          <w:b w:val="0"/>
          <w:color w:val="3C3C3C"/>
          <w:sz w:val="22"/>
        </w:rPr>
        <w:t xml:space="preserve">    2.2 数据集介绍</w:t>
      </w:r>
    </w:p>
    <w:p>
      <w:pPr>
        <w:spacing w:before="0" w:after="60" w:line="324" w:lineRule="auto"/>
      </w:pPr>
      <w:r>
        <w:rPr>
          <w:rFonts w:ascii="SimHei" w:hAnsi="SimHei" w:eastAsia="SimHei"/>
          <w:b w:val="0"/>
          <w:color w:val="3C3C3C"/>
          <w:sz w:val="22"/>
        </w:rPr>
        <w:t xml:space="preserve">    2.3 CNN 模型架构</w:t>
      </w:r>
    </w:p>
    <w:p>
      <w:pPr>
        <w:spacing w:before="0" w:after="60" w:line="324" w:lineRule="auto"/>
      </w:pPr>
      <w:r>
        <w:rPr>
          <w:rFonts w:ascii="SimHei" w:hAnsi="SimHei" w:eastAsia="SimHei"/>
          <w:b w:val="0"/>
          <w:color w:val="3C3C3C"/>
          <w:sz w:val="22"/>
        </w:rPr>
        <w:t xml:space="preserve">    2.4 实验结果分析</w:t>
      </w:r>
    </w:p>
    <w:p>
      <w:pPr>
        <w:spacing w:before="0" w:after="60" w:line="324" w:lineRule="auto"/>
      </w:pPr>
      <w:r>
        <w:rPr>
          <w:rFonts w:ascii="SimHei" w:hAnsi="SimHei" w:eastAsia="SimHei"/>
          <w:b w:val="0"/>
          <w:color w:val="3C3C3C"/>
          <w:sz w:val="22"/>
        </w:rPr>
        <w:t xml:space="preserve">    2.5 实验四小结</w:t>
      </w:r>
    </w:p>
    <w:p>
      <w:pPr>
        <w:spacing w:before="0" w:after="60" w:line="324" w:lineRule="auto"/>
      </w:pPr>
      <w:r>
        <w:rPr>
          <w:rFonts w:ascii="SimHei" w:hAnsi="SimHei" w:eastAsia="SimHei"/>
          <w:b w:val="0"/>
          <w:color w:val="3C3C3C"/>
          <w:sz w:val="22"/>
        </w:rPr>
        <w:t>三、综合总结与模型推荐</w:t>
      </w:r>
    </w:p>
    <w:p>
      <w:r>
        <w:br w:type="page"/>
      </w:r>
    </w:p>
    <w:p>
      <w:pPr>
        <w:spacing w:before="360" w:after="160" w:line="324" w:lineRule="auto"/>
        <w:pBdr>
          <w:bottom w:val="single" w:sz="8" w:space="4" w:color="9DC8E8"/>
        </w:pBdr>
      </w:pPr>
      <w:r>
        <w:rPr>
          <w:rFonts w:ascii="SimHei" w:hAnsi="SimHei" w:eastAsia="SimHei"/>
          <w:b/>
          <w:color w:val="334A54"/>
          <w:sz w:val="32"/>
        </w:rPr>
        <w:t>一、实验三: UCI HAR 人体活动识别多模型对比</w:t>
      </w:r>
    </w:p>
    <w:p>
      <w:pPr>
        <w:spacing w:before="240" w:after="80" w:line="324" w:lineRule="auto"/>
      </w:pPr>
      <w:r>
        <w:rPr>
          <w:rFonts w:ascii="SimHei" w:hAnsi="SimHei" w:eastAsia="SimHei"/>
          <w:b/>
          <w:color w:val="505050"/>
          <w:sz w:val="24"/>
        </w:rPr>
        <w:t>1.1 实验情境与目标</w:t>
      </w:r>
    </w:p>
    <w:p>
      <w:pPr>
        <w:spacing w:before="0" w:after="120" w:line="336" w:lineRule="auto"/>
        <w:ind w:firstLine="420"/>
      </w:pPr>
      <w:r>
        <w:rPr>
          <w:rFonts w:ascii="SimHei" w:hAnsi="SimHei" w:eastAsia="SimHei"/>
          <w:b w:val="0"/>
          <w:color w:val="3C3C3C"/>
          <w:sz w:val="21"/>
        </w:rPr>
        <w:t>随着智能手机的普及, 利用手机内置传感器 (加速度计和陀螺仪) 识别人类日常活动已成为机器学习的重要应用场景。 本实验选用 UCI Machine Learning Repository 中的 Human Activity Recognition Using Smartphones 数据集。 该数据集由 30 名志愿者参与采集, 智能手机以 50 Hz 频率记录了三轴加速度和三轴角速度信号。</w:t>
      </w:r>
    </w:p>
    <w:p>
      <w:pPr>
        <w:spacing w:before="0" w:after="120" w:line="336" w:lineRule="auto"/>
        <w:ind w:firstLine="420"/>
      </w:pPr>
      <w:r>
        <w:rPr>
          <w:rFonts w:ascii="SimHei" w:hAnsi="SimHei" w:eastAsia="SimHei"/>
          <w:b w:val="0"/>
          <w:color w:val="3C3C3C"/>
          <w:sz w:val="21"/>
        </w:rPr>
        <w:t>实验目标: 对比多种现代机器学习模型 (GBDT, XGBoost, LightGBM, MLP, 1D-CNN, LSTM, GRU) 在人体活动识别任务上的分类性能, 从准确率、Macro-F1、训练效率等维度进行综合分析, 为实际应用中模型选型提供参考依据。</w:t>
      </w:r>
    </w:p>
    <w:p>
      <w:pPr>
        <w:spacing w:before="0" w:after="120" w:line="336" w:lineRule="auto"/>
        <w:ind w:firstLine="420"/>
      </w:pPr>
      <w:r>
        <w:rPr>
          <w:rFonts w:ascii="SimHei" w:hAnsi="SimHei" w:eastAsia="SimHei"/>
          <w:b w:val="0"/>
          <w:color w:val="3C3C3C"/>
          <w:sz w:val="21"/>
        </w:rPr>
        <w:t>六类待识别活动: WALKING (行走), WALKING_UPSTAIRS (上楼), WALKING_DOWNSTAIRS (下楼), SITTING (坐着), STANDING (站立), LAYING (躺着)。</w:t>
      </w:r>
    </w:p>
    <w:p>
      <w:pPr>
        <w:spacing w:before="240" w:after="80" w:line="324" w:lineRule="auto"/>
      </w:pPr>
      <w:r>
        <w:rPr>
          <w:rFonts w:ascii="SimHei" w:hAnsi="SimHei" w:eastAsia="SimHei"/>
          <w:b/>
          <w:color w:val="505050"/>
          <w:sz w:val="24"/>
        </w:rPr>
        <w:t>1.2 数据集介绍</w:t>
      </w:r>
    </w:p>
    <w:p>
      <w:pPr>
        <w:spacing w:before="0" w:after="120" w:line="336" w:lineRule="auto"/>
        <w:ind w:firstLine="420"/>
      </w:pPr>
      <w:r>
        <w:rPr>
          <w:rFonts w:ascii="SimHei" w:hAnsi="SimHei" w:eastAsia="SimHei"/>
          <w:b w:val="0"/>
          <w:color w:val="3C3C3C"/>
          <w:sz w:val="21"/>
        </w:rPr>
        <w:t>数据集官方划分为训练集 (7,352 条) 和测试集 (2,947 条), 分别来自 21 名和 9 名不同受试者, 确保训练集和测试集的受试者不重叠。 数据包含两种表示形式:</w:t>
      </w:r>
    </w:p>
    <w:p>
      <w:pPr>
        <w:spacing w:before="0" w:after="120" w:line="336" w:lineRule="auto"/>
        <w:ind w:firstLine="420"/>
      </w:pPr>
      <w:r>
        <w:rPr>
          <w:rFonts w:ascii="SimHei" w:hAnsi="SimHei" w:eastAsia="SimHei"/>
          <w:b w:val="0"/>
          <w:color w:val="3C3C3C"/>
          <w:sz w:val="21"/>
        </w:rPr>
        <w:t>(1) 561 维手工特征: 从 128 个时间步 (2.56 秒窗口) 中提取的时域和频域统计量, 包括均值、标准差、最大值、最小值、能量、熵、相关性等。 这部分数据适合 GBDT / XGBoost / LightGBM 等传统机器学习模型。</w:t>
      </w:r>
    </w:p>
    <w:p>
      <w:pPr>
        <w:spacing w:before="0" w:after="120" w:line="336" w:lineRule="auto"/>
        <w:ind w:firstLine="420"/>
      </w:pPr>
      <w:r>
        <w:rPr>
          <w:rFonts w:ascii="SimHei" w:hAnsi="SimHei" w:eastAsia="SimHei"/>
          <w:b w:val="0"/>
          <w:color w:val="3C3C3C"/>
          <w:sz w:val="21"/>
        </w:rPr>
        <w:t>(2) 原始惯性信号: 128 时间步 x 9 通道 (包含 body_acc xyz, body_gyro xyz, total_acc xyz), 为原始时间序列数据, 适合 1D-CNN / LSTM / GRU 等深度学习模型。</w:t>
      </w:r>
    </w:p>
    <w:p>
      <w:pPr>
        <w:spacing w:before="0" w:after="120" w:line="336" w:lineRule="auto"/>
        <w:ind w:firstLine="420"/>
      </w:pPr>
      <w:r>
        <w:rPr>
          <w:rFonts w:ascii="SimHei" w:hAnsi="SimHei" w:eastAsia="SimHei"/>
          <w:b w:val="0"/>
          <w:color w:val="3C3C3C"/>
          <w:sz w:val="21"/>
        </w:rPr>
        <w:t>数据集无缺失值, 六类活动分布较为均衡, 数据质量良好, 无需额外的缺失值填补或异常值处理。</w:t>
      </w:r>
    </w:p>
    <w:p>
      <w:pPr>
        <w:spacing w:before="160" w:after="80"/>
        <w:jc w:val="center"/>
      </w:pPr>
      <w:r>
        <w:drawing>
          <wp:inline xmlns:a="http://schemas.openxmlformats.org/drawingml/2006/main" xmlns:pic="http://schemas.openxmlformats.org/drawingml/2006/picture">
            <wp:extent cx="4754880" cy="1698171"/>
            <wp:docPr id="1" name="Picture 1"/>
            <wp:cNvGraphicFramePr>
              <a:graphicFrameLocks noChangeAspect="1"/>
            </wp:cNvGraphicFramePr>
            <a:graphic>
              <a:graphicData uri="http://schemas.openxmlformats.org/drawingml/2006/picture">
                <pic:pic>
                  <pic:nvPicPr>
                    <pic:cNvPr id="0" name="eda_activity_distribution.png"/>
                    <pic:cNvPicPr/>
                  </pic:nvPicPr>
                  <pic:blipFill>
                    <a:blip r:embed="rId9"/>
                    <a:stretch>
                      <a:fillRect/>
                    </a:stretch>
                  </pic:blipFill>
                  <pic:spPr>
                    <a:xfrm>
                      <a:off x="0" y="0"/>
                      <a:ext cx="4754880" cy="1698171"/>
                    </a:xfrm>
                    <a:prstGeom prst="rect"/>
                  </pic:spPr>
                </pic:pic>
              </a:graphicData>
            </a:graphic>
          </wp:inline>
        </w:drawing>
      </w:r>
    </w:p>
    <w:p>
      <w:pPr>
        <w:spacing w:before="40" w:after="200" w:line="324" w:lineRule="auto"/>
        <w:jc w:val="center"/>
      </w:pPr>
      <w:r>
        <w:rPr>
          <w:rFonts w:ascii="SimHei" w:hAnsi="SimHei" w:eastAsia="SimHei"/>
          <w:b w:val="0"/>
          <w:color w:val="808080"/>
          <w:sz w:val="18"/>
        </w:rPr>
        <w:t>图 1: 训练集活动类别分布</w:t>
      </w:r>
    </w:p>
    <w:p>
      <w:pPr>
        <w:spacing w:before="240" w:after="80" w:line="324" w:lineRule="auto"/>
      </w:pPr>
      <w:r>
        <w:rPr>
          <w:rFonts w:ascii="SimHei" w:hAnsi="SimHei" w:eastAsia="SimHei"/>
          <w:b/>
          <w:color w:val="505050"/>
          <w:sz w:val="24"/>
        </w:rPr>
        <w:t>1.3 数据预处理与 EDA</w:t>
      </w:r>
    </w:p>
    <w:p>
      <w:pPr>
        <w:spacing w:before="0" w:after="120" w:line="336" w:lineRule="auto"/>
        <w:ind w:firstLine="420"/>
      </w:pPr>
      <w:r>
        <w:rPr>
          <w:rFonts w:ascii="SimHei" w:hAnsi="SimHei" w:eastAsia="SimHei"/>
          <w:b w:val="0"/>
          <w:color w:val="3C3C3C"/>
          <w:sz w:val="21"/>
        </w:rPr>
        <w:t>预处理流程包含以下步骤:</w:t>
      </w:r>
    </w:p>
    <w:p>
      <w:pPr>
        <w:spacing w:before="0" w:after="120" w:line="324" w:lineRule="auto"/>
      </w:pPr>
      <w:r>
        <w:rPr>
          <w:rFonts w:ascii="SimHei" w:hAnsi="SimHei" w:eastAsia="SimHei"/>
          <w:b w:val="0"/>
          <w:color w:val="3C3C3C"/>
          <w:sz w:val="21"/>
        </w:rPr>
        <w:t>(1) 特征去重 -- 处理 561 维特征中的命名重复问题, 对重复名称添加后缀;</w:t>
      </w:r>
    </w:p>
    <w:p>
      <w:pPr>
        <w:spacing w:before="0" w:after="120" w:line="324" w:lineRule="auto"/>
      </w:pPr>
      <w:r>
        <w:rPr>
          <w:rFonts w:ascii="SimHei" w:hAnsi="SimHei" w:eastAsia="SimHei"/>
          <w:b w:val="0"/>
          <w:color w:val="3C3C3C"/>
          <w:sz w:val="21"/>
        </w:rPr>
        <w:t>(2) 零方差过滤 -- 使用 VarianceThreshold 移除常数特征 (本数据集无零方差特征, 561 维全部保留);</w:t>
      </w:r>
    </w:p>
    <w:p>
      <w:pPr>
        <w:spacing w:before="0" w:after="120" w:line="324" w:lineRule="auto"/>
      </w:pPr>
      <w:r>
        <w:rPr>
          <w:rFonts w:ascii="SimHei" w:hAnsi="SimHei" w:eastAsia="SimHei"/>
          <w:b w:val="0"/>
          <w:color w:val="3C3C3C"/>
          <w:sz w:val="21"/>
        </w:rPr>
        <w:t>(3) 标准化 -- 使用 StandardScaler 使特征均值为 0、标准差为 1;</w:t>
      </w:r>
    </w:p>
    <w:p>
      <w:pPr>
        <w:spacing w:before="0" w:after="120" w:line="324" w:lineRule="auto"/>
      </w:pPr>
      <w:r>
        <w:rPr>
          <w:rFonts w:ascii="SimHei" w:hAnsi="SimHei" w:eastAsia="SimHei"/>
          <w:b w:val="0"/>
          <w:color w:val="3C3C3C"/>
          <w:sz w:val="21"/>
        </w:rPr>
        <w:t>(4) ANOVA F-score 特征重要性排序 -- 评估每个特征对活动类别的区分能力;</w:t>
      </w:r>
    </w:p>
    <w:p>
      <w:pPr>
        <w:spacing w:before="0" w:after="120" w:line="324" w:lineRule="auto"/>
      </w:pPr>
      <w:r>
        <w:rPr>
          <w:rFonts w:ascii="SimHei" w:hAnsi="SimHei" w:eastAsia="SimHei"/>
          <w:b w:val="0"/>
          <w:color w:val="3C3C3C"/>
          <w:sz w:val="21"/>
        </w:rPr>
        <w:t>(5) Pearson 相关性分析 -- 检测高度相关特征对 (阈值 0.90);</w:t>
      </w:r>
    </w:p>
    <w:p>
      <w:pPr>
        <w:spacing w:before="0" w:after="120" w:line="324" w:lineRule="auto"/>
      </w:pPr>
      <w:r>
        <w:rPr>
          <w:rFonts w:ascii="SimHei" w:hAnsi="SimHei" w:eastAsia="SimHei"/>
          <w:b w:val="0"/>
          <w:color w:val="3C3C3C"/>
          <w:sz w:val="21"/>
        </w:rPr>
        <w:t>(6) PCA 降维 -- 保留 95% 累计解释方差, 降至 102 维, 用于可视化探索。</w:t>
      </w:r>
    </w:p>
    <w:p>
      <w:pPr>
        <w:spacing w:before="160" w:after="80"/>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eda_top20_anova.png"/>
                    <pic:cNvPicPr/>
                  </pic:nvPicPr>
                  <pic:blipFill>
                    <a:blip r:embed="rId10"/>
                    <a:stretch>
                      <a:fillRect/>
                    </a:stretch>
                  </pic:blipFill>
                  <pic:spPr>
                    <a:xfrm>
                      <a:off x="0" y="0"/>
                      <a:ext cx="4572000" cy="3048000"/>
                    </a:xfrm>
                    <a:prstGeom prst="rect"/>
                  </pic:spPr>
                </pic:pic>
              </a:graphicData>
            </a:graphic>
          </wp:inline>
        </w:drawing>
      </w:r>
    </w:p>
    <w:p>
      <w:pPr>
        <w:spacing w:before="40" w:after="200" w:line="324" w:lineRule="auto"/>
        <w:jc w:val="center"/>
      </w:pPr>
      <w:r>
        <w:rPr>
          <w:rFonts w:ascii="SimHei" w:hAnsi="SimHei" w:eastAsia="SimHei"/>
          <w:b w:val="0"/>
          <w:color w:val="808080"/>
          <w:sz w:val="18"/>
        </w:rPr>
        <w:t>图 2: ANOVA F-score Top-20 特征</w:t>
      </w:r>
    </w:p>
    <w:p>
      <w:pPr>
        <w:spacing w:before="160" w:after="80"/>
        <w:jc w:val="center"/>
      </w:pPr>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eda_correlation_heatmap.png"/>
                    <pic:cNvPicPr/>
                  </pic:nvPicPr>
                  <pic:blipFill>
                    <a:blip r:embed="rId11"/>
                    <a:stretch>
                      <a:fillRect/>
                    </a:stretch>
                  </pic:blipFill>
                  <pic:spPr>
                    <a:xfrm>
                      <a:off x="0" y="0"/>
                      <a:ext cx="4572000" cy="3657600"/>
                    </a:xfrm>
                    <a:prstGeom prst="rect"/>
                  </pic:spPr>
                </pic:pic>
              </a:graphicData>
            </a:graphic>
          </wp:inline>
        </w:drawing>
      </w:r>
    </w:p>
    <w:p>
      <w:pPr>
        <w:spacing w:before="40" w:after="200" w:line="324" w:lineRule="auto"/>
        <w:jc w:val="center"/>
      </w:pPr>
      <w:r>
        <w:rPr>
          <w:rFonts w:ascii="SimHei" w:hAnsi="SimHei" w:eastAsia="SimHei"/>
          <w:b w:val="0"/>
          <w:color w:val="808080"/>
          <w:sz w:val="18"/>
        </w:rPr>
        <w:t>图 3: Top-30 特征 Pearson 相关性热力图</w:t>
      </w:r>
    </w:p>
    <w:p>
      <w:pPr>
        <w:spacing w:before="160" w:after="80"/>
        <w:jc w:val="center"/>
      </w:pPr>
      <w:r>
        <w:drawing>
          <wp:inline xmlns:a="http://schemas.openxmlformats.org/drawingml/2006/main" xmlns:pic="http://schemas.openxmlformats.org/drawingml/2006/picture">
            <wp:extent cx="4754880" cy="1783080"/>
            <wp:docPr id="4" name="Picture 4"/>
            <wp:cNvGraphicFramePr>
              <a:graphicFrameLocks noChangeAspect="1"/>
            </wp:cNvGraphicFramePr>
            <a:graphic>
              <a:graphicData uri="http://schemas.openxmlformats.org/drawingml/2006/picture">
                <pic:pic>
                  <pic:nvPicPr>
                    <pic:cNvPr id="0" name="eda_pca_visualization.png"/>
                    <pic:cNvPicPr/>
                  </pic:nvPicPr>
                  <pic:blipFill>
                    <a:blip r:embed="rId12"/>
                    <a:stretch>
                      <a:fillRect/>
                    </a:stretch>
                  </pic:blipFill>
                  <pic:spPr>
                    <a:xfrm>
                      <a:off x="0" y="0"/>
                      <a:ext cx="4754880" cy="1783080"/>
                    </a:xfrm>
                    <a:prstGeom prst="rect"/>
                  </pic:spPr>
                </pic:pic>
              </a:graphicData>
            </a:graphic>
          </wp:inline>
        </w:drawing>
      </w:r>
    </w:p>
    <w:p>
      <w:pPr>
        <w:spacing w:before="40" w:after="200" w:line="324" w:lineRule="auto"/>
        <w:jc w:val="center"/>
      </w:pPr>
      <w:r>
        <w:rPr>
          <w:rFonts w:ascii="SimHei" w:hAnsi="SimHei" w:eastAsia="SimHei"/>
          <w:b w:val="0"/>
          <w:color w:val="808080"/>
          <w:sz w:val="18"/>
        </w:rPr>
        <w:t>图 4: PCA 降维可视化 (左: 累计方差曲线, 右: 2D 投影)</w:t>
      </w:r>
    </w:p>
    <w:p>
      <w:r>
        <w:br w:type="page"/>
      </w:r>
    </w:p>
    <w:p>
      <w:pPr>
        <w:spacing w:before="240" w:after="80" w:line="324" w:lineRule="auto"/>
      </w:pPr>
      <w:r>
        <w:rPr>
          <w:rFonts w:ascii="SimHei" w:hAnsi="SimHei" w:eastAsia="SimHei"/>
          <w:b/>
          <w:color w:val="505050"/>
          <w:sz w:val="24"/>
        </w:rPr>
        <w:t>1.4 模型介绍与方法</w:t>
      </w:r>
    </w:p>
    <w:p>
      <w:pPr>
        <w:spacing w:before="0" w:after="120" w:line="336" w:lineRule="auto"/>
        <w:ind w:firstLine="420"/>
      </w:pPr>
      <w:r>
        <w:rPr>
          <w:rFonts w:ascii="SimHei" w:hAnsi="SimHei" w:eastAsia="SimHei"/>
          <w:b w:val="0"/>
          <w:color w:val="3C3C3C"/>
          <w:sz w:val="21"/>
        </w:rPr>
        <w:t>本实验共对比 7 个模型, 分为传统集成学习和深度学习两大类。</w:t>
      </w:r>
    </w:p>
    <w:p>
      <w:pPr>
        <w:spacing w:before="0" w:after="120" w:line="324" w:lineRule="auto"/>
      </w:pPr>
      <w:r>
        <w:rPr>
          <w:rFonts w:ascii="SimHei" w:hAnsi="SimHei" w:eastAsia="SimHei"/>
          <w:b w:val="0"/>
          <w:color w:val="3C3C3C"/>
          <w:sz w:val="21"/>
        </w:rPr>
        <w:t>【传统集成学习】(使用 561 维手工特征)</w:t>
      </w:r>
    </w:p>
    <w:p>
      <w:pPr>
        <w:spacing w:before="0" w:after="120" w:line="324" w:lineRule="auto"/>
      </w:pPr>
      <w:r>
        <w:rPr>
          <w:rFonts w:ascii="SimHei" w:hAnsi="SimHei" w:eastAsia="SimHei"/>
          <w:b w:val="0"/>
          <w:color w:val="3C3C3C"/>
          <w:sz w:val="21"/>
        </w:rPr>
      </w:r>
    </w:p>
    <w:p>
      <w:pPr>
        <w:spacing w:before="0" w:after="120" w:line="336" w:lineRule="auto"/>
        <w:ind w:firstLine="420"/>
      </w:pPr>
      <w:r>
        <w:rPr>
          <w:rFonts w:ascii="SimHei" w:hAnsi="SimHei" w:eastAsia="SimHei"/>
          <w:b w:val="0"/>
          <w:color w:val="3C3C3C"/>
          <w:sz w:val="21"/>
        </w:rPr>
        <w:t>1. GBDT (Gradient Boosting Decision Tree) -- 梯度提升决策树, 通过逐步添加弱学习器 (浅层决策树) 来减少残差。 本实验设计 3 组候选超参数 (30 / 45 / 60 个 boosting stage), 并启用早停机制。</w:t>
      </w:r>
    </w:p>
    <w:p>
      <w:pPr>
        <w:spacing w:before="0" w:after="120" w:line="336" w:lineRule="auto"/>
        <w:ind w:firstLine="420"/>
      </w:pPr>
      <w:r>
        <w:rPr>
          <w:rFonts w:ascii="SimHei" w:hAnsi="SimHei" w:eastAsia="SimHei"/>
          <w:b w:val="0"/>
          <w:color w:val="3C3C3C"/>
          <w:sz w:val="21"/>
        </w:rPr>
        <w:t>2. XGBoost (eXtreme Gradient Boosting) -- 对 GBDT 的优化实现, 引入 L1 / L2 正则化项和列采样。 使用 histogram-based 树构建算法, 支持早停 (10 轮)。 3 组候选配置在 max_depth (3 - 4) 和 n_estimators (50 - 100) 上探索。</w:t>
      </w:r>
    </w:p>
    <w:p>
      <w:pPr>
        <w:spacing w:before="0" w:after="120" w:line="336" w:lineRule="auto"/>
        <w:ind w:firstLine="420"/>
      </w:pPr>
      <w:r>
        <w:rPr>
          <w:rFonts w:ascii="SimHei" w:hAnsi="SimHei" w:eastAsia="SimHei"/>
          <w:b w:val="0"/>
          <w:color w:val="3C3C3C"/>
          <w:sz w:val="21"/>
        </w:rPr>
        <w:t>3. LightGBM -- 微软开源的高效梯度提升框架, 使用 leaf-wise 生长策略和 GOSS 采样。 训练速度极快, 在 3 组候选配置中搜索最优。</w:t>
      </w:r>
    </w:p>
    <w:p>
      <w:pPr>
        <w:spacing w:before="0" w:after="120" w:line="324" w:lineRule="auto"/>
      </w:pPr>
      <w:r>
        <w:rPr>
          <w:rFonts w:ascii="SimHei" w:hAnsi="SimHei" w:eastAsia="SimHei"/>
          <w:b w:val="0"/>
          <w:color w:val="3C3C3C"/>
          <w:sz w:val="21"/>
        </w:rPr>
      </w:r>
    </w:p>
    <w:p>
      <w:pPr>
        <w:spacing w:before="0" w:after="120" w:line="324" w:lineRule="auto"/>
      </w:pPr>
      <w:r>
        <w:rPr>
          <w:rFonts w:ascii="SimHei" w:hAnsi="SimHei" w:eastAsia="SimHei"/>
          <w:b w:val="0"/>
          <w:color w:val="3C3C3C"/>
          <w:sz w:val="21"/>
        </w:rPr>
        <w:t>【深度学习】(MLP 使用 561 维特征, 其余使用 128 x 9 原始信号)</w:t>
      </w:r>
    </w:p>
    <w:p>
      <w:pPr>
        <w:spacing w:before="0" w:after="120" w:line="324" w:lineRule="auto"/>
      </w:pPr>
      <w:r>
        <w:rPr>
          <w:rFonts w:ascii="SimHei" w:hAnsi="SimHei" w:eastAsia="SimHei"/>
          <w:b w:val="0"/>
          <w:color w:val="3C3C3C"/>
          <w:sz w:val="21"/>
        </w:rPr>
      </w:r>
    </w:p>
    <w:p>
      <w:pPr>
        <w:spacing w:before="0" w:after="120" w:line="336" w:lineRule="auto"/>
        <w:ind w:firstLine="420"/>
      </w:pPr>
      <w:r>
        <w:rPr>
          <w:rFonts w:ascii="SimHei" w:hAnsi="SimHei" w:eastAsia="SimHei"/>
          <w:b w:val="0"/>
          <w:color w:val="3C3C3C"/>
          <w:sz w:val="21"/>
        </w:rPr>
        <w:t>4. MLP (多层感知机) -- 三层隐藏层 (256 -&gt; 128 -&gt; 64), 使用 ReLU 激活、Adam 优化器和早停机制。 基于 sklearn 的 MLPClassifier 实现。</w:t>
      </w:r>
    </w:p>
    <w:p>
      <w:pPr>
        <w:spacing w:before="0" w:after="120" w:line="336" w:lineRule="auto"/>
        <w:ind w:firstLine="420"/>
      </w:pPr>
      <w:r>
        <w:rPr>
          <w:rFonts w:ascii="SimHei" w:hAnsi="SimHei" w:eastAsia="SimHei"/>
          <w:b w:val="0"/>
          <w:color w:val="3C3C3C"/>
          <w:sz w:val="21"/>
        </w:rPr>
        <w:t>5. 1D-CNN -- 6 个 Conv1D 层 (通道 64 -&gt; 64 -&gt; 128 -&gt; 128 -&gt; 256 -&gt; 256), 含 BatchNorm + ReLU, 每 2 层后接 MaxPool, 最后 AdaptiveAvgPool + 双层 FC (256 -&gt; 128 -&gt; 6), Dropout (0.5, 0.3)。</w:t>
      </w:r>
    </w:p>
    <w:p>
      <w:pPr>
        <w:spacing w:before="0" w:after="120" w:line="336" w:lineRule="auto"/>
        <w:ind w:firstLine="420"/>
      </w:pPr>
      <w:r>
        <w:rPr>
          <w:rFonts w:ascii="SimHei" w:hAnsi="SimHei" w:eastAsia="SimHei"/>
          <w:b w:val="0"/>
          <w:color w:val="3C3C3C"/>
          <w:sz w:val="21"/>
        </w:rPr>
        <w:t>6. LSTM -- 2 层双向 LSTM (hidden = 64), 含 Dropout (0.3), 取最后时间步输出经双层 FC 分类。</w:t>
      </w:r>
    </w:p>
    <w:p>
      <w:pPr>
        <w:spacing w:before="0" w:after="120" w:line="336" w:lineRule="auto"/>
        <w:ind w:firstLine="420"/>
      </w:pPr>
      <w:r>
        <w:rPr>
          <w:rFonts w:ascii="SimHei" w:hAnsi="SimHei" w:eastAsia="SimHei"/>
          <w:b w:val="0"/>
          <w:color w:val="3C3C3C"/>
          <w:sz w:val="21"/>
        </w:rPr>
        <w:t>7. GRU -- 2 层双向 GRU (hidden = 64), 结构与 LSTM 对称。</w:t>
      </w:r>
    </w:p>
    <w:p>
      <w:pPr>
        <w:spacing w:before="0" w:after="120" w:line="336" w:lineRule="auto"/>
        <w:ind w:firstLine="420"/>
      </w:pPr>
      <w:r>
        <w:rPr>
          <w:rFonts w:ascii="SimHei" w:hAnsi="SimHei" w:eastAsia="SimHei"/>
          <w:b w:val="0"/>
          <w:color w:val="3C3C3C"/>
          <w:sz w:val="21"/>
        </w:rPr>
        <w:t>验证策略: 采用受试者感知的 GroupShuffleSplit (80 / 20 划分), 确保同一受试者不会同时出现在训练子集和验证子集中, 避免数据泄露。 传统 ML 使用验证集调参选择最优候选, 深度学习模型使用固定超参数在完整训练集训练后直接在测试集评估。</w:t>
      </w:r>
    </w:p>
    <w:p>
      <w:pPr>
        <w:spacing w:before="240" w:after="80" w:line="324" w:lineRule="auto"/>
      </w:pPr>
      <w:r>
        <w:rPr>
          <w:rFonts w:ascii="SimHei" w:hAnsi="SimHei" w:eastAsia="SimHei"/>
          <w:b/>
          <w:color w:val="505050"/>
          <w:sz w:val="24"/>
        </w:rPr>
        <w:t>1.5 实验结果对比分析</w:t>
      </w:r>
    </w:p>
    <w:p>
      <w:pPr>
        <w:spacing w:before="160" w:after="80" w:line="324" w:lineRule="auto"/>
        <w:jc w:val="center"/>
      </w:pPr>
      <w:r>
        <w:rPr>
          <w:rFonts w:ascii="SimHei" w:hAnsi="SimHei" w:eastAsia="SimHei"/>
          <w:b w:val="0"/>
          <w:color w:val="808080"/>
          <w:sz w:val="18"/>
        </w:rPr>
        <w:t>表 1: 各模型在 UCI HAR 测试集上的性能对比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9DC8E8" w:val="clear"/>
          </w:tcPr>
          <w:p>
            <w:pPr>
              <w:jc w:val="center"/>
            </w:pPr>
            <w:r>
              <w:rPr>
                <w:rFonts w:ascii="SimHei" w:hAnsi="SimHei" w:eastAsia="SimHei"/>
                <w:b/>
                <w:color w:val="FFFFFF"/>
                <w:sz w:val="18"/>
              </w:rPr>
              <w:t>model</w:t>
            </w:r>
          </w:p>
        </w:tc>
        <w:tc>
          <w:tcPr>
            <w:tcW w:type="dxa" w:w="2268"/>
            <w:shd w:fill="9DC8E8" w:val="clear"/>
          </w:tcPr>
          <w:p>
            <w:pPr>
              <w:jc w:val="center"/>
            </w:pPr>
            <w:r>
              <w:rPr>
                <w:rFonts w:ascii="SimHei" w:hAnsi="SimHei" w:eastAsia="SimHei"/>
                <w:b/>
                <w:color w:val="FFFFFF"/>
                <w:sz w:val="18"/>
              </w:rPr>
              <w:t>accuracy</w:t>
            </w:r>
          </w:p>
        </w:tc>
        <w:tc>
          <w:tcPr>
            <w:tcW w:type="dxa" w:w="2268"/>
            <w:shd w:fill="9DC8E8" w:val="clear"/>
          </w:tcPr>
          <w:p>
            <w:pPr>
              <w:jc w:val="center"/>
            </w:pPr>
            <w:r>
              <w:rPr>
                <w:rFonts w:ascii="SimHei" w:hAnsi="SimHei" w:eastAsia="SimHei"/>
                <w:b/>
                <w:color w:val="FFFFFF"/>
                <w:sz w:val="18"/>
              </w:rPr>
              <w:t>macro_f1</w:t>
            </w:r>
          </w:p>
        </w:tc>
        <w:tc>
          <w:tcPr>
            <w:tcW w:type="dxa" w:w="2268"/>
            <w:shd w:fill="9DC8E8" w:val="clear"/>
          </w:tcPr>
          <w:p>
            <w:pPr>
              <w:jc w:val="center"/>
            </w:pPr>
            <w:r>
              <w:rPr>
                <w:rFonts w:ascii="SimHei" w:hAnsi="SimHei" w:eastAsia="SimHei"/>
                <w:b/>
                <w:color w:val="FFFFFF"/>
                <w:sz w:val="18"/>
              </w:rPr>
              <w:t>train_time</w:t>
            </w:r>
          </w:p>
        </w:tc>
      </w:tr>
      <w:tr>
        <w:tc>
          <w:tcPr>
            <w:tcW w:type="dxa" w:w="2268"/>
          </w:tcPr>
          <w:p>
            <w:pPr>
              <w:jc w:val="center"/>
            </w:pPr>
            <w:r>
              <w:rPr>
                <w:rFonts w:ascii="SimHei" w:hAnsi="SimHei" w:eastAsia="SimHei"/>
                <w:color w:val="3C3C3C"/>
                <w:sz w:val="17"/>
              </w:rPr>
              <w:t>MLP</w:t>
            </w:r>
          </w:p>
        </w:tc>
        <w:tc>
          <w:tcPr>
            <w:tcW w:type="dxa" w:w="2268"/>
          </w:tcPr>
          <w:p>
            <w:pPr>
              <w:jc w:val="center"/>
            </w:pPr>
            <w:r>
              <w:rPr>
                <w:rFonts w:ascii="SimHei" w:hAnsi="SimHei" w:eastAsia="SimHei"/>
                <w:color w:val="3C3C3C"/>
                <w:sz w:val="17"/>
              </w:rPr>
              <w:t>0.9447</w:t>
            </w:r>
          </w:p>
        </w:tc>
        <w:tc>
          <w:tcPr>
            <w:tcW w:type="dxa" w:w="2268"/>
          </w:tcPr>
          <w:p>
            <w:pPr>
              <w:jc w:val="center"/>
            </w:pPr>
            <w:r>
              <w:rPr>
                <w:rFonts w:ascii="SimHei" w:hAnsi="SimHei" w:eastAsia="SimHei"/>
                <w:color w:val="3C3C3C"/>
                <w:sz w:val="17"/>
              </w:rPr>
              <w:t>0.9448</w:t>
            </w:r>
          </w:p>
        </w:tc>
        <w:tc>
          <w:tcPr>
            <w:tcW w:type="dxa" w:w="2268"/>
          </w:tcPr>
          <w:p>
            <w:pPr>
              <w:jc w:val="center"/>
            </w:pPr>
            <w:r>
              <w:rPr>
                <w:rFonts w:ascii="SimHei" w:hAnsi="SimHei" w:eastAsia="SimHei"/>
                <w:color w:val="3C3C3C"/>
                <w:sz w:val="17"/>
              </w:rPr>
              <w:t>5.0265</w:t>
            </w:r>
          </w:p>
        </w:tc>
      </w:tr>
      <w:tr>
        <w:tc>
          <w:tcPr>
            <w:tcW w:type="dxa" w:w="2268"/>
          </w:tcPr>
          <w:p>
            <w:pPr>
              <w:jc w:val="center"/>
            </w:pPr>
            <w:r>
              <w:rPr>
                <w:rFonts w:ascii="SimHei" w:hAnsi="SimHei" w:eastAsia="SimHei"/>
                <w:color w:val="3C3C3C"/>
                <w:sz w:val="17"/>
              </w:rPr>
              <w:t>LightGBM</w:t>
            </w:r>
          </w:p>
        </w:tc>
        <w:tc>
          <w:tcPr>
            <w:tcW w:type="dxa" w:w="2268"/>
          </w:tcPr>
          <w:p>
            <w:pPr>
              <w:jc w:val="center"/>
            </w:pPr>
            <w:r>
              <w:rPr>
                <w:rFonts w:ascii="SimHei" w:hAnsi="SimHei" w:eastAsia="SimHei"/>
                <w:color w:val="3C3C3C"/>
                <w:sz w:val="17"/>
              </w:rPr>
              <w:t>0.9403</w:t>
            </w:r>
          </w:p>
        </w:tc>
        <w:tc>
          <w:tcPr>
            <w:tcW w:type="dxa" w:w="2268"/>
          </w:tcPr>
          <w:p>
            <w:pPr>
              <w:jc w:val="center"/>
            </w:pPr>
            <w:r>
              <w:rPr>
                <w:rFonts w:ascii="SimHei" w:hAnsi="SimHei" w:eastAsia="SimHei"/>
                <w:color w:val="3C3C3C"/>
                <w:sz w:val="17"/>
              </w:rPr>
              <w:t>0.9397</w:t>
            </w:r>
          </w:p>
        </w:tc>
        <w:tc>
          <w:tcPr>
            <w:tcW w:type="dxa" w:w="2268"/>
          </w:tcPr>
          <w:p>
            <w:pPr>
              <w:jc w:val="center"/>
            </w:pPr>
            <w:r>
              <w:rPr>
                <w:rFonts w:ascii="SimHei" w:hAnsi="SimHei" w:eastAsia="SimHei"/>
                <w:color w:val="3C3C3C"/>
                <w:sz w:val="17"/>
              </w:rPr>
              <w:t>1.8410</w:t>
            </w:r>
          </w:p>
        </w:tc>
      </w:tr>
      <w:tr>
        <w:tc>
          <w:tcPr>
            <w:tcW w:type="dxa" w:w="2268"/>
          </w:tcPr>
          <w:p>
            <w:pPr>
              <w:jc w:val="center"/>
            </w:pPr>
            <w:r>
              <w:rPr>
                <w:rFonts w:ascii="SimHei" w:hAnsi="SimHei" w:eastAsia="SimHei"/>
                <w:color w:val="3C3C3C"/>
                <w:sz w:val="17"/>
              </w:rPr>
              <w:t>GBDT</w:t>
            </w:r>
          </w:p>
        </w:tc>
        <w:tc>
          <w:tcPr>
            <w:tcW w:type="dxa" w:w="2268"/>
          </w:tcPr>
          <w:p>
            <w:pPr>
              <w:jc w:val="center"/>
            </w:pPr>
            <w:r>
              <w:rPr>
                <w:rFonts w:ascii="SimHei" w:hAnsi="SimHei" w:eastAsia="SimHei"/>
                <w:color w:val="3C3C3C"/>
                <w:sz w:val="17"/>
              </w:rPr>
              <w:t>0.9396</w:t>
            </w:r>
          </w:p>
        </w:tc>
        <w:tc>
          <w:tcPr>
            <w:tcW w:type="dxa" w:w="2268"/>
          </w:tcPr>
          <w:p>
            <w:pPr>
              <w:jc w:val="center"/>
            </w:pPr>
            <w:r>
              <w:rPr>
                <w:rFonts w:ascii="SimHei" w:hAnsi="SimHei" w:eastAsia="SimHei"/>
                <w:color w:val="3C3C3C"/>
                <w:sz w:val="17"/>
              </w:rPr>
              <w:t>0.9378</w:t>
            </w:r>
          </w:p>
        </w:tc>
        <w:tc>
          <w:tcPr>
            <w:tcW w:type="dxa" w:w="2268"/>
          </w:tcPr>
          <w:p>
            <w:pPr>
              <w:jc w:val="center"/>
            </w:pPr>
            <w:r>
              <w:rPr>
                <w:rFonts w:ascii="SimHei" w:hAnsi="SimHei" w:eastAsia="SimHei"/>
                <w:color w:val="3C3C3C"/>
                <w:sz w:val="17"/>
              </w:rPr>
              <w:t>9.2763</w:t>
            </w:r>
          </w:p>
        </w:tc>
      </w:tr>
      <w:tr>
        <w:tc>
          <w:tcPr>
            <w:tcW w:type="dxa" w:w="2268"/>
          </w:tcPr>
          <w:p>
            <w:pPr>
              <w:jc w:val="center"/>
            </w:pPr>
            <w:r>
              <w:rPr>
                <w:rFonts w:ascii="SimHei" w:hAnsi="SimHei" w:eastAsia="SimHei"/>
                <w:color w:val="3C3C3C"/>
                <w:sz w:val="17"/>
              </w:rPr>
              <w:t>XGBoost</w:t>
            </w:r>
          </w:p>
        </w:tc>
        <w:tc>
          <w:tcPr>
            <w:tcW w:type="dxa" w:w="2268"/>
          </w:tcPr>
          <w:p>
            <w:pPr>
              <w:jc w:val="center"/>
            </w:pPr>
            <w:r>
              <w:rPr>
                <w:rFonts w:ascii="SimHei" w:hAnsi="SimHei" w:eastAsia="SimHei"/>
                <w:color w:val="3C3C3C"/>
                <w:sz w:val="17"/>
              </w:rPr>
              <w:t>0.9372</w:t>
            </w:r>
          </w:p>
        </w:tc>
        <w:tc>
          <w:tcPr>
            <w:tcW w:type="dxa" w:w="2268"/>
          </w:tcPr>
          <w:p>
            <w:pPr>
              <w:jc w:val="center"/>
            </w:pPr>
            <w:r>
              <w:rPr>
                <w:rFonts w:ascii="SimHei" w:hAnsi="SimHei" w:eastAsia="SimHei"/>
                <w:color w:val="3C3C3C"/>
                <w:sz w:val="17"/>
              </w:rPr>
              <w:t>0.9362</w:t>
            </w:r>
          </w:p>
        </w:tc>
        <w:tc>
          <w:tcPr>
            <w:tcW w:type="dxa" w:w="2268"/>
          </w:tcPr>
          <w:p>
            <w:pPr>
              <w:jc w:val="center"/>
            </w:pPr>
            <w:r>
              <w:rPr>
                <w:rFonts w:ascii="SimHei" w:hAnsi="SimHei" w:eastAsia="SimHei"/>
                <w:color w:val="3C3C3C"/>
                <w:sz w:val="17"/>
              </w:rPr>
              <w:t>2.9939</w:t>
            </w:r>
          </w:p>
        </w:tc>
      </w:tr>
      <w:tr>
        <w:tc>
          <w:tcPr>
            <w:tcW w:type="dxa" w:w="2268"/>
          </w:tcPr>
          <w:p>
            <w:pPr>
              <w:jc w:val="center"/>
            </w:pPr>
            <w:r>
              <w:rPr>
                <w:rFonts w:ascii="SimHei" w:hAnsi="SimHei" w:eastAsia="SimHei"/>
                <w:color w:val="3C3C3C"/>
                <w:sz w:val="17"/>
              </w:rPr>
              <w:t>GRU</w:t>
            </w:r>
          </w:p>
        </w:tc>
        <w:tc>
          <w:tcPr>
            <w:tcW w:type="dxa" w:w="2268"/>
          </w:tcPr>
          <w:p>
            <w:pPr>
              <w:jc w:val="center"/>
            </w:pPr>
            <w:r>
              <w:rPr>
                <w:rFonts w:ascii="SimHei" w:hAnsi="SimHei" w:eastAsia="SimHei"/>
                <w:color w:val="3C3C3C"/>
                <w:sz w:val="17"/>
              </w:rPr>
              <w:t>0.9260</w:t>
            </w:r>
          </w:p>
        </w:tc>
        <w:tc>
          <w:tcPr>
            <w:tcW w:type="dxa" w:w="2268"/>
          </w:tcPr>
          <w:p>
            <w:pPr>
              <w:jc w:val="center"/>
            </w:pPr>
            <w:r>
              <w:rPr>
                <w:rFonts w:ascii="SimHei" w:hAnsi="SimHei" w:eastAsia="SimHei"/>
                <w:color w:val="3C3C3C"/>
                <w:sz w:val="17"/>
              </w:rPr>
              <w:t>0.9257</w:t>
            </w:r>
          </w:p>
        </w:tc>
        <w:tc>
          <w:tcPr>
            <w:tcW w:type="dxa" w:w="2268"/>
          </w:tcPr>
          <w:p>
            <w:pPr>
              <w:jc w:val="center"/>
            </w:pPr>
            <w:r>
              <w:rPr>
                <w:rFonts w:ascii="SimHei" w:hAnsi="SimHei" w:eastAsia="SimHei"/>
                <w:color w:val="3C3C3C"/>
                <w:sz w:val="17"/>
              </w:rPr>
              <w:t>723.7138</w:t>
            </w:r>
          </w:p>
        </w:tc>
      </w:tr>
      <w:tr>
        <w:tc>
          <w:tcPr>
            <w:tcW w:type="dxa" w:w="2268"/>
          </w:tcPr>
          <w:p>
            <w:pPr>
              <w:jc w:val="center"/>
            </w:pPr>
            <w:r>
              <w:rPr>
                <w:rFonts w:ascii="SimHei" w:hAnsi="SimHei" w:eastAsia="SimHei"/>
                <w:color w:val="3C3C3C"/>
                <w:sz w:val="17"/>
              </w:rPr>
              <w:t>1D-CNN</w:t>
            </w:r>
          </w:p>
        </w:tc>
        <w:tc>
          <w:tcPr>
            <w:tcW w:type="dxa" w:w="2268"/>
          </w:tcPr>
          <w:p>
            <w:pPr>
              <w:jc w:val="center"/>
            </w:pPr>
            <w:r>
              <w:rPr>
                <w:rFonts w:ascii="SimHei" w:hAnsi="SimHei" w:eastAsia="SimHei"/>
                <w:color w:val="3C3C3C"/>
                <w:sz w:val="17"/>
              </w:rPr>
              <w:t>0.9247</w:t>
            </w:r>
          </w:p>
        </w:tc>
        <w:tc>
          <w:tcPr>
            <w:tcW w:type="dxa" w:w="2268"/>
          </w:tcPr>
          <w:p>
            <w:pPr>
              <w:jc w:val="center"/>
            </w:pPr>
            <w:r>
              <w:rPr>
                <w:rFonts w:ascii="SimHei" w:hAnsi="SimHei" w:eastAsia="SimHei"/>
                <w:color w:val="3C3C3C"/>
                <w:sz w:val="17"/>
              </w:rPr>
              <w:t>0.9263</w:t>
            </w:r>
          </w:p>
        </w:tc>
        <w:tc>
          <w:tcPr>
            <w:tcW w:type="dxa" w:w="2268"/>
          </w:tcPr>
          <w:p>
            <w:pPr>
              <w:jc w:val="center"/>
            </w:pPr>
            <w:r>
              <w:rPr>
                <w:rFonts w:ascii="SimHei" w:hAnsi="SimHei" w:eastAsia="SimHei"/>
                <w:color w:val="3C3C3C"/>
                <w:sz w:val="17"/>
              </w:rPr>
              <w:t>129.1576</w:t>
            </w:r>
          </w:p>
        </w:tc>
      </w:tr>
      <w:tr>
        <w:tc>
          <w:tcPr>
            <w:tcW w:type="dxa" w:w="2268"/>
          </w:tcPr>
          <w:p>
            <w:pPr>
              <w:jc w:val="center"/>
            </w:pPr>
            <w:r>
              <w:rPr>
                <w:rFonts w:ascii="SimHei" w:hAnsi="SimHei" w:eastAsia="SimHei"/>
                <w:color w:val="3C3C3C"/>
                <w:sz w:val="17"/>
              </w:rPr>
              <w:t>LSTM</w:t>
            </w:r>
          </w:p>
        </w:tc>
        <w:tc>
          <w:tcPr>
            <w:tcW w:type="dxa" w:w="2268"/>
          </w:tcPr>
          <w:p>
            <w:pPr>
              <w:jc w:val="center"/>
            </w:pPr>
            <w:r>
              <w:rPr>
                <w:rFonts w:ascii="SimHei" w:hAnsi="SimHei" w:eastAsia="SimHei"/>
                <w:color w:val="3C3C3C"/>
                <w:sz w:val="17"/>
              </w:rPr>
              <w:t>0.8945</w:t>
            </w:r>
          </w:p>
        </w:tc>
        <w:tc>
          <w:tcPr>
            <w:tcW w:type="dxa" w:w="2268"/>
          </w:tcPr>
          <w:p>
            <w:pPr>
              <w:jc w:val="center"/>
            </w:pPr>
            <w:r>
              <w:rPr>
                <w:rFonts w:ascii="SimHei" w:hAnsi="SimHei" w:eastAsia="SimHei"/>
                <w:color w:val="3C3C3C"/>
                <w:sz w:val="17"/>
              </w:rPr>
              <w:t>0.8957</w:t>
            </w:r>
          </w:p>
        </w:tc>
        <w:tc>
          <w:tcPr>
            <w:tcW w:type="dxa" w:w="2268"/>
          </w:tcPr>
          <w:p>
            <w:pPr>
              <w:jc w:val="center"/>
            </w:pPr>
            <w:r>
              <w:rPr>
                <w:rFonts w:ascii="SimHei" w:hAnsi="SimHei" w:eastAsia="SimHei"/>
                <w:color w:val="3C3C3C"/>
                <w:sz w:val="17"/>
              </w:rPr>
              <w:t>255.1238</w:t>
            </w:r>
          </w:p>
        </w:tc>
      </w:tr>
    </w:tbl>
    <w:p>
      <w:pPr>
        <w:spacing w:before="0" w:after="80" w:line="324" w:lineRule="auto"/>
      </w:pPr>
      <w:r>
        <w:rPr>
          <w:rFonts w:ascii="SimHei" w:hAnsi="SimHei" w:eastAsia="SimHei"/>
          <w:b w:val="0"/>
          <w:color w:val="3C3C3C"/>
          <w:sz w:val="8"/>
        </w:rPr>
      </w:r>
    </w:p>
    <w:p>
      <w:pPr>
        <w:spacing w:before="0" w:after="120" w:line="336" w:lineRule="auto"/>
        <w:ind w:firstLine="420"/>
      </w:pPr>
      <w:r>
        <w:rPr>
          <w:rFonts w:ascii="SimHei" w:hAnsi="SimHei" w:eastAsia="SimHei"/>
          <w:b w:val="0"/>
          <w:color w:val="3C3C3C"/>
          <w:sz w:val="21"/>
        </w:rPr>
        <w:t>结果分析:</w:t>
      </w:r>
    </w:p>
    <w:p>
      <w:pPr>
        <w:spacing w:before="0" w:after="120" w:line="336" w:lineRule="auto"/>
        <w:ind w:firstLine="420"/>
      </w:pPr>
      <w:r>
        <w:rPr>
          <w:rFonts w:ascii="SimHei" w:hAnsi="SimHei" w:eastAsia="SimHei"/>
          <w:b w:val="0"/>
          <w:color w:val="3C3C3C"/>
          <w:sz w:val="21"/>
        </w:rPr>
        <w:t>[1] 最佳准确率: MLP (0.9447), 说明在 561 维手工特征上, 深层全连接网络能有效捕捉特征间的非线性交互关系。</w:t>
      </w:r>
    </w:p>
    <w:p>
      <w:pPr>
        <w:spacing w:before="0" w:after="120" w:line="336" w:lineRule="auto"/>
        <w:ind w:firstLine="420"/>
      </w:pPr>
      <w:r>
        <w:rPr>
          <w:rFonts w:ascii="SimHei" w:hAnsi="SimHei" w:eastAsia="SimHei"/>
          <w:b w:val="0"/>
          <w:color w:val="3C3C3C"/>
          <w:sz w:val="21"/>
        </w:rPr>
        <w:t>[2] 最佳 Macro-F1: MLP (0.9448), 在各活动类别上均有均衡的分类表现。</w:t>
      </w:r>
    </w:p>
    <w:p>
      <w:pPr>
        <w:spacing w:before="0" w:after="120" w:line="336" w:lineRule="auto"/>
        <w:ind w:firstLine="420"/>
      </w:pPr>
      <w:r>
        <w:rPr>
          <w:rFonts w:ascii="SimHei" w:hAnsi="SimHei" w:eastAsia="SimHei"/>
          <w:b w:val="0"/>
          <w:color w:val="3C3C3C"/>
          <w:sz w:val="21"/>
        </w:rPr>
        <w:t>[3] 最快训练: LightGBM (1.84s), 基于直方图的 leaf-wise 策略极大加速了训练过程。</w:t>
      </w:r>
    </w:p>
    <w:p>
      <w:pPr>
        <w:spacing w:before="0" w:after="120" w:line="336" w:lineRule="auto"/>
        <w:ind w:firstLine="420"/>
      </w:pPr>
      <w:r>
        <w:rPr>
          <w:rFonts w:ascii="SimHei" w:hAnsi="SimHei" w:eastAsia="SimHei"/>
          <w:b w:val="0"/>
          <w:color w:val="3C3C3C"/>
          <w:sz w:val="21"/>
        </w:rPr>
        <w:t>[4] 传统 ML 三剑客 (GBDT / XGBoost / LightGBM) 准确率均在 0.937 - 0.940 之间, 性能稳健且训练高效。</w:t>
      </w:r>
    </w:p>
    <w:p>
      <w:pPr>
        <w:spacing w:before="0" w:after="120" w:line="336" w:lineRule="auto"/>
        <w:ind w:firstLine="420"/>
      </w:pPr>
      <w:r>
        <w:rPr>
          <w:rFonts w:ascii="SimHei" w:hAnsi="SimHei" w:eastAsia="SimHei"/>
          <w:b w:val="0"/>
          <w:color w:val="3C3C3C"/>
          <w:sz w:val="21"/>
        </w:rPr>
        <w:t>[5] 深度学习模型中 MLP 表现最佳, 1D-CNN 和 GRU 次之 (0.925 - 0.926)。</w:t>
      </w:r>
    </w:p>
    <w:p>
      <w:pPr>
        <w:spacing w:before="0" w:after="120" w:line="336" w:lineRule="auto"/>
        <w:ind w:firstLine="420"/>
      </w:pPr>
      <w:r>
        <w:rPr>
          <w:rFonts w:ascii="SimHei" w:hAnsi="SimHei" w:eastAsia="SimHei"/>
          <w:b w:val="0"/>
          <w:color w:val="3C3C3C"/>
          <w:sz w:val="21"/>
        </w:rPr>
        <w:t>[6] LSTM 表现最差 (0.8945), 可能因为该任务的时序依赖模式相对简单, 双向 LSTM 的复杂结构反而导致过拟合。</w:t>
      </w:r>
    </w:p>
    <w:p>
      <w:pPr>
        <w:spacing w:before="0" w:after="120" w:line="336" w:lineRule="auto"/>
        <w:ind w:firstLine="420"/>
      </w:pPr>
      <w:r>
        <w:rPr>
          <w:rFonts w:ascii="SimHei" w:hAnsi="SimHei" w:eastAsia="SimHei"/>
          <w:b w:val="0"/>
          <w:color w:val="3C3C3C"/>
          <w:sz w:val="21"/>
        </w:rPr>
        <w:t>[7] 训练时间跨度极大: GRU (724s) &gt;&gt; LSTM (255s) &gt; 1D-CNN (129s) &gt;&gt; MLP (5s) &gt; GBDT (9s) &gt; XGBoost (3s) &gt; LightGBM (1.8s)。</w:t>
      </w:r>
    </w:p>
    <w:p>
      <w:pPr>
        <w:spacing w:before="0" w:after="120" w:line="336" w:lineRule="auto"/>
        <w:ind w:firstLine="420"/>
      </w:pPr>
      <w:r>
        <w:rPr>
          <w:rFonts w:ascii="SimHei" w:hAnsi="SimHei" w:eastAsia="SimHei"/>
          <w:b w:val="0"/>
          <w:color w:val="3C3C3C"/>
          <w:sz w:val="21"/>
        </w:rPr>
        <w:t>[8] LightGBM 以仅 1.84 秒的训练时间和 0.9403 的准确率, 实现了最佳的「性能 - 效率」性价比。</w:t>
      </w:r>
    </w:p>
    <w:p>
      <w:pPr>
        <w:spacing w:before="240" w:after="80" w:line="324" w:lineRule="auto"/>
      </w:pPr>
      <w:r>
        <w:rPr>
          <w:rFonts w:ascii="SimHei" w:hAnsi="SimHei" w:eastAsia="SimHei"/>
          <w:b/>
          <w:color w:val="505050"/>
          <w:sz w:val="24"/>
        </w:rPr>
        <w:t>实验条件差异的重要说明</w:t>
      </w:r>
    </w:p>
    <w:p>
      <w:pPr>
        <w:spacing w:before="0" w:after="120" w:line="336" w:lineRule="auto"/>
        <w:ind w:firstLine="420"/>
      </w:pPr>
      <w:r>
        <w:rPr>
          <w:rFonts w:ascii="SimHei" w:hAnsi="SimHei" w:eastAsia="SimHei"/>
          <w:b w:val="0"/>
          <w:color w:val="3C3C3C"/>
          <w:sz w:val="21"/>
        </w:rPr>
        <w:t>需要特别指出的是, 上述 7 个模型的实验条件并非完全对等, 这对结果解读有重要影响:</w:t>
      </w:r>
    </w:p>
    <w:p>
      <w:pPr>
        <w:spacing w:before="0" w:after="120" w:line="336" w:lineRule="auto"/>
        <w:ind w:firstLine="420"/>
      </w:pPr>
      <w:r>
        <w:rPr>
          <w:rFonts w:ascii="SimHei" w:hAnsi="SimHei" w:eastAsia="SimHei"/>
          <w:b w:val="0"/>
          <w:color w:val="3C3C3C"/>
          <w:sz w:val="21"/>
        </w:rPr>
        <w:t>传统机器学习模型 (GBDT、XGBoost、LightGBM、MLP) 均经过了完整的 「候选超参数搜索 + 验证集择优 + 早停确定最佳迭代轮数 + 全量训练集重训」流程。例如 GBDT 和 LightGBM 各尝试了 3 组候选配置 (不同深度、叶子数、学习率等), XGBoost 在此基础上还启用了 early_stopping_rounds = 10 的早停机制, MLP 的 sklearn 实现内置了 validation_fraction = 0.1 的早停。</w:t>
      </w:r>
    </w:p>
    <w:p>
      <w:pPr>
        <w:spacing w:before="0" w:after="120" w:line="336" w:lineRule="auto"/>
        <w:ind w:firstLine="420"/>
      </w:pPr>
      <w:r>
        <w:rPr>
          <w:rFonts w:ascii="SimHei" w:hAnsi="SimHei" w:eastAsia="SimHei"/>
          <w:b w:val="0"/>
          <w:color w:val="3C3C3C"/>
          <w:sz w:val="21"/>
        </w:rPr>
        <w:t>相比之下, 基于 PyTorch 实现的三个深度学习时序模型 (1D-CNN、LSTM、GRU) 使用了固定的网络结构和超参数, 既没有进行超参数搜索, 也没有使用验证集早停 (所有模型统一训练 40 epochs, 仅使用 ReduceLROnPlateau 调整学习率)。这意味着传统 ML 模型拿到了超参数优化的「红利」, 而深度时序模型没有。</w:t>
      </w:r>
    </w:p>
    <w:p>
      <w:pPr>
        <w:spacing w:before="0" w:after="120" w:line="336" w:lineRule="auto"/>
        <w:ind w:firstLine="420"/>
      </w:pPr>
      <w:r>
        <w:rPr>
          <w:rFonts w:ascii="SimHei" w:hAnsi="SimHei" w:eastAsia="SimHei"/>
          <w:b w:val="0"/>
          <w:color w:val="3C3C3C"/>
          <w:sz w:val="21"/>
        </w:rPr>
        <w:t>因此, 本实验中 LSTM (0.8945) 和 GRU (0.9260) 的相对劣势, 并不能简单地归因于「LSTM 不适合此任务」或「RNN 表达能力不足」。在不对等的实验条件下, 我们无法区分性能差距中 多少来自模型本身的能力差异, 多少来自调参机会的不均等。后续研究应当在统一的计算预算下 (例如所有模型使用相同轮数的随机搜索 或 Bayesian Optimization), 重新评估深度时序模型在该任务上的潜力。</w:t>
      </w:r>
    </w:p>
    <w:p>
      <w:r>
        <w:br w:type="page"/>
      </w:r>
    </w:p>
    <w:p>
      <w:pPr>
        <w:spacing w:before="160" w:after="80"/>
        <w:jc w:val="center"/>
      </w:pPr>
      <w:r>
        <w:drawing>
          <wp:inline xmlns:a="http://schemas.openxmlformats.org/drawingml/2006/main" xmlns:pic="http://schemas.openxmlformats.org/drawingml/2006/picture">
            <wp:extent cx="5120640" cy="1920240"/>
            <wp:docPr id="5" name="Picture 5"/>
            <wp:cNvGraphicFramePr>
              <a:graphicFrameLocks noChangeAspect="1"/>
            </wp:cNvGraphicFramePr>
            <a:graphic>
              <a:graphicData uri="http://schemas.openxmlformats.org/drawingml/2006/picture">
                <pic:pic>
                  <pic:nvPicPr>
                    <pic:cNvPr id="0" name="comparison_accuracy_f1.png"/>
                    <pic:cNvPicPr/>
                  </pic:nvPicPr>
                  <pic:blipFill>
                    <a:blip r:embed="rId13"/>
                    <a:stretch>
                      <a:fillRect/>
                    </a:stretch>
                  </pic:blipFill>
                  <pic:spPr>
                    <a:xfrm>
                      <a:off x="0" y="0"/>
                      <a:ext cx="5120640" cy="1920240"/>
                    </a:xfrm>
                    <a:prstGeom prst="rect"/>
                  </pic:spPr>
                </pic:pic>
              </a:graphicData>
            </a:graphic>
          </wp:inline>
        </w:drawing>
      </w:r>
    </w:p>
    <w:p>
      <w:pPr>
        <w:spacing w:before="40" w:after="200" w:line="324" w:lineRule="auto"/>
        <w:jc w:val="center"/>
      </w:pPr>
      <w:r>
        <w:rPr>
          <w:rFonts w:ascii="SimHei" w:hAnsi="SimHei" w:eastAsia="SimHei"/>
          <w:b w:val="0"/>
          <w:color w:val="808080"/>
          <w:sz w:val="18"/>
        </w:rPr>
        <w:t>图 5: 各模型准确率与 Macro-F1 对比</w:t>
      </w:r>
    </w:p>
    <w:p>
      <w:pPr>
        <w:spacing w:before="160" w:after="8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comparison_training_time.png"/>
                    <pic:cNvPicPr/>
                  </pic:nvPicPr>
                  <pic:blipFill>
                    <a:blip r:embed="rId14"/>
                    <a:stretch>
                      <a:fillRect/>
                    </a:stretch>
                  </pic:blipFill>
                  <pic:spPr>
                    <a:xfrm>
                      <a:off x="0" y="0"/>
                      <a:ext cx="4846320" cy="2423160"/>
                    </a:xfrm>
                    <a:prstGeom prst="rect"/>
                  </pic:spPr>
                </pic:pic>
              </a:graphicData>
            </a:graphic>
          </wp:inline>
        </w:drawing>
      </w:r>
    </w:p>
    <w:p>
      <w:pPr>
        <w:spacing w:before="40" w:after="200" w:line="324" w:lineRule="auto"/>
        <w:jc w:val="center"/>
      </w:pPr>
      <w:r>
        <w:rPr>
          <w:rFonts w:ascii="SimHei" w:hAnsi="SimHei" w:eastAsia="SimHei"/>
          <w:b w:val="0"/>
          <w:color w:val="808080"/>
          <w:sz w:val="18"/>
        </w:rPr>
        <w:t>图 6: 各模型训练时间对比</w:t>
      </w:r>
    </w:p>
    <w:p>
      <w:pPr>
        <w:spacing w:before="160" w:after="80"/>
        <w:jc w:val="center"/>
      </w:pPr>
      <w:r>
        <w:drawing>
          <wp:inline xmlns:a="http://schemas.openxmlformats.org/drawingml/2006/main" xmlns:pic="http://schemas.openxmlformats.org/drawingml/2006/picture">
            <wp:extent cx="4846320" cy="2827020"/>
            <wp:docPr id="7" name="Picture 7"/>
            <wp:cNvGraphicFramePr>
              <a:graphicFrameLocks noChangeAspect="1"/>
            </wp:cNvGraphicFramePr>
            <a:graphic>
              <a:graphicData uri="http://schemas.openxmlformats.org/drawingml/2006/picture">
                <pic:pic>
                  <pic:nvPicPr>
                    <pic:cNvPr id="0" name="comparison_accuracy_vs_time.png"/>
                    <pic:cNvPicPr/>
                  </pic:nvPicPr>
                  <pic:blipFill>
                    <a:blip r:embed="rId15"/>
                    <a:stretch>
                      <a:fillRect/>
                    </a:stretch>
                  </pic:blipFill>
                  <pic:spPr>
                    <a:xfrm>
                      <a:off x="0" y="0"/>
                      <a:ext cx="4846320" cy="2827020"/>
                    </a:xfrm>
                    <a:prstGeom prst="rect"/>
                  </pic:spPr>
                </pic:pic>
              </a:graphicData>
            </a:graphic>
          </wp:inline>
        </w:drawing>
      </w:r>
    </w:p>
    <w:p>
      <w:pPr>
        <w:spacing w:before="40" w:after="200" w:line="324" w:lineRule="auto"/>
        <w:jc w:val="center"/>
      </w:pPr>
      <w:r>
        <w:rPr>
          <w:rFonts w:ascii="SimHei" w:hAnsi="SimHei" w:eastAsia="SimHei"/>
          <w:b w:val="0"/>
          <w:color w:val="808080"/>
          <w:sz w:val="18"/>
        </w:rPr>
        <w:t>图 7: 准确率 vs 训练时间散点图</w:t>
      </w:r>
    </w:p>
    <w:p>
      <w:r>
        <w:br w:type="page"/>
      </w:r>
    </w:p>
    <w:p>
      <w:pPr>
        <w:spacing w:before="240" w:after="80" w:line="324" w:lineRule="auto"/>
      </w:pPr>
      <w:r>
        <w:rPr>
          <w:rFonts w:ascii="SimHei" w:hAnsi="SimHei" w:eastAsia="SimHei"/>
          <w:b/>
          <w:color w:val="505050"/>
          <w:sz w:val="24"/>
        </w:rPr>
        <w:t>混淆矩阵分析与易混淆活动</w:t>
      </w:r>
    </w:p>
    <w:p>
      <w:pPr>
        <w:spacing w:before="0" w:after="120" w:line="336" w:lineRule="auto"/>
        <w:ind w:firstLine="420"/>
      </w:pPr>
      <w:r>
        <w:rPr>
          <w:rFonts w:ascii="SimHei" w:hAnsi="SimHei" w:eastAsia="SimHei"/>
          <w:b w:val="0"/>
          <w:color w:val="3C3C3C"/>
          <w:sz w:val="21"/>
        </w:rPr>
        <w:t>所有 7 个模型的混淆矩阵呈现出一个高度一致的模式: 最具区分度的活动类别是 LAYING (躺着), 几乎所有模型对该类别的识别准确率接近 100%, 这是因为手机在人体平躺时的三轴朝向与站立/坐着时完全不同, 加速度计读数差异极大。相比之下, 最易混淆的活动对是 SITTING (坐着) 与 STANDING (站立)。</w:t>
      </w:r>
    </w:p>
    <w:p>
      <w:pPr>
        <w:spacing w:before="0" w:after="120" w:line="336" w:lineRule="auto"/>
        <w:ind w:firstLine="420"/>
      </w:pPr>
      <w:r>
        <w:rPr>
          <w:rFonts w:ascii="SimHei" w:hAnsi="SimHei" w:eastAsia="SimHei"/>
          <w:b w:val="0"/>
          <w:color w:val="3C3C3C"/>
          <w:sz w:val="21"/>
        </w:rPr>
        <w:t>从物理信号角度分析, SITTING 和 STANDING 的混淆具有内在合理性: 两种姿态下人体躯干均保持静止, 加速度计主要记录的是重力分量, 而动信号 (body acceleration) 都接近于零。手机固定于腰部的实验设定, 使得坐姿和站姿的传感器读数在时域和频域上高度相似, 即使精心提取的 561 维特征也难以稳定区分二者。相比之下, WALKING (行走) 及其上下楼变体由于具有明显的周期性加速度变化, 特征区分度更高, 各模型的混淆也相对较少。</w:t>
      </w:r>
    </w:p>
    <w:p>
      <w:pPr>
        <w:spacing w:before="0" w:after="120" w:line="336" w:lineRule="auto"/>
        <w:ind w:firstLine="420"/>
      </w:pPr>
      <w:r>
        <w:rPr>
          <w:rFonts w:ascii="SimHei" w:hAnsi="SimHei" w:eastAsia="SimHei"/>
          <w:b w:val="0"/>
          <w:color w:val="3C3C3C"/>
          <w:sz w:val="21"/>
        </w:rPr>
        <w:t>这一发现的实践意义在于: 如果该模型被部署于需要高精度区分 静坐与静立场景的应用 (如老年人日常活动监测、办公久坐提醒), 当前的传感器特征可能不足以提供可靠的分类信号, 应考虑引入额外的传感器模态 (如气压计检测高度变化) 或使用时序模型中更长的时间窗口来捕捉姿态转换的动态过程。</w:t>
      </w:r>
    </w:p>
    <w:p>
      <w:pPr>
        <w:spacing w:before="0" w:after="120" w:line="336" w:lineRule="auto"/>
        <w:ind w:firstLine="420"/>
      </w:pPr>
      <w:r>
        <w:rPr>
          <w:rFonts w:ascii="SimHei" w:hAnsi="SimHei" w:eastAsia="SimHei"/>
          <w:b w:val="0"/>
          <w:color w:val="3C3C3C"/>
          <w:sz w:val="21"/>
        </w:rPr>
        <w:t>以下为各模型在测试集上的归一化混淆矩阵:</w:t>
      </w:r>
    </w:p>
    <w:p>
      <w:pPr>
        <w:spacing w:before="160" w:after="80"/>
        <w:jc w:val="center"/>
      </w:pPr>
      <w:r>
        <w:drawing>
          <wp:inline xmlns:a="http://schemas.openxmlformats.org/drawingml/2006/main" xmlns:pic="http://schemas.openxmlformats.org/drawingml/2006/picture">
            <wp:extent cx="3657600" cy="2844800"/>
            <wp:docPr id="8" name="Picture 8"/>
            <wp:cNvGraphicFramePr>
              <a:graphicFrameLocks noChangeAspect="1"/>
            </wp:cNvGraphicFramePr>
            <a:graphic>
              <a:graphicData uri="http://schemas.openxmlformats.org/drawingml/2006/picture">
                <pic:pic>
                  <pic:nvPicPr>
                    <pic:cNvPr id="0" name="gbdt_confusion_matrix.png"/>
                    <pic:cNvPicPr/>
                  </pic:nvPicPr>
                  <pic:blipFill>
                    <a:blip r:embed="rId16"/>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GBDT 归一化混淆矩阵</w:t>
      </w:r>
    </w:p>
    <w:p>
      <w:pPr>
        <w:spacing w:before="160" w:after="80"/>
        <w:jc w:val="center"/>
      </w:pPr>
      <w:r>
        <w:drawing>
          <wp:inline xmlns:a="http://schemas.openxmlformats.org/drawingml/2006/main" xmlns:pic="http://schemas.openxmlformats.org/drawingml/2006/picture">
            <wp:extent cx="3657600" cy="2844800"/>
            <wp:docPr id="9" name="Picture 9"/>
            <wp:cNvGraphicFramePr>
              <a:graphicFrameLocks noChangeAspect="1"/>
            </wp:cNvGraphicFramePr>
            <a:graphic>
              <a:graphicData uri="http://schemas.openxmlformats.org/drawingml/2006/picture">
                <pic:pic>
                  <pic:nvPicPr>
                    <pic:cNvPr id="0" name="xgboost_confusion_matrix.png"/>
                    <pic:cNvPicPr/>
                  </pic:nvPicPr>
                  <pic:blipFill>
                    <a:blip r:embed="rId17"/>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XGBOOST 归一化混淆矩阵</w:t>
      </w:r>
    </w:p>
    <w:p>
      <w:pPr>
        <w:spacing w:before="160" w:after="80"/>
        <w:jc w:val="center"/>
      </w:pPr>
      <w:r>
        <w:drawing>
          <wp:inline xmlns:a="http://schemas.openxmlformats.org/drawingml/2006/main" xmlns:pic="http://schemas.openxmlformats.org/drawingml/2006/picture">
            <wp:extent cx="3657600" cy="2844800"/>
            <wp:docPr id="10" name="Picture 10"/>
            <wp:cNvGraphicFramePr>
              <a:graphicFrameLocks noChangeAspect="1"/>
            </wp:cNvGraphicFramePr>
            <a:graphic>
              <a:graphicData uri="http://schemas.openxmlformats.org/drawingml/2006/picture">
                <pic:pic>
                  <pic:nvPicPr>
                    <pic:cNvPr id="0" name="lightgbm_confusion_matrix.png"/>
                    <pic:cNvPicPr/>
                  </pic:nvPicPr>
                  <pic:blipFill>
                    <a:blip r:embed="rId18"/>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LIGHTGBM 归一化混淆矩阵</w:t>
      </w:r>
    </w:p>
    <w:p>
      <w:pPr>
        <w:spacing w:before="160" w:after="80"/>
        <w:jc w:val="center"/>
      </w:pPr>
      <w:r>
        <w:drawing>
          <wp:inline xmlns:a="http://schemas.openxmlformats.org/drawingml/2006/main" xmlns:pic="http://schemas.openxmlformats.org/drawingml/2006/picture">
            <wp:extent cx="3657600" cy="2844800"/>
            <wp:docPr id="11" name="Picture 11"/>
            <wp:cNvGraphicFramePr>
              <a:graphicFrameLocks noChangeAspect="1"/>
            </wp:cNvGraphicFramePr>
            <a:graphic>
              <a:graphicData uri="http://schemas.openxmlformats.org/drawingml/2006/picture">
                <pic:pic>
                  <pic:nvPicPr>
                    <pic:cNvPr id="0" name="mlp_confusion_matrix.png"/>
                    <pic:cNvPicPr/>
                  </pic:nvPicPr>
                  <pic:blipFill>
                    <a:blip r:embed="rId19"/>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MLP 归一化混淆矩阵</w:t>
      </w:r>
    </w:p>
    <w:p>
      <w:pPr>
        <w:spacing w:before="160" w:after="80"/>
        <w:jc w:val="center"/>
      </w:pPr>
      <w:r>
        <w:drawing>
          <wp:inline xmlns:a="http://schemas.openxmlformats.org/drawingml/2006/main" xmlns:pic="http://schemas.openxmlformats.org/drawingml/2006/picture">
            <wp:extent cx="3657600" cy="2844800"/>
            <wp:docPr id="12" name="Picture 12"/>
            <wp:cNvGraphicFramePr>
              <a:graphicFrameLocks noChangeAspect="1"/>
            </wp:cNvGraphicFramePr>
            <a:graphic>
              <a:graphicData uri="http://schemas.openxmlformats.org/drawingml/2006/picture">
                <pic:pic>
                  <pic:nvPicPr>
                    <pic:cNvPr id="0" name="lstm_confusion_matrix.png"/>
                    <pic:cNvPicPr/>
                  </pic:nvPicPr>
                  <pic:blipFill>
                    <a:blip r:embed="rId20"/>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LSTM 归一化混淆矩阵</w:t>
      </w:r>
    </w:p>
    <w:p>
      <w:pPr>
        <w:spacing w:before="160" w:after="80"/>
        <w:jc w:val="center"/>
      </w:pPr>
      <w:r>
        <w:drawing>
          <wp:inline xmlns:a="http://schemas.openxmlformats.org/drawingml/2006/main" xmlns:pic="http://schemas.openxmlformats.org/drawingml/2006/picture">
            <wp:extent cx="3657600" cy="2844800"/>
            <wp:docPr id="13" name="Picture 13"/>
            <wp:cNvGraphicFramePr>
              <a:graphicFrameLocks noChangeAspect="1"/>
            </wp:cNvGraphicFramePr>
            <a:graphic>
              <a:graphicData uri="http://schemas.openxmlformats.org/drawingml/2006/picture">
                <pic:pic>
                  <pic:nvPicPr>
                    <pic:cNvPr id="0" name="gru_confusion_matrix.png"/>
                    <pic:cNvPicPr/>
                  </pic:nvPicPr>
                  <pic:blipFill>
                    <a:blip r:embed="rId21"/>
                    <a:stretch>
                      <a:fillRect/>
                    </a:stretch>
                  </pic:blipFill>
                  <pic:spPr>
                    <a:xfrm>
                      <a:off x="0" y="0"/>
                      <a:ext cx="3657600" cy="2844800"/>
                    </a:xfrm>
                    <a:prstGeom prst="rect"/>
                  </pic:spPr>
                </pic:pic>
              </a:graphicData>
            </a:graphic>
          </wp:inline>
        </w:drawing>
      </w:r>
    </w:p>
    <w:p>
      <w:pPr>
        <w:spacing w:before="40" w:after="200" w:line="324" w:lineRule="auto"/>
        <w:jc w:val="center"/>
      </w:pPr>
      <w:r>
        <w:rPr>
          <w:rFonts w:ascii="SimHei" w:hAnsi="SimHei" w:eastAsia="SimHei"/>
          <w:b w:val="0"/>
          <w:color w:val="808080"/>
          <w:sz w:val="18"/>
        </w:rPr>
        <w:t>图: GRU 归一化混淆矩阵</w:t>
      </w:r>
    </w:p>
    <w:p>
      <w:r>
        <w:br w:type="page"/>
      </w:r>
    </w:p>
    <w:p>
      <w:pPr>
        <w:spacing w:before="240" w:after="80" w:line="324" w:lineRule="auto"/>
      </w:pPr>
      <w:r>
        <w:rPr>
          <w:rFonts w:ascii="SimHei" w:hAnsi="SimHei" w:eastAsia="SimHei"/>
          <w:b/>
          <w:color w:val="505050"/>
          <w:sz w:val="24"/>
        </w:rPr>
        <w:t>1.6 实验三小结</w:t>
      </w:r>
    </w:p>
    <w:p>
      <w:pPr>
        <w:spacing w:before="0" w:after="120" w:line="336" w:lineRule="auto"/>
        <w:ind w:firstLine="420"/>
      </w:pPr>
      <w:r>
        <w:rPr>
          <w:rFonts w:ascii="SimHei" w:hAnsi="SimHei" w:eastAsia="SimHei"/>
          <w:b w:val="0"/>
          <w:color w:val="3C3C3C"/>
          <w:sz w:val="21"/>
        </w:rPr>
        <w:t>通过系统对比 7 个模型在 UCI HAR 数据集上的表现, 本实验得出以下结论:</w:t>
      </w:r>
    </w:p>
    <w:p>
      <w:pPr>
        <w:spacing w:before="0" w:after="120" w:line="336" w:lineRule="auto"/>
        <w:ind w:firstLine="420"/>
      </w:pPr>
      <w:r>
        <w:rPr>
          <w:rFonts w:ascii="SimHei" w:hAnsi="SimHei" w:eastAsia="SimHei"/>
          <w:b w:val="0"/>
          <w:color w:val="3C3C3C"/>
          <w:sz w:val="21"/>
        </w:rPr>
        <w:t>[1] 在 561 维手工特征这一输入表示下, MLP 取得了最高的测试准确率 (0.9447) 和 Macro-F1 (0.9448)。这表明对于结构化、精心设计的特征, 全连接网络能够有效捕捉特征间的非线性交互关系, 在本任务上的表现不逊于更复杂的时序模型。</w:t>
      </w:r>
    </w:p>
    <w:p>
      <w:pPr>
        <w:spacing w:before="0" w:after="120" w:line="336" w:lineRule="auto"/>
        <w:ind w:firstLine="420"/>
      </w:pPr>
      <w:r>
        <w:rPr>
          <w:rFonts w:ascii="SimHei" w:hAnsi="SimHei" w:eastAsia="SimHei"/>
          <w:b w:val="0"/>
          <w:color w:val="3C3C3C"/>
          <w:sz w:val="21"/>
        </w:rPr>
        <w:t>[2] 传统集成学习方法 (GBDT / XGBoost / LightGBM) 在训练速度和性能之间取得了优秀平衡。 其中 LightGBM 以不到 2 秒的训练时间和 0.9403 的准确率, 成为本实验中「性能 - 效率」性价比最高的模型, 是实际工程部署的首选方案。</w:t>
      </w:r>
    </w:p>
    <w:p>
      <w:pPr>
        <w:spacing w:before="0" w:after="120" w:line="336" w:lineRule="auto"/>
        <w:ind w:firstLine="420"/>
      </w:pPr>
      <w:r>
        <w:rPr>
          <w:rFonts w:ascii="SimHei" w:hAnsi="SimHei" w:eastAsia="SimHei"/>
          <w:b w:val="0"/>
          <w:color w:val="3C3C3C"/>
          <w:sz w:val="21"/>
        </w:rPr>
        <w:t>[3] 基于原始信号的深度学习时序模型 (1D-CNN / LSTM / GRU) 在本实验中整体表现低于预期, 且训练时间显著增加。可能的原因包括: (a) 手工特征已经提取了原始信号的核心统计信息, 直接使用时序信号未带来额外的判别优势; (b) 该任务的时序模式较为简单 (活动在 2.56 秒窗口内变化有限), RNN 类模型的序列建模能力未能充分发挥; (c) 训练数据量 (7,352 条) 对于从头训练的双向 LSTM / GRU 而言相对有限; (d) 深度时序模型未进行超参数搜索和验证集早停, 实验条件与传统 ML 模型不对等 (详见 1.5 节说明)。</w:t>
      </w:r>
    </w:p>
    <w:p>
      <w:pPr>
        <w:spacing w:before="0" w:after="120" w:line="336" w:lineRule="auto"/>
        <w:ind w:firstLine="420"/>
      </w:pPr>
      <w:r>
        <w:rPr>
          <w:rFonts w:ascii="SimHei" w:hAnsi="SimHei" w:eastAsia="SimHei"/>
          <w:b w:val="0"/>
          <w:color w:val="3C3C3C"/>
          <w:sz w:val="21"/>
        </w:rPr>
        <w:t>[4] 从混淆矩阵的跨模型分析来看, SITTING 与 STANDING 是所有模型共同面临的挑战性易混淆活动对, 其根源在于两种姿态下腰部传感器的加速度信号高度相似。 这提示在实际应用中, 若需要对静态姿态做精细区分, 仅依赖加速度和陀螺仪信号可能不够, 应结合其他模态传感器。</w:t>
      </w:r>
    </w:p>
    <w:p>
      <w:pPr>
        <w:spacing w:before="240" w:after="80" w:line="324" w:lineRule="auto"/>
      </w:pPr>
      <w:r>
        <w:rPr>
          <w:rFonts w:ascii="SimHei" w:hAnsi="SimHei" w:eastAsia="SimHei"/>
          <w:b/>
          <w:color w:val="505050"/>
          <w:sz w:val="24"/>
        </w:rPr>
        <w:t>实验局限性</w:t>
      </w:r>
    </w:p>
    <w:p>
      <w:pPr>
        <w:spacing w:before="0" w:after="120" w:line="336" w:lineRule="auto"/>
        <w:ind w:firstLine="420"/>
      </w:pPr>
      <w:r>
        <w:rPr>
          <w:rFonts w:ascii="SimHei" w:hAnsi="SimHei" w:eastAsia="SimHei"/>
          <w:b w:val="0"/>
          <w:color w:val="3C3C3C"/>
          <w:sz w:val="21"/>
        </w:rPr>
        <w:t>本实验存在以下需要坦诚讨论的局限性, 在解读结论时应予考虑:</w:t>
      </w:r>
    </w:p>
    <w:p>
      <w:pPr>
        <w:spacing w:before="0" w:after="120" w:line="336" w:lineRule="auto"/>
        <w:ind w:firstLine="420"/>
      </w:pPr>
      <w:r>
        <w:rPr>
          <w:rFonts w:ascii="SimHei" w:hAnsi="SimHei" w:eastAsia="SimHei"/>
          <w:b w:val="0"/>
          <w:color w:val="3C3C3C"/>
          <w:sz w:val="21"/>
        </w:rPr>
        <w:t>(1) 实验条件不对等: 传统 ML 模型经过了候选超参数搜索与验证集择优, 而 PyTorch 实现的深度时序模型使用了固定超参数。这导致两类模型之间的性能比较存在系统性偏差, 深度时序模型的真实潜力可能被低估。</w:t>
      </w:r>
    </w:p>
    <w:p>
      <w:pPr>
        <w:spacing w:before="0" w:after="120" w:line="336" w:lineRule="auto"/>
        <w:ind w:firstLine="420"/>
      </w:pPr>
      <w:r>
        <w:rPr>
          <w:rFonts w:ascii="SimHei" w:hAnsi="SimHei" w:eastAsia="SimHei"/>
          <w:b w:val="0"/>
          <w:color w:val="3C3C3C"/>
          <w:sz w:val="21"/>
        </w:rPr>
        <w:t>(2) 单次运行: 所有模型仅训练和评估了一次 (固定随机种子), 未报告多次运行的均值和标准差。对于深度学习模型, 不同随机初始化可能导致结果波动, 单次运行结果的可靠性有限。</w:t>
      </w:r>
    </w:p>
    <w:p>
      <w:pPr>
        <w:spacing w:before="0" w:after="120" w:line="336" w:lineRule="auto"/>
        <w:ind w:firstLine="420"/>
      </w:pPr>
      <w:r>
        <w:rPr>
          <w:rFonts w:ascii="SimHei" w:hAnsi="SimHei" w:eastAsia="SimHei"/>
          <w:b w:val="0"/>
          <w:color w:val="3C3C3C"/>
          <w:sz w:val="21"/>
        </w:rPr>
        <w:t>(3) 超参数选择: 本实验的超参数主要基于经验和常规实践, 未使用系统的超参数优化方法 (如 Grid Search、Bayesian Optimization)。</w:t>
      </w:r>
    </w:p>
    <w:p>
      <w:pPr>
        <w:spacing w:before="240" w:after="80" w:line="324" w:lineRule="auto"/>
      </w:pPr>
      <w:r>
        <w:rPr>
          <w:rFonts w:ascii="SimHei" w:hAnsi="SimHei" w:eastAsia="SimHei"/>
          <w:b/>
          <w:color w:val="505050"/>
          <w:sz w:val="24"/>
        </w:rPr>
        <w:t>推荐方案</w:t>
      </w:r>
    </w:p>
    <w:p>
      <w:pPr>
        <w:spacing w:before="0" w:after="120" w:line="336" w:lineRule="auto"/>
        <w:ind w:firstLine="420"/>
      </w:pPr>
      <w:r>
        <w:rPr>
          <w:rFonts w:ascii="SimHei" w:hAnsi="SimHei" w:eastAsia="SimHei"/>
          <w:b w:val="0"/>
          <w:color w:val="3C3C3C"/>
          <w:sz w:val="21"/>
        </w:rPr>
        <w:t>在此实验条件下: 如果追求最高精度, 选择 MLP; 如果追求效率与精度的最优平衡, 选择 LightGBM。 但需注意, 若在统一实验条件下重新评估, 深度时序模型的排名可能会发生变化。</w:t>
      </w:r>
    </w:p>
    <w:p>
      <w:r>
        <w:br w:type="page"/>
      </w:r>
    </w:p>
    <w:p>
      <w:pPr>
        <w:spacing w:before="360" w:after="160" w:line="324" w:lineRule="auto"/>
        <w:pBdr>
          <w:bottom w:val="single" w:sz="8" w:space="4" w:color="9DC8E8"/>
        </w:pBdr>
      </w:pPr>
      <w:r>
        <w:rPr>
          <w:rFonts w:ascii="SimHei" w:hAnsi="SimHei" w:eastAsia="SimHei"/>
          <w:b/>
          <w:color w:val="334A54"/>
          <w:sz w:val="32"/>
        </w:rPr>
        <w:t>二、实验四: MNIST 手写数字识别 (CNN)</w:t>
      </w:r>
    </w:p>
    <w:p>
      <w:pPr>
        <w:spacing w:before="240" w:after="80" w:line="324" w:lineRule="auto"/>
      </w:pPr>
      <w:r>
        <w:rPr>
          <w:rFonts w:ascii="SimHei" w:hAnsi="SimHei" w:eastAsia="SimHei"/>
          <w:b/>
          <w:color w:val="505050"/>
          <w:sz w:val="24"/>
        </w:rPr>
        <w:t>2.1 实验目标</w:t>
      </w:r>
    </w:p>
    <w:p>
      <w:pPr>
        <w:spacing w:before="0" w:after="120" w:line="336" w:lineRule="auto"/>
        <w:ind w:firstLine="420"/>
      </w:pPr>
      <w:r>
        <w:rPr>
          <w:rFonts w:ascii="SimHei" w:hAnsi="SimHei" w:eastAsia="SimHei"/>
          <w:b w:val="0"/>
          <w:color w:val="3C3C3C"/>
          <w:sz w:val="21"/>
        </w:rPr>
        <w:t>本实验以 MNIST 手写数字数据集为研究对象, 使用卷积神经网络 (CNN) 实现 0 - 9 十个数字的自动识别。 目标是掌握 CNN 的基本架构设计、训练流程和评估方法, 理解卷积层、池化层、全连接层在图像识别任务中的各自作用。</w:t>
      </w:r>
    </w:p>
    <w:p>
      <w:pPr>
        <w:spacing w:before="240" w:after="80" w:line="324" w:lineRule="auto"/>
      </w:pPr>
      <w:r>
        <w:rPr>
          <w:rFonts w:ascii="SimHei" w:hAnsi="SimHei" w:eastAsia="SimHei"/>
          <w:b/>
          <w:color w:val="505050"/>
          <w:sz w:val="24"/>
        </w:rPr>
        <w:t>2.2 数据集介绍</w:t>
      </w:r>
    </w:p>
    <w:p>
      <w:pPr>
        <w:spacing w:before="0" w:after="120" w:line="336" w:lineRule="auto"/>
        <w:ind w:firstLine="420"/>
      </w:pPr>
      <w:r>
        <w:rPr>
          <w:rFonts w:ascii="SimHei" w:hAnsi="SimHei" w:eastAsia="SimHei"/>
          <w:b w:val="0"/>
          <w:color w:val="3C3C3C"/>
          <w:sz w:val="21"/>
        </w:rPr>
        <w:t>MNIST (Modified National Institute of Standards and Technology) 是经典的手写数字图像数据集, 包含 70,000 张 28 x 28 像素的灰度图像。 其中训练集 60,000 张, 测试集 10,000 张, 每张图像对应 0 - 9 中的一个数字标签。 该数据集因规模适中、图像结构简单, 被广泛用于图像分类算法的基准测试和教学演示。</w:t>
      </w:r>
    </w:p>
    <w:p>
      <w:pPr>
        <w:spacing w:before="160" w:after="80"/>
        <w:jc w:val="center"/>
      </w:pPr>
      <w:r>
        <w:drawing>
          <wp:inline xmlns:a="http://schemas.openxmlformats.org/drawingml/2006/main" xmlns:pic="http://schemas.openxmlformats.org/drawingml/2006/picture">
            <wp:extent cx="4754880" cy="1981200"/>
            <wp:docPr id="14" name="Picture 14"/>
            <wp:cNvGraphicFramePr>
              <a:graphicFrameLocks noChangeAspect="1"/>
            </wp:cNvGraphicFramePr>
            <a:graphic>
              <a:graphicData uri="http://schemas.openxmlformats.org/drawingml/2006/picture">
                <pic:pic>
                  <pic:nvPicPr>
                    <pic:cNvPr id="0" name="mnist_samples.png"/>
                    <pic:cNvPicPr/>
                  </pic:nvPicPr>
                  <pic:blipFill>
                    <a:blip r:embed="rId22"/>
                    <a:stretch>
                      <a:fillRect/>
                    </a:stretch>
                  </pic:blipFill>
                  <pic:spPr>
                    <a:xfrm>
                      <a:off x="0" y="0"/>
                      <a:ext cx="4754880" cy="1981200"/>
                    </a:xfrm>
                    <a:prstGeom prst="rect"/>
                  </pic:spPr>
                </pic:pic>
              </a:graphicData>
            </a:graphic>
          </wp:inline>
        </w:drawing>
      </w:r>
    </w:p>
    <w:p>
      <w:pPr>
        <w:spacing w:before="40" w:after="200" w:line="324" w:lineRule="auto"/>
        <w:jc w:val="center"/>
      </w:pPr>
      <w:r>
        <w:rPr>
          <w:rFonts w:ascii="SimHei" w:hAnsi="SimHei" w:eastAsia="SimHei"/>
          <w:b w:val="0"/>
          <w:color w:val="808080"/>
          <w:sz w:val="18"/>
        </w:rPr>
        <w:t>图 8: MNIST 数据集样本展示</w:t>
      </w:r>
    </w:p>
    <w:p>
      <w:pPr>
        <w:spacing w:before="240" w:after="80" w:line="324" w:lineRule="auto"/>
      </w:pPr>
      <w:r>
        <w:rPr>
          <w:rFonts w:ascii="SimHei" w:hAnsi="SimHei" w:eastAsia="SimHei"/>
          <w:b/>
          <w:color w:val="505050"/>
          <w:sz w:val="24"/>
        </w:rPr>
        <w:t>2.3 CNN 模型架构</w:t>
      </w:r>
    </w:p>
    <w:p>
      <w:pPr>
        <w:spacing w:before="0" w:after="120" w:line="336" w:lineRule="auto"/>
        <w:ind w:firstLine="420"/>
      </w:pPr>
      <w:r>
        <w:rPr>
          <w:rFonts w:ascii="SimHei" w:hAnsi="SimHei" w:eastAsia="SimHei"/>
          <w:b w:val="0"/>
          <w:color w:val="3C3C3C"/>
          <w:sz w:val="21"/>
        </w:rPr>
        <w:t>本实验设计的 CNN 架构包含三个卷积块和全连接分类器:</w:t>
      </w:r>
    </w:p>
    <w:p>
      <w:pPr>
        <w:spacing w:before="0" w:after="120" w:line="324" w:lineRule="auto"/>
      </w:pPr>
      <w:r>
        <w:rPr>
          <w:rFonts w:ascii="SimHei" w:hAnsi="SimHei" w:eastAsia="SimHei"/>
          <w:b w:val="0"/>
          <w:color w:val="3C3C3C"/>
          <w:sz w:val="21"/>
        </w:rPr>
      </w:r>
    </w:p>
    <w:p>
      <w:pPr>
        <w:spacing w:before="0" w:after="120" w:line="324" w:lineRule="auto"/>
      </w:pPr>
      <w:r>
        <w:rPr>
          <w:rFonts w:ascii="SimHei" w:hAnsi="SimHei" w:eastAsia="SimHei"/>
          <w:b w:val="0"/>
          <w:color w:val="3C3C3C"/>
          <w:sz w:val="21"/>
        </w:rPr>
        <w:t>Block 1: Conv2D(1 -&gt; 32, 3x3) x 2 + BN + ReLU + MaxPool(2x2) + Dropout2D(0.25)    [28 x 28] -&gt; [14 x 14 x 32]</w:t>
      </w:r>
    </w:p>
    <w:p>
      <w:pPr>
        <w:spacing w:before="0" w:after="120" w:line="324" w:lineRule="auto"/>
      </w:pPr>
      <w:r>
        <w:rPr>
          <w:rFonts w:ascii="SimHei" w:hAnsi="SimHei" w:eastAsia="SimHei"/>
          <w:b w:val="0"/>
          <w:color w:val="3C3C3C"/>
          <w:sz w:val="21"/>
        </w:rPr>
        <w:t>Block 2: Conv2D(32 -&gt; 64, 3x3) x 2 + BN + ReLU + MaxPool(2x2) + Dropout2D(0.25)    [14 x 14] -&gt; [7 x 7 x 64]</w:t>
      </w:r>
    </w:p>
    <w:p>
      <w:pPr>
        <w:spacing w:before="0" w:after="120" w:line="324" w:lineRule="auto"/>
      </w:pPr>
      <w:r>
        <w:rPr>
          <w:rFonts w:ascii="SimHei" w:hAnsi="SimHei" w:eastAsia="SimHei"/>
          <w:b w:val="0"/>
          <w:color w:val="3C3C3C"/>
          <w:sz w:val="21"/>
        </w:rPr>
        <w:t>Block 3: Conv2D(64 -&gt; 128, 3x3) x 2 + BN + ReLU + MaxPool(2x2) + Dropout2D(0.25)    [7 x 7] -&gt; [3 x 3 x 128]</w:t>
      </w:r>
    </w:p>
    <w:p>
      <w:pPr>
        <w:spacing w:before="0" w:after="120" w:line="324" w:lineRule="auto"/>
      </w:pPr>
      <w:r>
        <w:rPr>
          <w:rFonts w:ascii="SimHei" w:hAnsi="SimHei" w:eastAsia="SimHei"/>
          <w:b w:val="0"/>
          <w:color w:val="3C3C3C"/>
          <w:sz w:val="21"/>
        </w:rPr>
        <w:t>Classifier: Flatten -&gt; FC(1152 -&gt; 256) + ReLU + Dropout(0.5) -&gt; FC(256 -&gt; 128) + ReLU + Dropout(0.3) -&gt; FC(128 -&gt; 10)</w:t>
      </w:r>
    </w:p>
    <w:p>
      <w:pPr>
        <w:spacing w:before="0" w:after="120" w:line="324" w:lineRule="auto"/>
      </w:pPr>
      <w:r>
        <w:rPr>
          <w:rFonts w:ascii="SimHei" w:hAnsi="SimHei" w:eastAsia="SimHei"/>
          <w:b w:val="0"/>
          <w:color w:val="3C3C3C"/>
          <w:sz w:val="21"/>
        </w:rPr>
      </w:r>
    </w:p>
    <w:p>
      <w:pPr>
        <w:spacing w:before="0" w:after="120" w:line="336" w:lineRule="auto"/>
        <w:ind w:firstLine="420"/>
      </w:pPr>
      <w:r>
        <w:rPr>
          <w:rFonts w:ascii="SimHei" w:hAnsi="SimHei" w:eastAsia="SimHei"/>
          <w:b w:val="0"/>
          <w:color w:val="3C3C3C"/>
          <w:sz w:val="21"/>
        </w:rPr>
        <w:t>训练配置: Adam (lr = 0.001), CrossEntropyLoss, ReduceLROnPlateau, BatchSize = 128, Epochs = 12。 模型总参数量约 62 万。</w:t>
      </w:r>
    </w:p>
    <w:p>
      <w:pPr>
        <w:spacing w:before="240" w:after="80" w:line="324" w:lineRule="auto"/>
      </w:pPr>
      <w:r>
        <w:rPr>
          <w:rFonts w:ascii="SimHei" w:hAnsi="SimHei" w:eastAsia="SimHei"/>
          <w:b/>
          <w:color w:val="505050"/>
          <w:sz w:val="24"/>
        </w:rPr>
        <w:t>2.4 实验结果分析</w:t>
      </w:r>
    </w:p>
    <w:p>
      <w:pPr>
        <w:spacing w:before="160" w:after="80" w:line="324" w:lineRule="auto"/>
        <w:jc w:val="center"/>
      </w:pPr>
      <w:r>
        <w:rPr>
          <w:rFonts w:ascii="SimHei" w:hAnsi="SimHei" w:eastAsia="SimHei"/>
          <w:b w:val="0"/>
          <w:color w:val="808080"/>
          <w:sz w:val="18"/>
        </w:rPr>
        <w:t>表 2: MNIST CNN 测试结果</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9DC8E8" w:val="clear"/>
          </w:tcPr>
          <w:p>
            <w:pPr>
              <w:jc w:val="center"/>
            </w:pPr>
            <w:r>
              <w:rPr>
                <w:rFonts w:ascii="SimHei" w:hAnsi="SimHei" w:eastAsia="SimHei"/>
                <w:b/>
                <w:color w:val="FFFFFF"/>
                <w:sz w:val="18"/>
              </w:rPr>
              <w:t>accuracy</w:t>
            </w:r>
          </w:p>
        </w:tc>
        <w:tc>
          <w:tcPr>
            <w:tcW w:type="dxa" w:w="1134"/>
            <w:shd w:fill="9DC8E8" w:val="clear"/>
          </w:tcPr>
          <w:p>
            <w:pPr>
              <w:jc w:val="center"/>
            </w:pPr>
            <w:r>
              <w:rPr>
                <w:rFonts w:ascii="SimHei" w:hAnsi="SimHei" w:eastAsia="SimHei"/>
                <w:b/>
                <w:color w:val="FFFFFF"/>
                <w:sz w:val="18"/>
              </w:rPr>
              <w:t>macro_precision</w:t>
            </w:r>
          </w:p>
        </w:tc>
        <w:tc>
          <w:tcPr>
            <w:tcW w:type="dxa" w:w="1134"/>
            <w:shd w:fill="9DC8E8" w:val="clear"/>
          </w:tcPr>
          <w:p>
            <w:pPr>
              <w:jc w:val="center"/>
            </w:pPr>
            <w:r>
              <w:rPr>
                <w:rFonts w:ascii="SimHei" w:hAnsi="SimHei" w:eastAsia="SimHei"/>
                <w:b/>
                <w:color w:val="FFFFFF"/>
                <w:sz w:val="18"/>
              </w:rPr>
              <w:t>macro_recall</w:t>
            </w:r>
          </w:p>
        </w:tc>
        <w:tc>
          <w:tcPr>
            <w:tcW w:type="dxa" w:w="1134"/>
            <w:shd w:fill="9DC8E8" w:val="clear"/>
          </w:tcPr>
          <w:p>
            <w:pPr>
              <w:jc w:val="center"/>
            </w:pPr>
            <w:r>
              <w:rPr>
                <w:rFonts w:ascii="SimHei" w:hAnsi="SimHei" w:eastAsia="SimHei"/>
                <w:b/>
                <w:color w:val="FFFFFF"/>
                <w:sz w:val="18"/>
              </w:rPr>
              <w:t>macro_f1</w:t>
            </w:r>
          </w:p>
        </w:tc>
        <w:tc>
          <w:tcPr>
            <w:tcW w:type="dxa" w:w="1134"/>
            <w:shd w:fill="9DC8E8" w:val="clear"/>
          </w:tcPr>
          <w:p>
            <w:pPr>
              <w:jc w:val="center"/>
            </w:pPr>
            <w:r>
              <w:rPr>
                <w:rFonts w:ascii="SimHei" w:hAnsi="SimHei" w:eastAsia="SimHei"/>
                <w:b/>
                <w:color w:val="FFFFFF"/>
                <w:sz w:val="18"/>
              </w:rPr>
              <w:t>weighted_f1</w:t>
            </w:r>
          </w:p>
        </w:tc>
        <w:tc>
          <w:tcPr>
            <w:tcW w:type="dxa" w:w="1134"/>
            <w:shd w:fill="9DC8E8" w:val="clear"/>
          </w:tcPr>
          <w:p>
            <w:pPr>
              <w:jc w:val="center"/>
            </w:pPr>
            <w:r>
              <w:rPr>
                <w:rFonts w:ascii="SimHei" w:hAnsi="SimHei" w:eastAsia="SimHei"/>
                <w:b/>
                <w:color w:val="FFFFFF"/>
                <w:sz w:val="18"/>
              </w:rPr>
              <w:t>train_time</w:t>
            </w:r>
          </w:p>
        </w:tc>
        <w:tc>
          <w:tcPr>
            <w:tcW w:type="dxa" w:w="1134"/>
            <w:shd w:fill="9DC8E8" w:val="clear"/>
          </w:tcPr>
          <w:p>
            <w:pPr>
              <w:jc w:val="center"/>
            </w:pPr>
            <w:r>
              <w:rPr>
                <w:rFonts w:ascii="SimHei" w:hAnsi="SimHei" w:eastAsia="SimHei"/>
                <w:b/>
                <w:color w:val="FFFFFF"/>
                <w:sz w:val="18"/>
              </w:rPr>
              <w:t>n_params</w:t>
            </w:r>
          </w:p>
        </w:tc>
        <w:tc>
          <w:tcPr>
            <w:tcW w:type="dxa" w:w="1134"/>
            <w:shd w:fill="9DC8E8" w:val="clear"/>
          </w:tcPr>
          <w:p>
            <w:pPr>
              <w:jc w:val="center"/>
            </w:pPr>
            <w:r>
              <w:rPr>
                <w:rFonts w:ascii="SimHei" w:hAnsi="SimHei" w:eastAsia="SimHei"/>
                <w:b/>
                <w:color w:val="FFFFFF"/>
                <w:sz w:val="18"/>
              </w:rPr>
              <w:t>best_val_acc</w:t>
            </w:r>
          </w:p>
        </w:tc>
      </w:tr>
      <w:tr>
        <w:tc>
          <w:tcPr>
            <w:tcW w:type="dxa" w:w="1134"/>
          </w:tcPr>
          <w:p>
            <w:pPr>
              <w:jc w:val="center"/>
            </w:pPr>
            <w:r>
              <w:rPr>
                <w:rFonts w:ascii="SimHei" w:hAnsi="SimHei" w:eastAsia="SimHei"/>
                <w:color w:val="3C3C3C"/>
                <w:sz w:val="17"/>
              </w:rPr>
              <w:t>0.9950</w:t>
            </w:r>
          </w:p>
        </w:tc>
        <w:tc>
          <w:tcPr>
            <w:tcW w:type="dxa" w:w="1134"/>
          </w:tcPr>
          <w:p>
            <w:pPr>
              <w:jc w:val="center"/>
            </w:pPr>
            <w:r>
              <w:rPr>
                <w:rFonts w:ascii="SimHei" w:hAnsi="SimHei" w:eastAsia="SimHei"/>
                <w:color w:val="3C3C3C"/>
                <w:sz w:val="17"/>
              </w:rPr>
              <w:t>0.9951</w:t>
            </w:r>
          </w:p>
        </w:tc>
        <w:tc>
          <w:tcPr>
            <w:tcW w:type="dxa" w:w="1134"/>
          </w:tcPr>
          <w:p>
            <w:pPr>
              <w:jc w:val="center"/>
            </w:pPr>
            <w:r>
              <w:rPr>
                <w:rFonts w:ascii="SimHei" w:hAnsi="SimHei" w:eastAsia="SimHei"/>
                <w:color w:val="3C3C3C"/>
                <w:sz w:val="17"/>
              </w:rPr>
              <w:t>0.9950</w:t>
            </w:r>
          </w:p>
        </w:tc>
        <w:tc>
          <w:tcPr>
            <w:tcW w:type="dxa" w:w="1134"/>
          </w:tcPr>
          <w:p>
            <w:pPr>
              <w:jc w:val="center"/>
            </w:pPr>
            <w:r>
              <w:rPr>
                <w:rFonts w:ascii="SimHei" w:hAnsi="SimHei" w:eastAsia="SimHei"/>
                <w:color w:val="3C3C3C"/>
                <w:sz w:val="17"/>
              </w:rPr>
              <w:t>0.9950</w:t>
            </w:r>
          </w:p>
        </w:tc>
        <w:tc>
          <w:tcPr>
            <w:tcW w:type="dxa" w:w="1134"/>
          </w:tcPr>
          <w:p>
            <w:pPr>
              <w:jc w:val="center"/>
            </w:pPr>
            <w:r>
              <w:rPr>
                <w:rFonts w:ascii="SimHei" w:hAnsi="SimHei" w:eastAsia="SimHei"/>
                <w:color w:val="3C3C3C"/>
                <w:sz w:val="17"/>
              </w:rPr>
              <w:t>0.9950</w:t>
            </w:r>
          </w:p>
        </w:tc>
        <w:tc>
          <w:tcPr>
            <w:tcW w:type="dxa" w:w="1134"/>
          </w:tcPr>
          <w:p>
            <w:pPr>
              <w:jc w:val="center"/>
            </w:pPr>
            <w:r>
              <w:rPr>
                <w:rFonts w:ascii="SimHei" w:hAnsi="SimHei" w:eastAsia="SimHei"/>
                <w:color w:val="3C3C3C"/>
                <w:sz w:val="17"/>
              </w:rPr>
              <w:t>727.4288</w:t>
            </w:r>
          </w:p>
        </w:tc>
        <w:tc>
          <w:tcPr>
            <w:tcW w:type="dxa" w:w="1134"/>
          </w:tcPr>
          <w:p>
            <w:pPr>
              <w:jc w:val="center"/>
            </w:pPr>
            <w:r>
              <w:rPr>
                <w:rFonts w:ascii="SimHei" w:hAnsi="SimHei" w:eastAsia="SimHei"/>
                <w:color w:val="3C3C3C"/>
                <w:sz w:val="17"/>
              </w:rPr>
              <w:t>616682.0000</w:t>
            </w:r>
          </w:p>
        </w:tc>
        <w:tc>
          <w:tcPr>
            <w:tcW w:type="dxa" w:w="1134"/>
          </w:tcPr>
          <w:p>
            <w:pPr>
              <w:jc w:val="center"/>
            </w:pPr>
            <w:r>
              <w:rPr>
                <w:rFonts w:ascii="SimHei" w:hAnsi="SimHei" w:eastAsia="SimHei"/>
                <w:color w:val="3C3C3C"/>
                <w:sz w:val="17"/>
              </w:rPr>
              <w:t>0.9950</w:t>
            </w:r>
          </w:p>
        </w:tc>
      </w:tr>
    </w:tbl>
    <w:p>
      <w:pPr>
        <w:spacing w:before="0" w:after="80" w:line="324" w:lineRule="auto"/>
      </w:pPr>
      <w:r>
        <w:rPr>
          <w:rFonts w:ascii="SimHei" w:hAnsi="SimHei" w:eastAsia="SimHei"/>
          <w:b w:val="0"/>
          <w:color w:val="3C3C3C"/>
          <w:sz w:val="8"/>
        </w:rPr>
      </w:r>
    </w:p>
    <w:p>
      <w:pPr>
        <w:spacing w:before="0" w:after="120" w:line="336" w:lineRule="auto"/>
        <w:ind w:firstLine="420"/>
      </w:pPr>
      <w:r>
        <w:rPr>
          <w:rFonts w:ascii="SimHei" w:hAnsi="SimHei" w:eastAsia="SimHei"/>
          <w:b w:val="0"/>
          <w:color w:val="3C3C3C"/>
          <w:sz w:val="21"/>
        </w:rPr>
        <w:t>最终测试结果: 测试集准确率 99.50%, Macro-F1 0.9950, 模型参数量 616,682。</w:t>
      </w:r>
    </w:p>
    <w:p>
      <w:pPr>
        <w:spacing w:before="0" w:after="120" w:line="336" w:lineRule="auto"/>
        <w:ind w:firstLine="420"/>
      </w:pPr>
      <w:r>
        <w:rPr>
          <w:rFonts w:ascii="SimHei" w:hAnsi="SimHei" w:eastAsia="SimHei"/>
          <w:b w:val="0"/>
          <w:color w:val="3C3C3C"/>
          <w:sz w:val="21"/>
        </w:rPr>
        <w:t>CNN 在 MNIST 任务上表现优异。 三层卷积有效提取了手写数字的局部笔画特征 (边缘、拐角、连笔等), 全连接层将高层特征映射到类别空间。 BatchNorm 加速了收敛速度, Dropout 有效防止了过拟合。 从 Per-Class Accuracy 来看, 所有 10 个数字类别的识别准确率均超过 99%, 模型在不同数字上表现非常均衡。</w:t>
      </w:r>
    </w:p>
    <w:p>
      <w:pPr>
        <w:spacing w:before="160" w:after="80"/>
        <w:jc w:val="center"/>
      </w:pPr>
      <w:r>
        <w:drawing>
          <wp:inline xmlns:a="http://schemas.openxmlformats.org/drawingml/2006/main" xmlns:pic="http://schemas.openxmlformats.org/drawingml/2006/picture">
            <wp:extent cx="4937760" cy="1763486"/>
            <wp:docPr id="15" name="Picture 15"/>
            <wp:cNvGraphicFramePr>
              <a:graphicFrameLocks noChangeAspect="1"/>
            </wp:cNvGraphicFramePr>
            <a:graphic>
              <a:graphicData uri="http://schemas.openxmlformats.org/drawingml/2006/picture">
                <pic:pic>
                  <pic:nvPicPr>
                    <pic:cNvPr id="0" name="mnist_training_curves.png"/>
                    <pic:cNvPicPr/>
                  </pic:nvPicPr>
                  <pic:blipFill>
                    <a:blip r:embed="rId23"/>
                    <a:stretch>
                      <a:fillRect/>
                    </a:stretch>
                  </pic:blipFill>
                  <pic:spPr>
                    <a:xfrm>
                      <a:off x="0" y="0"/>
                      <a:ext cx="4937760" cy="1763486"/>
                    </a:xfrm>
                    <a:prstGeom prst="rect"/>
                  </pic:spPr>
                </pic:pic>
              </a:graphicData>
            </a:graphic>
          </wp:inline>
        </w:drawing>
      </w:r>
    </w:p>
    <w:p>
      <w:pPr>
        <w:spacing w:before="40" w:after="200" w:line="324" w:lineRule="auto"/>
        <w:jc w:val="center"/>
      </w:pPr>
      <w:r>
        <w:rPr>
          <w:rFonts w:ascii="SimHei" w:hAnsi="SimHei" w:eastAsia="SimHei"/>
          <w:b w:val="0"/>
          <w:color w:val="808080"/>
          <w:sz w:val="18"/>
        </w:rPr>
        <w:t>图 9: MNIST CNN 训练曲线 (Loss 与 Accuracy)</w:t>
      </w:r>
    </w:p>
    <w:p>
      <w:pPr>
        <w:spacing w:before="160" w:after="80"/>
        <w:jc w:val="center"/>
      </w:pPr>
      <w:r>
        <w:drawing>
          <wp:inline xmlns:a="http://schemas.openxmlformats.org/drawingml/2006/main" xmlns:pic="http://schemas.openxmlformats.org/drawingml/2006/picture">
            <wp:extent cx="4572000" cy="3657600"/>
            <wp:docPr id="16" name="Picture 16"/>
            <wp:cNvGraphicFramePr>
              <a:graphicFrameLocks noChangeAspect="1"/>
            </wp:cNvGraphicFramePr>
            <a:graphic>
              <a:graphicData uri="http://schemas.openxmlformats.org/drawingml/2006/picture">
                <pic:pic>
                  <pic:nvPicPr>
                    <pic:cNvPr id="0" name="mnist_confusion_matrix.png"/>
                    <pic:cNvPicPr/>
                  </pic:nvPicPr>
                  <pic:blipFill>
                    <a:blip r:embed="rId24"/>
                    <a:stretch>
                      <a:fillRect/>
                    </a:stretch>
                  </pic:blipFill>
                  <pic:spPr>
                    <a:xfrm>
                      <a:off x="0" y="0"/>
                      <a:ext cx="4572000" cy="3657600"/>
                    </a:xfrm>
                    <a:prstGeom prst="rect"/>
                  </pic:spPr>
                </pic:pic>
              </a:graphicData>
            </a:graphic>
          </wp:inline>
        </w:drawing>
      </w:r>
    </w:p>
    <w:p>
      <w:pPr>
        <w:spacing w:before="40" w:after="200" w:line="324" w:lineRule="auto"/>
        <w:jc w:val="center"/>
      </w:pPr>
      <w:r>
        <w:rPr>
          <w:rFonts w:ascii="SimHei" w:hAnsi="SimHei" w:eastAsia="SimHei"/>
          <w:b w:val="0"/>
          <w:color w:val="808080"/>
          <w:sz w:val="18"/>
        </w:rPr>
        <w:t>图 10: MNIST CNN 归一化混淆矩阵</w:t>
      </w:r>
    </w:p>
    <w:p>
      <w:pPr>
        <w:spacing w:before="160" w:after="80"/>
        <w:jc w:val="center"/>
      </w:pPr>
      <w:r>
        <w:drawing>
          <wp:inline xmlns:a="http://schemas.openxmlformats.org/drawingml/2006/main" xmlns:pic="http://schemas.openxmlformats.org/drawingml/2006/picture">
            <wp:extent cx="4754880" cy="2377440"/>
            <wp:docPr id="17" name="Picture 17"/>
            <wp:cNvGraphicFramePr>
              <a:graphicFrameLocks noChangeAspect="1"/>
            </wp:cNvGraphicFramePr>
            <a:graphic>
              <a:graphicData uri="http://schemas.openxmlformats.org/drawingml/2006/picture">
                <pic:pic>
                  <pic:nvPicPr>
                    <pic:cNvPr id="0" name="mnist_per_class_accuracy.png"/>
                    <pic:cNvPicPr/>
                  </pic:nvPicPr>
                  <pic:blipFill>
                    <a:blip r:embed="rId25"/>
                    <a:stretch>
                      <a:fillRect/>
                    </a:stretch>
                  </pic:blipFill>
                  <pic:spPr>
                    <a:xfrm>
                      <a:off x="0" y="0"/>
                      <a:ext cx="4754880" cy="2377440"/>
                    </a:xfrm>
                    <a:prstGeom prst="rect"/>
                  </pic:spPr>
                </pic:pic>
              </a:graphicData>
            </a:graphic>
          </wp:inline>
        </w:drawing>
      </w:r>
    </w:p>
    <w:p>
      <w:pPr>
        <w:spacing w:before="40" w:after="200" w:line="324" w:lineRule="auto"/>
        <w:jc w:val="center"/>
      </w:pPr>
      <w:r>
        <w:rPr>
          <w:rFonts w:ascii="SimHei" w:hAnsi="SimHei" w:eastAsia="SimHei"/>
          <w:b w:val="0"/>
          <w:color w:val="808080"/>
          <w:sz w:val="18"/>
        </w:rPr>
        <w:t>图 11: 各类别准确率 (Per-Class Accuracy)</w:t>
      </w:r>
    </w:p>
    <w:p>
      <w:pPr>
        <w:spacing w:before="160" w:after="80"/>
        <w:jc w:val="center"/>
      </w:pPr>
      <w:r>
        <w:drawing>
          <wp:inline xmlns:a="http://schemas.openxmlformats.org/drawingml/2006/main" xmlns:pic="http://schemas.openxmlformats.org/drawingml/2006/picture">
            <wp:extent cx="4754880" cy="4754880"/>
            <wp:docPr id="18" name="Picture 18"/>
            <wp:cNvGraphicFramePr>
              <a:graphicFrameLocks noChangeAspect="1"/>
            </wp:cNvGraphicFramePr>
            <a:graphic>
              <a:graphicData uri="http://schemas.openxmlformats.org/drawingml/2006/picture">
                <pic:pic>
                  <pic:nvPicPr>
                    <pic:cNvPr id="0" name="mnist_sample_predictions.png"/>
                    <pic:cNvPicPr/>
                  </pic:nvPicPr>
                  <pic:blipFill>
                    <a:blip r:embed="rId26"/>
                    <a:stretch>
                      <a:fillRect/>
                    </a:stretch>
                  </pic:blipFill>
                  <pic:spPr>
                    <a:xfrm>
                      <a:off x="0" y="0"/>
                      <a:ext cx="4754880" cy="4754880"/>
                    </a:xfrm>
                    <a:prstGeom prst="rect"/>
                  </pic:spPr>
                </pic:pic>
              </a:graphicData>
            </a:graphic>
          </wp:inline>
        </w:drawing>
      </w:r>
    </w:p>
    <w:p>
      <w:pPr>
        <w:spacing w:before="40" w:after="200" w:line="324" w:lineRule="auto"/>
        <w:jc w:val="center"/>
      </w:pPr>
      <w:r>
        <w:rPr>
          <w:rFonts w:ascii="SimHei" w:hAnsi="SimHei" w:eastAsia="SimHei"/>
          <w:b w:val="0"/>
          <w:color w:val="808080"/>
          <w:sz w:val="18"/>
        </w:rPr>
        <w:t>图 12: 随机样本预测结果 (绿色 = 正确, 红色 = 错误)</w:t>
      </w:r>
    </w:p>
    <w:p>
      <w:pPr>
        <w:spacing w:before="240" w:after="80" w:line="324" w:lineRule="auto"/>
      </w:pPr>
      <w:r>
        <w:rPr>
          <w:rFonts w:ascii="SimHei" w:hAnsi="SimHei" w:eastAsia="SimHei"/>
          <w:b/>
          <w:color w:val="505050"/>
          <w:sz w:val="24"/>
        </w:rPr>
        <w:t>2.5 实验四小结</w:t>
      </w:r>
    </w:p>
    <w:p>
      <w:pPr>
        <w:spacing w:before="0" w:after="120" w:line="336" w:lineRule="auto"/>
        <w:ind w:firstLine="420"/>
      </w:pPr>
      <w:r>
        <w:rPr>
          <w:rFonts w:ascii="SimHei" w:hAnsi="SimHei" w:eastAsia="SimHei"/>
          <w:b w:val="0"/>
          <w:color w:val="3C3C3C"/>
          <w:sz w:val="21"/>
        </w:rPr>
        <w:t>本实验成功构建并训练了一个三层 CNN 用于 MNIST 手写数字识别, 取得了 99.50% 的测试准确率。实验表明:</w:t>
      </w:r>
    </w:p>
    <w:p>
      <w:pPr>
        <w:spacing w:before="0" w:after="120" w:line="336" w:lineRule="auto"/>
        <w:ind w:firstLine="420"/>
      </w:pPr>
      <w:r>
        <w:rPr>
          <w:rFonts w:ascii="SimHei" w:hAnsi="SimHei" w:eastAsia="SimHei"/>
          <w:b w:val="0"/>
          <w:color w:val="3C3C3C"/>
          <w:sz w:val="21"/>
        </w:rPr>
        <w:t>[1] 卷积神经网络通过局部感受野和权重共享, 能高效提取图像的空间层次特征, 在图像识别任务中具有天然优势。</w:t>
      </w:r>
    </w:p>
    <w:p>
      <w:pPr>
        <w:spacing w:before="0" w:after="120" w:line="336" w:lineRule="auto"/>
        <w:ind w:firstLine="420"/>
      </w:pPr>
      <w:r>
        <w:rPr>
          <w:rFonts w:ascii="SimHei" w:hAnsi="SimHei" w:eastAsia="SimHei"/>
          <w:b w:val="0"/>
          <w:color w:val="3C3C3C"/>
          <w:sz w:val="21"/>
        </w:rPr>
        <w:t>[2] BatchNorm 和 Dropout 等正则化技术对防止过拟合、加速收敛至关重要, 训练曲线显示模型收敛平稳, 未见明显过拟合迹象。</w:t>
      </w:r>
    </w:p>
    <w:p>
      <w:pPr>
        <w:spacing w:before="0" w:after="120" w:line="336" w:lineRule="auto"/>
        <w:ind w:firstLine="420"/>
      </w:pPr>
      <w:r>
        <w:rPr>
          <w:rFonts w:ascii="SimHei" w:hAnsi="SimHei" w:eastAsia="SimHei"/>
          <w:b w:val="0"/>
          <w:color w:val="3C3C3C"/>
          <w:sz w:val="21"/>
        </w:rPr>
        <w:t>[3] 对于 MNIST 这种相对简单的图像分类任务, 中等规模的 CNN (约 62 万参数) 即可达到 99% 以上的准确率, 无需更深的网络结构。</w:t>
      </w:r>
    </w:p>
    <w:p>
      <w:r>
        <w:br w:type="page"/>
      </w:r>
    </w:p>
    <w:p>
      <w:pPr>
        <w:spacing w:before="360" w:after="160" w:line="324" w:lineRule="auto"/>
        <w:pBdr>
          <w:bottom w:val="single" w:sz="8" w:space="4" w:color="9DC8E8"/>
        </w:pBdr>
      </w:pPr>
      <w:r>
        <w:rPr>
          <w:rFonts w:ascii="SimHei" w:hAnsi="SimHei" w:eastAsia="SimHei"/>
          <w:b/>
          <w:color w:val="334A54"/>
          <w:sz w:val="32"/>
        </w:rPr>
        <w:t>三、综合总结与模型推荐</w:t>
      </w:r>
    </w:p>
    <w:p>
      <w:pPr>
        <w:spacing w:before="240" w:after="80" w:line="324" w:lineRule="auto"/>
      </w:pPr>
      <w:r>
        <w:rPr>
          <w:rFonts w:ascii="SimHei" w:hAnsi="SimHei" w:eastAsia="SimHei"/>
          <w:b/>
          <w:color w:val="505050"/>
          <w:sz w:val="24"/>
        </w:rPr>
        <w:t>3.1 实验三总结</w:t>
      </w:r>
    </w:p>
    <w:p>
      <w:pPr>
        <w:spacing w:before="0" w:after="120" w:line="336" w:lineRule="auto"/>
        <w:ind w:firstLine="420"/>
      </w:pPr>
      <w:r>
        <w:rPr>
          <w:rFonts w:ascii="SimHei" w:hAnsi="SimHei" w:eastAsia="SimHei"/>
          <w:b w:val="0"/>
          <w:color w:val="3C3C3C"/>
          <w:sz w:val="21"/>
        </w:rPr>
        <w:t>实验三围绕 UCI HAR 人体活动识别数据集, 系统对比了 7 种模型。核心发现:</w:t>
      </w:r>
    </w:p>
    <w:p>
      <w:pPr>
        <w:spacing w:before="0" w:after="120" w:line="336" w:lineRule="auto"/>
        <w:ind w:firstLine="420"/>
      </w:pPr>
      <w:r>
        <w:rPr>
          <w:rFonts w:ascii="SimHei" w:hAnsi="SimHei" w:eastAsia="SimHei"/>
          <w:b w:val="0"/>
          <w:color w:val="3C3C3C"/>
          <w:sz w:val="21"/>
        </w:rPr>
        <w:t>[1] MLP 效果最好 (Acc = 0.9447), 说明精心设计的全连接网络在结构化特征上能达到甚至超越复杂时序模型。</w:t>
      </w:r>
    </w:p>
    <w:p>
      <w:pPr>
        <w:spacing w:before="0" w:after="120" w:line="336" w:lineRule="auto"/>
        <w:ind w:firstLine="420"/>
      </w:pPr>
      <w:r>
        <w:rPr>
          <w:rFonts w:ascii="SimHei" w:hAnsi="SimHei" w:eastAsia="SimHei"/>
          <w:b w:val="0"/>
          <w:color w:val="3C3C3C"/>
          <w:sz w:val="21"/>
        </w:rPr>
        <w:t>[2] LightGBM 性价比最高 (Acc = 0.9403, 仅需 1.84s 训练), 适合快速迭代和工程部署。</w:t>
      </w:r>
    </w:p>
    <w:p>
      <w:pPr>
        <w:spacing w:before="0" w:after="120" w:line="336" w:lineRule="auto"/>
        <w:ind w:firstLine="420"/>
      </w:pPr>
      <w:r>
        <w:rPr>
          <w:rFonts w:ascii="SimHei" w:hAnsi="SimHei" w:eastAsia="SimHei"/>
          <w:b w:val="0"/>
          <w:color w:val="3C3C3C"/>
          <w:sz w:val="21"/>
        </w:rPr>
        <w:t>[3] 深度时序模型 (LSTM / GRU) 训练代价高但性能未占优, 在实际应用中需谨慎评估是否必要。</w:t>
      </w:r>
    </w:p>
    <w:p>
      <w:pPr>
        <w:spacing w:before="0" w:after="120" w:line="336" w:lineRule="auto"/>
        <w:ind w:firstLine="420"/>
      </w:pPr>
      <w:r>
        <w:rPr>
          <w:rFonts w:ascii="SimHei" w:hAnsi="SimHei" w:eastAsia="SimHei"/>
          <w:b w:val="0"/>
          <w:color w:val="3C3C3C"/>
          <w:sz w:val="21"/>
        </w:rPr>
        <w:t>[4] 特征工程的质量比模型复杂度更关键 (561 维手工特征的效果优于原始信号 + 复杂模型)。</w:t>
      </w:r>
    </w:p>
    <w:p>
      <w:pPr>
        <w:spacing w:before="240" w:after="80" w:line="324" w:lineRule="auto"/>
      </w:pPr>
      <w:r>
        <w:rPr>
          <w:rFonts w:ascii="SimHei" w:hAnsi="SimHei" w:eastAsia="SimHei"/>
          <w:b/>
          <w:color w:val="505050"/>
          <w:sz w:val="24"/>
        </w:rPr>
        <w:t>3.2 实验四总结</w:t>
      </w:r>
    </w:p>
    <w:p>
      <w:pPr>
        <w:spacing w:before="0" w:after="120" w:line="336" w:lineRule="auto"/>
        <w:ind w:firstLine="420"/>
      </w:pPr>
      <w:r>
        <w:rPr>
          <w:rFonts w:ascii="SimHei" w:hAnsi="SimHei" w:eastAsia="SimHei"/>
          <w:b w:val="0"/>
          <w:color w:val="3C3C3C"/>
          <w:sz w:val="21"/>
        </w:rPr>
        <w:t>实验四使用 CNN 成功完成 MNIST 手写数字识别任务, 验证了卷积网络在图像分类中的有效性。 三层卷积架构配合 BatchNorm 和 Dropout, 在 12 个 epoch 内即达到 99.50% 的测试准确率, 且在所有数字类别上表现均衡。</w:t>
      </w:r>
    </w:p>
    <w:p>
      <w:pPr>
        <w:spacing w:before="240" w:after="80" w:line="324" w:lineRule="auto"/>
      </w:pPr>
      <w:r>
        <w:rPr>
          <w:rFonts w:ascii="SimHei" w:hAnsi="SimHei" w:eastAsia="SimHei"/>
          <w:b/>
          <w:color w:val="505050"/>
          <w:sz w:val="24"/>
        </w:rPr>
        <w:t>3.3 模型选择建议</w:t>
      </w:r>
    </w:p>
    <w:p>
      <w:pPr>
        <w:spacing w:before="0" w:after="120" w:line="336" w:lineRule="auto"/>
        <w:ind w:firstLine="420"/>
      </w:pPr>
      <w:r>
        <w:rPr>
          <w:rFonts w:ascii="SimHei" w:hAnsi="SimHei" w:eastAsia="SimHei"/>
          <w:b w:val="0"/>
          <w:color w:val="3C3C3C"/>
          <w:sz w:val="21"/>
        </w:rPr>
        <w:t>基于两个实验的经验, 对实际应用中模型选择提出以下建议:</w:t>
      </w:r>
    </w:p>
    <w:p>
      <w:pPr>
        <w:spacing w:before="0" w:after="120" w:line="336" w:lineRule="auto"/>
        <w:ind w:firstLine="420"/>
      </w:pPr>
      <w:r>
        <w:rPr>
          <w:rFonts w:ascii="SimHei" w:hAnsi="SimHei" w:eastAsia="SimHei"/>
          <w:b w:val="0"/>
          <w:color w:val="3C3C3C"/>
          <w:sz w:val="21"/>
        </w:rPr>
        <w:t>[1] 对于结构化 / 表格数据: 优先尝试 LightGBM 和 XGBoost, 训练快、效果好、可解释性强。</w:t>
      </w:r>
    </w:p>
    <w:p>
      <w:pPr>
        <w:spacing w:before="0" w:after="120" w:line="336" w:lineRule="auto"/>
        <w:ind w:firstLine="420"/>
      </w:pPr>
      <w:r>
        <w:rPr>
          <w:rFonts w:ascii="SimHei" w:hAnsi="SimHei" w:eastAsia="SimHei"/>
          <w:b w:val="0"/>
          <w:color w:val="3C3C3C"/>
          <w:sz w:val="21"/>
        </w:rPr>
        <w:t>[2] 对于图像数据: CNN 是自然选择, 根据任务复杂度调整网络深度和宽度。</w:t>
      </w:r>
    </w:p>
    <w:p>
      <w:pPr>
        <w:spacing w:before="0" w:after="120" w:line="336" w:lineRule="auto"/>
        <w:ind w:firstLine="420"/>
      </w:pPr>
      <w:r>
        <w:rPr>
          <w:rFonts w:ascii="SimHei" w:hAnsi="SimHei" w:eastAsia="SimHei"/>
          <w:b w:val="0"/>
          <w:color w:val="3C3C3C"/>
          <w:sz w:val="21"/>
        </w:rPr>
        <w:t>[3] 对于时序数据: 如果已有高质量手工特征, MLP 可能优于 RNN 系列模型。</w:t>
      </w:r>
    </w:p>
    <w:p>
      <w:pPr>
        <w:spacing w:before="0" w:after="120" w:line="336" w:lineRule="auto"/>
        <w:ind w:firstLine="420"/>
      </w:pPr>
      <w:r>
        <w:rPr>
          <w:rFonts w:ascii="SimHei" w:hAnsi="SimHei" w:eastAsia="SimHei"/>
          <w:b w:val="0"/>
          <w:color w:val="3C3C3C"/>
          <w:sz w:val="21"/>
        </w:rPr>
        <w:t>[4] 模型选择需综合考虑: 精度需求、训练 / 推理时间、可解释性要求、部署环境约束。</w:t>
      </w:r>
    </w:p>
    <w:p>
      <w:pPr>
        <w:spacing w:before="0" w:after="120" w:line="336" w:lineRule="auto"/>
        <w:ind w:firstLine="420"/>
      </w:pPr>
      <w:r>
        <w:rPr>
          <w:rFonts w:ascii="SimHei" w:hAnsi="SimHei" w:eastAsia="SimHei"/>
          <w:b w:val="0"/>
          <w:color w:val="3C3C3C"/>
          <w:sz w:val="21"/>
        </w:rPr>
        <w:t>[5] 特征工程始终是提升模型性能的关键环节, 不应盲目追求复杂模型而忽视数据本身的质量。</w:t>
      </w:r>
    </w:p>
    <w:p>
      <w:pPr>
        <w:spacing w:before="240" w:after="80" w:line="324" w:lineRule="auto"/>
      </w:pPr>
      <w:r>
        <w:rPr>
          <w:rFonts w:ascii="SimHei" w:hAnsi="SimHei" w:eastAsia="SimHei"/>
          <w:b/>
          <w:color w:val="505050"/>
          <w:sz w:val="24"/>
        </w:rPr>
        <w:t>3.4 实训收获</w:t>
      </w:r>
    </w:p>
    <w:p>
      <w:pPr>
        <w:spacing w:before="0" w:after="120" w:line="336" w:lineRule="auto"/>
        <w:ind w:firstLine="420"/>
      </w:pPr>
      <w:r>
        <w:rPr>
          <w:rFonts w:ascii="SimHei" w:hAnsi="SimHei" w:eastAsia="SimHei"/>
          <w:b w:val="0"/>
          <w:color w:val="3C3C3C"/>
          <w:sz w:val="21"/>
        </w:rPr>
        <w:t>本次小学期实训通过两个完整的机器学习实验, 全面实践了从数据加载、探索性分析、特征预处理, 到模型训练、评估对比、报告撰写的完整流程。 在实训过程中, 使用了本地部署的 DeepSeek-v4-pro 大模型 辅助进行代码生成、架构设计和结果分析, 使用者负责指令部署、关键决策和最终审查修正, 形成了高效的「人机协作」工作模式。 通过本次实训, 加深了对各模型原理和适用场景的理解, 也初步掌握了利用 AI 工具辅助科研实践的方法。</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