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cs="Times New Roman"/>
          <w:b/>
          <w:sz w:val="28"/>
          <w:szCs w:val="28"/>
        </w:rPr>
        <w:t xml:space="preserve">004.021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СРАВНИТЕЛЬНЫЙ АНАЛИЗ АЛГОРИТМОВ СО СРЕДНЕЙ АССИМПТОТИКОЙ NLOGN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Бакалавр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первого года обучения по направлению подготовки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e-mail: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z0tedd@gmail.com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  <w:r>
        <w:rPr>
          <w:rFonts w:ascii="Times New Roman" w:hAnsi="Times New Roman" w:eastAsia="TimesNewRomanPSMT" w:cs="Times New Roman"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В.А.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  <w:t xml:space="preserve">Кудинов</w:t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Доктор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 педагогических наук,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профессор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,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п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рофессор кафедры программного обеспечения и администрирования информационных систем. 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Курский государственный университет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Статья посвящена рассмотрению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различных алгоритмов сортировки, а также проблеме выбора подходящего из них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.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Эффективность каждого алгоритма экспериментальна подтверждена с помощью уже разработанных программ для отслеживания процессорного времени выполнения.</w:t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</w:rPr>
      </w:pPr>
      <w:r>
        <w:rPr>
          <w:rFonts w:ascii="Times New Roman" w:hAnsi="Times New Roman" w:eastAsia="TimesNewRomanPSMT" w:cs="Times New Roman"/>
          <w:b/>
          <w:i/>
          <w:sz w:val="24"/>
          <w:szCs w:val="24"/>
        </w:rPr>
        <w:t xml:space="preserve">Ключевые слова: </w:t>
      </w:r>
      <w:r>
        <w:rPr>
          <w:rFonts w:ascii="Times New Roman" w:hAnsi="Times New Roman" w:eastAsia="TimesNewRomanPSMT" w:cs="Times New Roman"/>
          <w:i/>
          <w:sz w:val="24"/>
          <w:szCs w:val="24"/>
        </w:rPr>
        <w:t xml:space="preserve">алгоритм сортировки, сравнение алгоритмов сортировки.</w:t>
        <w:br/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  <w:r>
        <w:rPr>
          <w:rFonts w:ascii="Times New Roman" w:hAnsi="Times New Roman" w:eastAsia="TimesNewRomanPSMT" w:cs="Times New Roman"/>
          <w:i/>
          <w:sz w:val="24"/>
          <w:szCs w:val="24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 </w:t>
      </w:r>
      <w:r>
        <w:rPr>
          <w:rFonts w:ascii="Times New Roman" w:hAnsi="Times New Roman" w:eastAsia="TimesNewRomanPSMT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 современн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ом мире важностью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алгоритмов обработки данных нельзя недооценивать. Данная область требует постоянного совершенствования методов анализа взаимоде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йствия с информацией. С растущим каждую секунду объемом цифровых объектов задача выбора необходимого алгоритма становится все более актуальной. И именно по этой причине в данной работе будут рассмотрены алгоритмы со средним асимптотическим временем nlogn. 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Прежде, чем углубиться в сами алгоритмы, стоит упомянуть, что такое асимптотическое время. 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А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симптотическое время - это оценка временной сложности алгоритма, которая указывает на поведение алгоритма при стремлении размера входных данных к бесконечности. Это позволяет оценить, насколько быстро будет работать алгоритм при увеличении объема данных. В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научных статьях асимптотическое время часто используется для сравнения эффективности различных алгоритмов и определения их временной сложности. Временной сложностью обычно называют количество элементарных операций, совершенными алгоритмом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 Время одной такой операции есть некоторая константа, в нотации «О» большое, время оценивается как О(1). В данной нотации учитывается только слагаемое самого высокого порядка, поэтому в независимости от самого значения константы, она считается, как 1.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 Время работы алгоритма отличается от самих входных данных, поэтому чаще всего используется время работы в худшем и среднем случае.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Алгор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итмы сортировки со среднем временем О(nlogn) опираются либо на рекурсивный метод «разделяй и властвуй», либо на нестандартные структуры данных в виде кучи или двоичного дерева поиска. Перед рассмотрением алгоритмов необходимо разобраться с этими понятиями.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  <w:t xml:space="preserve">Метод «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Разделяй и властвуй» заключается в разделении одной большой задачи на маленькие ее части,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 нахождения решения для каждой подзадачи и в конце объединение полученных результатов в финальное решение изначальной задачи.[1]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Фактически сам метод можно представить в виде двух шагов[2]: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Определение простейшего случая(базового)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Дробление исходной задачи до тех пор, пока она не будет сведена до базового случая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На основе данного метода основаны алгоритмы быстрой сортировки(quick sort) и сортировки слияния(merge sort).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Другие две сортировки, рассматриваемые в этой статье, опираются на определенную структуру данных – деревья. Один из алгоритмов основан на вставку элементов в двоичное дерево поиска, а другой на представлении исходного массива в виде кучи.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Дерево – структура, в которой у каждого узла(элементарной единицы структуры) есть 0 или более подузлом(«потомков»).[3]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Двоичное дерево поиска – дерево, для которого выполняется ряд условий: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Каждый узел имеет не более двух потомков.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Любое поддерево любого узла является двоичным деревом.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Значения узла больше или равно значению подузла левого поддерева.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674"/>
        <w:numPr>
          <w:ilvl w:val="0"/>
          <w:numId w:val="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 xml:space="preserve">Значения узла меньше или равно значению подузла правого поддерева.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0" w:left="1417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2209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33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43300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9.00pt;height:17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center"/>
        <w:rPr>
          <w:highlight w:val="none"/>
        </w:rPr>
      </w:pPr>
      <w:r>
        <w:rPr>
          <w:highlight w:val="none"/>
        </w:rPr>
        <w:t xml:space="preserve">Пример двоичного дерева поиска[</w:t>
      </w:r>
      <w:r>
        <w:rPr>
          <w:highlight w:val="none"/>
        </w:rPr>
        <w:t xml:space="preserve">4]</w:t>
      </w:r>
      <w:r>
        <w:rPr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 w:line="240" w:lineRule="auto"/>
        <w:ind w:firstLine="0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  <w:tab/>
        <w:t xml:space="preserve">Куча - </w:t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  <w:highlight w:val="none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 xml:space="preserve">Текст текст текст… 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[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Балалуева 2014</w:t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eastAsia="TimesNewRomanPSMT" w:cs="Times New Roman"/>
          <w:sz w:val="28"/>
          <w:szCs w:val="28"/>
        </w:rPr>
        <w:t xml:space="preserve">.</w:t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  <w:highlight w:val="none"/>
        </w:rPr>
      </w:r>
    </w:p>
    <w:p>
      <w:pPr>
        <w:pStyle w:val="832"/>
        <w:pBdr/>
        <w:spacing/>
        <w:ind/>
        <w:rPr/>
      </w:pPr>
      <w:r/>
      <w:bookmarkStart w:id="0" w:name="_GoBack"/>
      <w:r/>
      <w:bookmarkEnd w:id="0"/>
      <w:r/>
      <w:r/>
    </w:p>
    <w:p>
      <w:pPr>
        <w:pStyle w:val="832"/>
        <w:pBdr/>
        <w:spacing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t xml:space="preserve">ения, если необходимо)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  <w:r>
        <w:rPr>
          <w:rFonts w:ascii="Times New Roman" w:hAnsi="Times New Roman" w:eastAsia="TimesNewRomanPSMT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Таблица 1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Заголовок данной таблицы текст текст текст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085" w:type="dxa"/>
        <w:tblInd w:w="113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188"/>
        <w:gridCol w:w="18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46,0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32,4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20,5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14,7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12,4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9,1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8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текст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96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 w:after="0" w:before="0"/>
              <w:ind w:firstLine="68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6,5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pPr>
        <w:pStyle w:val="832"/>
        <w:pBdr/>
        <w:spacing/>
        <w:ind/>
        <w:rPr/>
      </w:pPr>
      <w:r/>
      <w:r/>
    </w:p>
    <w:p>
      <w:pPr>
        <w:pStyle w:val="832"/>
        <w:pBdr/>
        <w:spacing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Библиографический список</w:t>
      </w:r>
      <w:r>
        <w:rPr>
          <w:rFonts w:ascii="Times New Roman" w:hAnsi="Times New Roman"/>
          <w:b/>
          <w:i/>
          <w:sz w:val="28"/>
          <w:szCs w:val="28"/>
        </w:rPr>
      </w:r>
      <w:r>
        <w:rPr>
          <w:rFonts w:ascii="Times New Roman" w:hAnsi="Times New Roman"/>
          <w:b/>
          <w:i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Альберт Ю. В. </w:t>
      </w:r>
      <w:r>
        <w:rPr>
          <w:rFonts w:ascii="Times New Roman" w:hAnsi="Times New Roman"/>
          <w:sz w:val="28"/>
          <w:szCs w:val="28"/>
        </w:rPr>
        <w:t xml:space="preserve">Библиографическая ссылка: справочник. Киев, 1983. 247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Балалуева И. А.</w:t>
      </w:r>
      <w:r>
        <w:rPr>
          <w:rFonts w:ascii="Times New Roman" w:hAnsi="Times New Roman"/>
          <w:sz w:val="28"/>
          <w:szCs w:val="28"/>
        </w:rPr>
        <w:t xml:space="preserve"> Медиаобраз женщины и развитие гендерного дискурса в современных российских федеральных газетах [Электронный ресурс] // Гуманитарные, социально-экономические и общественные науки. 2014. №12–1. URL: </w:t>
      </w:r>
      <w:hyperlink r:id="rId10" w:tooltip="https://cyberleninka.ru/article/n/mediaobraz-zhenschiny-i-razvitie-gendernogo-diskursa-v-sovremennyh-rossiyskih-federalnyh-gazetah" w:history="1">
        <w:r>
          <w:rPr>
            <w:rStyle w:val="834"/>
            <w:rFonts w:ascii="Times New Roman" w:hAnsi="Times New Roman"/>
            <w:sz w:val="28"/>
            <w:szCs w:val="28"/>
          </w:rPr>
          <w:t xml:space="preserve">https://cyberleninka.ru/article/n/mediaobraz-zhenschiny-i-razvitie-gendernogo-diskursa-v-sovremennyh-rossiyskih-federalnyh-gazetah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09.10.2023).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Валукин М. Е. </w:t>
      </w:r>
      <w:r>
        <w:rPr>
          <w:rFonts w:ascii="Times New Roman" w:hAnsi="Times New Roman"/>
          <w:sz w:val="28"/>
          <w:szCs w:val="28"/>
        </w:rPr>
        <w:t xml:space="preserve">Эволюция движений в мужском классическом танце: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научная монография. М.,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Гражданский кодекс Российской Федерации.</w:t>
      </w:r>
      <w:r>
        <w:rPr>
          <w:rFonts w:ascii="Times New Roman" w:hAnsi="Times New Roman"/>
          <w:sz w:val="28"/>
          <w:szCs w:val="28"/>
        </w:rPr>
        <w:t xml:space="preserve"> Часть четвертая от 18 дек. 2006г. № 230-ФЗ : принят Гос. Думой Федер. Собр. Рос. Федерации 24 нояб. 2006 г. : одобр. Советом Федераци</w:t>
      </w:r>
      <w:r>
        <w:rPr>
          <w:rFonts w:ascii="Times New Roman" w:hAnsi="Times New Roman"/>
          <w:sz w:val="28"/>
          <w:szCs w:val="28"/>
        </w:rPr>
        <w:t xml:space="preserve">и Федер. Собр. Рос. Федерации 8 дек. 2006 г. : ввод. Федер. законом Рос. Федерации от 18 дек. 2006 г. № 231-ФЗ // Парламент. газ. 2006. 21 дек. ; Рос. газ. 2006. 22 дек. ; Собр. законодательства Рос. Федерации. – 2006. № 52, ч. 1, ст. 5496. С. 14803–14949.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Мельников В. П., Клейменов С. А., Петраков А. М.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 и защита информации: учеб. пособие. М.: Флинта, 2006. 251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Пивинский Ю. Е.</w:t>
      </w:r>
      <w:r>
        <w:rPr>
          <w:rFonts w:ascii="Times New Roman" w:hAnsi="Times New Roman"/>
          <w:sz w:val="28"/>
          <w:szCs w:val="28"/>
        </w:rPr>
        <w:t xml:space="preserve"> Неформованные огнеупоры. В 2 т. Т. 1. М., 2003. 447 с.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3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Самохина М. М.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Интернет и аудитория современной библиотеки // Библиография. 2014. № 4. С. 67–71.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 w:after="0" w:before="0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Фенухин В. И.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Этнополитические конфликты в современной России: на примере Северо-Кавказского региона: дис. … канд. пед. наук. М., 2002. 231с.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</w:r>
    </w:p>
    <w:p>
      <w:pPr>
        <w:pStyle w:val="832"/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eastAsia="ar-SA"/>
        </w:rPr>
        <w:t xml:space="preserve">Список использованных электронных ресурсов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center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[1]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https://education.yandex.ru/handbook/algorithms/article/razdelyaj-i-vlastvuj</w:t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[2]Грокаем алгоритмы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[3]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</w:p>
    <w:p>
      <w:pPr>
        <w:pBdr/>
        <w:spacing/>
        <w:ind w:firstLine="709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[4]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  <w:t xml:space="preserve">https://www.cs.usfca.edu/~galles/visualization/BST.htm</w:t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highlight w:val="none"/>
          <w:lang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Автокадр_46.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ДТП, ЧП, Аварии Курска и области [сайт]. ©Avtokadr_46.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hyperlink r:id="rId11" w:tooltip="https://vk.com/avtokadr_46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https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vk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com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avtokadr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_46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27.09.2023).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eastAsia="ar-SA"/>
        </w:rPr>
        <w:t xml:space="preserve">Государственная Дума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Федерального Собрания Российской Федерации [сайт]. Официальный сайт. 2023 год. 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URL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: </w:t>
      </w:r>
      <w:r>
        <w:rPr>
          <w:rFonts w:ascii="Cambria" w:hAnsi="Cambria" w:eastAsia="MS Mincho" w:cs="Times New Roman"/>
          <w:sz w:val="24"/>
          <w:szCs w:val="24"/>
          <w:lang w:eastAsia="ar-SA"/>
        </w:rPr>
        <w:t xml:space="preserve"> </w:t>
      </w:r>
      <w:hyperlink r:id="rId12" w:tooltip="http://duma.gov.ru/" w:history="1"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http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://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duma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gov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eastAsia="ar-SA"/>
          </w:rPr>
          <w:t xml:space="preserve">.</w:t>
        </w:r>
        <w:r>
          <w:rPr>
            <w:rFonts w:ascii="Times New Roman" w:hAnsi="Times New Roman" w:eastAsia="MS Mincho" w:cs="Times New Roman"/>
            <w:color w:val="000080"/>
            <w:sz w:val="28"/>
            <w:u w:val="single"/>
            <w:lang w:val="en-US" w:eastAsia="ar-SA"/>
          </w:rPr>
          <w:t xml:space="preserve">ru</w:t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11.10.2023).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2"/>
        <w:pBdr/>
        <w:spacing w:after="160" w:before="0"/>
        <w:ind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HASHTAG AS A COMMUNICATION TOOL IN WEB SOCIAL CULTURAL FIELD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2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  <w:t xml:space="preserve">A.A. Ivanova</w:t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1st year master student in…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Kursk State University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e-mail: </w:t>
      </w:r>
      <w:hyperlink r:id="rId13" w:tooltip="mailto:ivanova.a@gmail.com" w:history="1">
        <w:r>
          <w:rPr>
            <w:rStyle w:val="834"/>
            <w:rFonts w:ascii="Times New Roman" w:hAnsi="Times New Roman" w:eastAsia="TimesNewRomanPSMT" w:cs="Times New Roman"/>
            <w:i/>
            <w:sz w:val="24"/>
            <w:szCs w:val="24"/>
            <w:lang w:val="en-US"/>
          </w:rPr>
          <w:t xml:space="preserve">ivanova.a@gmail.com</w:t>
        </w:r>
      </w:hyperlink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  <w:t xml:space="preserve">Supervisor:</w:t>
      </w: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  <w:t xml:space="preserve">I.P. Petrova</w:t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b/>
          <w:i/>
          <w:sz w:val="28"/>
          <w:szCs w:val="28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Candidate of Pedagogics, Docent,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Associate professor at the Department of …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Kursk State University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The article deals with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 the role of hashtags in web social cultural field. The traits of computer-mediated communication seen as a specific speech formation are given; the functions of hashtags are considered in terms of them being special communication tools on the Internet.  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b/>
          <w:i/>
          <w:sz w:val="24"/>
          <w:szCs w:val="24"/>
          <w:lang w:val="en-US"/>
        </w:rPr>
        <w:t xml:space="preserve">Key words: </w:t>
      </w:r>
      <w:r>
        <w:rPr>
          <w:rFonts w:ascii="Times New Roman" w:hAnsi="Times New Roman" w:eastAsia="TimesNewRomanPSMT" w:cs="Times New Roman"/>
          <w:i/>
          <w:sz w:val="24"/>
          <w:szCs w:val="24"/>
          <w:lang w:val="en-US"/>
        </w:rPr>
        <w:t xml:space="preserve">Internet communication, hashtag, web social cultural field, computer-mediated communication</w:t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4"/>
          <w:szCs w:val="24"/>
          <w:lang w:val="en-US"/>
        </w:rPr>
      </w:pP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  <w:r>
        <w:rPr>
          <w:rFonts w:ascii="Times New Roman" w:hAnsi="Times New Roman" w:eastAsia="TimesNewRomanPSMT" w:cs="Times New Roman"/>
          <w:sz w:val="24"/>
          <w:szCs w:val="24"/>
          <w:lang w:val="en-US"/>
        </w:rPr>
      </w:r>
    </w:p>
    <w:p>
      <w:pPr>
        <w:pStyle w:val="832"/>
        <w:pBdr/>
        <w:spacing w:after="0" w:before="0" w:line="240" w:lineRule="auto"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  <w:t xml:space="preserve">References</w:t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center"/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b/>
          <w:i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val="en-US" w:eastAsia="ar-SA"/>
        </w:rPr>
        <w:t xml:space="preserve">Arutyunova N.D.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Diskurs // Lingvisticheskij e`nciklopedicheskij slovar`.  M.: «Sovetskaya e`nciklopediya», 1990. S. 136–137.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jc w:val="both"/>
        <w:rPr>
          <w:rFonts w:ascii="Times New Roman" w:hAnsi="Times New Roman" w:eastAsia="MS Mincho" w:cs="Times New Roman"/>
          <w:sz w:val="28"/>
          <w:szCs w:val="28"/>
          <w:lang w:val="en-US" w:eastAsia="ar-SA"/>
        </w:rPr>
      </w:pPr>
      <w:r>
        <w:rPr>
          <w:rFonts w:ascii="Times New Roman" w:hAnsi="Times New Roman" w:eastAsia="MS Mincho" w:cs="Times New Roman"/>
          <w:i/>
          <w:sz w:val="28"/>
          <w:szCs w:val="28"/>
          <w:lang w:val="en-US" w:eastAsia="ar-SA"/>
        </w:rPr>
        <w:t xml:space="preserve">Balalueva I.A.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 Mediaobraz zhenshhiny` i razvitie gendernogo diskursa v sovremenny`x rossijskix federal`ny`x gazetax [E`lektronny`j re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  <w:t xml:space="preserve">surs] // Gumanitarny`e, social`no-e`konomicheskie i obshhestvenny`e nauki. 2014. №12-1. URL: https://cyberleninka.ru/article/n/mediaobraz-zhenschiny-i-razvitie-gendernogo-diskursa-v-sovremennyh-rossiyskih-federalnyh-gazetah (data obrashheniya: 09.10.2023).</w:t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val="en-US" w:eastAsia="ar-SA"/>
        </w:rPr>
      </w:r>
    </w:p>
    <w:p>
      <w:pPr>
        <w:pStyle w:val="832"/>
        <w:pBdr/>
        <w:spacing w:after="0" w:before="0" w:line="240" w:lineRule="auto"/>
        <w:ind w:firstLine="709"/>
        <w:contextualSpacing w:val="true"/>
        <w:rPr>
          <w:rFonts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  <w:r>
        <w:rPr>
          <w:rFonts w:ascii="Times New Roman" w:hAnsi="Times New Roman" w:eastAsia="TimesNewRomanPSMT" w:cs="Times New Roman"/>
          <w:sz w:val="28"/>
          <w:szCs w:val="28"/>
          <w:lang w:val="en-US"/>
        </w:rPr>
      </w:r>
    </w:p>
    <w:p>
      <w:pPr>
        <w:pStyle w:val="832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p>
      <w:pPr>
        <w:pStyle w:val="832"/>
        <w:pBdr/>
        <w:spacing w:after="160" w:before="0"/>
        <w:ind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r>
    </w:p>
    <w:sectPr>
      <w:footnotePr/>
      <w:endnotePr/>
      <w:type w:val="nextPage"/>
      <w:pgSz w:h="16838" w:orient="landscape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2020603050405020304"/>
  </w:font>
  <w:font w:name="Times New Roman">
    <w:panose1 w:val="02020603050405020304"/>
  </w:font>
  <w:font w:name="Noto Sans">
    <w:panose1 w:val="020B0502040504020204"/>
  </w:font>
  <w:font w:name="Cambria">
    <w:panose1 w:val="0204050305040603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3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3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3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2"/>
    <w:next w:val="832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3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2"/>
    <w:next w:val="832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3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2"/>
    <w:next w:val="832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2"/>
    <w:next w:val="832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2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3"/>
    <w:link w:val="684"/>
    <w:uiPriority w:val="99"/>
    <w:pPr>
      <w:pBdr/>
      <w:spacing/>
      <w:ind/>
    </w:pPr>
  </w:style>
  <w:style w:type="paragraph" w:styleId="686">
    <w:name w:val="Footer"/>
    <w:basedOn w:val="832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3"/>
    <w:link w:val="686"/>
    <w:uiPriority w:val="99"/>
    <w:pPr>
      <w:pBdr/>
      <w:spacing/>
      <w:ind/>
    </w:pPr>
  </w:style>
  <w:style w:type="character" w:styleId="688">
    <w:name w:val="Caption Char"/>
    <w:basedOn w:val="839"/>
    <w:link w:val="686"/>
    <w:uiPriority w:val="99"/>
    <w:pPr>
      <w:pBdr/>
      <w:spacing/>
      <w:ind/>
    </w:pPr>
  </w:style>
  <w:style w:type="table" w:styleId="689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33" w:default="1">
    <w:name w:val="Default Paragraph Font"/>
    <w:uiPriority w:val="1"/>
    <w:unhideWhenUsed/>
    <w:qFormat/>
    <w:pPr>
      <w:pBdr/>
      <w:spacing/>
      <w:ind/>
    </w:pPr>
  </w:style>
  <w:style w:type="character" w:styleId="834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5" w:customStyle="1">
    <w:name w:val="Текст выноски Знак"/>
    <w:basedOn w:val="833"/>
    <w:link w:val="84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36">
    <w:name w:val="Heading"/>
    <w:basedOn w:val="832"/>
    <w:next w:val="837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37">
    <w:name w:val="Body Text"/>
    <w:basedOn w:val="832"/>
    <w:pPr>
      <w:pBdr/>
      <w:spacing w:after="140" w:before="0" w:line="276" w:lineRule="auto"/>
      <w:ind/>
    </w:pPr>
  </w:style>
  <w:style w:type="paragraph" w:styleId="838">
    <w:name w:val="List"/>
    <w:basedOn w:val="837"/>
    <w:pPr>
      <w:pBdr/>
      <w:spacing/>
      <w:ind/>
    </w:pPr>
    <w:rPr>
      <w:rFonts w:cs="Noto Sans Devanagari"/>
    </w:rPr>
  </w:style>
  <w:style w:type="paragraph" w:styleId="839">
    <w:name w:val="Caption"/>
    <w:basedOn w:val="832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40">
    <w:name w:val="Index"/>
    <w:basedOn w:val="832"/>
    <w:qFormat/>
    <w:pPr>
      <w:suppressLineNumbers w:val="true"/>
      <w:pBdr/>
      <w:spacing/>
      <w:ind/>
    </w:pPr>
    <w:rPr>
      <w:rFonts w:cs="Noto Sans Devanagari"/>
    </w:rPr>
  </w:style>
  <w:style w:type="paragraph" w:styleId="841">
    <w:name w:val="Balloon Text"/>
    <w:basedOn w:val="832"/>
    <w:link w:val="835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842" w:default="1">
    <w:name w:val="No List"/>
    <w:uiPriority w:val="99"/>
    <w:semiHidden/>
    <w:unhideWhenUsed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cyberleninka.ru/article/n/mediaobraz-zhenschiny-i-razvitie-gendernogo-diskursa-v-sovremennyh-rossiyskih-federalnyh-gazetah" TargetMode="External"/><Relationship Id="rId11" Type="http://schemas.openxmlformats.org/officeDocument/2006/relationships/hyperlink" Target="https://vk.com/avtokadr_46" TargetMode="External"/><Relationship Id="rId12" Type="http://schemas.openxmlformats.org/officeDocument/2006/relationships/hyperlink" Target="http://duma.gov.ru/" TargetMode="External"/><Relationship Id="rId13" Type="http://schemas.openxmlformats.org/officeDocument/2006/relationships/hyperlink" Target="mailto:ivanova.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11</cp:revision>
  <dcterms:created xsi:type="dcterms:W3CDTF">2023-11-13T10:21:00Z</dcterms:created>
  <dcterms:modified xsi:type="dcterms:W3CDTF">2024-03-09T16:13:12Z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