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2"/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УДК </w:t>
      </w:r>
      <w:r>
        <w:rPr>
          <w:rFonts w:ascii="Times New Roman" w:hAnsi="Times New Roman" w:cs="Times New Roman"/>
          <w:b/>
          <w:sz w:val="28"/>
          <w:szCs w:val="28"/>
        </w:rPr>
        <w:t xml:space="preserve">004.021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2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СРАВНИТЕЛЬНЫЙ АНАЛИЗ АЛГОРИТМОВ СО СРЕДНЕЙ АССИМПТОТИКОЙ NLOGN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b/>
          <w:i/>
          <w:sz w:val="28"/>
          <w:szCs w:val="28"/>
        </w:rPr>
      </w:pPr>
      <w:r>
        <w:rPr>
          <w:rFonts w:ascii="Times New Roman" w:hAnsi="Times New Roman" w:eastAsia="TimesNewRomanPSMT" w:cs="Times New Roman"/>
          <w:b/>
          <w:i/>
          <w:sz w:val="28"/>
          <w:szCs w:val="28"/>
        </w:rPr>
        <w:t xml:space="preserve">А.А. </w:t>
      </w:r>
      <w:r>
        <w:rPr>
          <w:rFonts w:ascii="Times New Roman" w:hAnsi="Times New Roman" w:eastAsia="TimesNewRomanPSMT" w:cs="Times New Roman"/>
          <w:b/>
          <w:i/>
          <w:sz w:val="28"/>
          <w:szCs w:val="28"/>
        </w:rPr>
        <w:t xml:space="preserve">Файтельсон</w:t>
      </w:r>
      <w:r>
        <w:rPr>
          <w:rFonts w:ascii="Times New Roman" w:hAnsi="Times New Roman" w:eastAsia="TimesNewRomanPSMT" w:cs="Times New Roman"/>
          <w:b/>
          <w:i/>
          <w:sz w:val="28"/>
          <w:szCs w:val="28"/>
        </w:rPr>
      </w:r>
      <w:r>
        <w:rPr>
          <w:rFonts w:ascii="Times New Roman" w:hAnsi="Times New Roman" w:eastAsia="TimesNewRomanPSMT" w:cs="Times New Roman"/>
          <w:b/>
          <w:i/>
          <w:sz w:val="28"/>
          <w:szCs w:val="28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</w:rPr>
      </w:pP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Бакалавр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 первого года обучения по направлению подготовки 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«Математическое обеспечение и администрирование информационных систем»</w:t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</w:rPr>
      </w:pP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Курский государственный университет </w:t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e-mail: 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z0tedd@gmail.com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  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8"/>
          <w:szCs w:val="28"/>
        </w:rPr>
      </w:pPr>
      <w:r>
        <w:rPr>
          <w:rFonts w:ascii="Times New Roman" w:hAnsi="Times New Roman" w:eastAsia="TimesNewRomanPSMT" w:cs="Times New Roman"/>
          <w:i/>
          <w:sz w:val="28"/>
          <w:szCs w:val="28"/>
        </w:rPr>
        <w:t xml:space="preserve">Научный руководитель:</w:t>
      </w:r>
      <w:r>
        <w:rPr>
          <w:rFonts w:ascii="Times New Roman" w:hAnsi="Times New Roman" w:eastAsia="TimesNewRomanPSMT" w:cs="Times New Roman"/>
          <w:i/>
          <w:sz w:val="28"/>
          <w:szCs w:val="28"/>
        </w:rPr>
      </w:r>
      <w:r>
        <w:rPr>
          <w:rFonts w:ascii="Times New Roman" w:hAnsi="Times New Roman" w:eastAsia="TimesNewRomanPSMT" w:cs="Times New Roman"/>
          <w:i/>
          <w:sz w:val="28"/>
          <w:szCs w:val="28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b/>
          <w:i/>
          <w:sz w:val="28"/>
          <w:szCs w:val="28"/>
        </w:rPr>
      </w:pPr>
      <w:r>
        <w:rPr>
          <w:rFonts w:ascii="Times New Roman" w:hAnsi="Times New Roman" w:eastAsia="TimesNewRomanPSMT" w:cs="Times New Roman"/>
          <w:b/>
          <w:i/>
          <w:sz w:val="28"/>
          <w:szCs w:val="28"/>
        </w:rPr>
        <w:t xml:space="preserve">В.А.</w:t>
      </w:r>
      <w:r>
        <w:rPr>
          <w:rFonts w:ascii="Times New Roman" w:hAnsi="Times New Roman" w:eastAsia="TimesNewRomanPSMT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eastAsia="TimesNewRomanPSMT" w:cs="Times New Roman"/>
          <w:b/>
          <w:i/>
          <w:sz w:val="28"/>
          <w:szCs w:val="28"/>
        </w:rPr>
        <w:t xml:space="preserve">Кудинов</w:t>
      </w:r>
      <w:r>
        <w:rPr>
          <w:rFonts w:ascii="Times New Roman" w:hAnsi="Times New Roman" w:eastAsia="TimesNewRomanPSMT" w:cs="Times New Roman"/>
          <w:b/>
          <w:i/>
          <w:sz w:val="28"/>
          <w:szCs w:val="28"/>
        </w:rPr>
      </w:r>
      <w:r>
        <w:rPr>
          <w:rFonts w:ascii="Times New Roman" w:hAnsi="Times New Roman" w:eastAsia="TimesNewRomanPSMT" w:cs="Times New Roman"/>
          <w:b/>
          <w:i/>
          <w:sz w:val="28"/>
          <w:szCs w:val="28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</w:rPr>
      </w:pP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Доктор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 педагогических наук, 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профессор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, 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п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рофессор кафедры программного обеспечения и администрирования информационных систем. </w:t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jc w:val="right"/>
        <w:rPr>
          <w:rFonts w:ascii="Times New Roman" w:hAnsi="Times New Roman" w:eastAsia="TimesNewRomanPSMT" w:cs="Times New Roman"/>
          <w:i/>
          <w:sz w:val="24"/>
          <w:szCs w:val="24"/>
        </w:rPr>
      </w:pP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Курский государственный университет</w:t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jc w:val="center"/>
        <w:rPr>
          <w:rFonts w:ascii="Times New Roman" w:hAnsi="Times New Roman" w:eastAsia="TimesNewRomanPSMT" w:cs="Times New Roman"/>
          <w:i/>
          <w:sz w:val="24"/>
          <w:szCs w:val="24"/>
        </w:rPr>
      </w:pPr>
      <w:r>
        <w:rPr>
          <w:rFonts w:ascii="Times New Roman" w:hAnsi="Times New Roman" w:eastAsia="TimesNewRomanPSMT" w:cs="Times New Roman"/>
          <w:i/>
          <w:sz w:val="24"/>
          <w:szCs w:val="24"/>
        </w:rPr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NewRomanPSMT" w:cs="Times New Roman"/>
          <w:i/>
          <w:sz w:val="24"/>
          <w:szCs w:val="24"/>
        </w:rPr>
      </w:pP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Статья посвящена рассмотрению 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различных алгоритмов сортировки, а также проблеме выбора подходящего из них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. 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Эффективность каждого алгоритма экспериментальна подтверждена с помощью уже разработанных программ для отслеживания процессорного времени выполнения.</w:t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NewRomanPSMT" w:cs="Times New Roman"/>
          <w:i/>
          <w:sz w:val="24"/>
          <w:szCs w:val="24"/>
        </w:rPr>
      </w:pPr>
      <w:r>
        <w:rPr>
          <w:rFonts w:ascii="Times New Roman" w:hAnsi="Times New Roman" w:eastAsia="TimesNewRomanPSMT" w:cs="Times New Roman"/>
          <w:b/>
          <w:i/>
          <w:sz w:val="24"/>
          <w:szCs w:val="24"/>
        </w:rPr>
        <w:t xml:space="preserve">Ключевые слова: 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алгоритм сортировки, сравнение алгоритмов сортировки.</w:t>
        <w:br/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 xml:space="preserve"> </w:t>
      </w:r>
      <w:r>
        <w:rPr>
          <w:rFonts w:ascii="Times New Roman" w:hAnsi="Times New Roman" w:eastAsia="TimesNewRomanPSMT" w:cs="Times New Roman"/>
          <w:b/>
          <w:bCs/>
          <w:sz w:val="28"/>
          <w:szCs w:val="28"/>
        </w:rPr>
        <w:t xml:space="preserve">Введение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. В современн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ом мире важностью 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алгоритмов обработки данных нельзя недооценивать. Данная область требует постоянного совершенствования методов анализа взаимоде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йствия с информацией. С растущим каждую секунду объемом цифровых объектов задача выбора необходимого алгоритма становится все более актуальной. И именно по этой причине в данной работе будут рассмотрены алгоритмы со средним асимптотическим временем nlogn. </w:t>
      </w: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 xml:space="preserve">Прежде, чем углубиться в сами алгоритмы, стоит упомянуть, что такое асимптотическое время. 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А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симптотическое время - это оценка временной сложности алгоритма, которая указывает на поведение алгоритма при стремлении размера входных данных к бесконечности. Это позволяет оценить, насколько быстро будет работать алгоритм при увеличении объема данных. В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 научных статьях асимптотическое время часто используется для сравнения эффективности различных алгоритмов и определения их временной сложности. Временной сложностью обычно называют количество элементарных операций, совершенными алгоритмом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. Время одной такой операции есть некоторая константа, в нотации «О» большое, время оценивается как О(1). В данной нотации учитывается только слагаемое самого высокого порядка, поэтому в независимости от самого значения константы, она считается, как 1.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 Время работы алгоритма отличается от самих входных данных, поэтому чаще всего используется время работы в худшем и среднем случае.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Алгор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итмы сортировки со среднем временем О(nlogn) опираются либо на рекурсивный метод «разделяй и властвуй», либо на нестандартные структуры данных в виде кучи или двоичного дерева поиска. Перед рассмотрением алгоритмов необходимо разобраться с этими понятиями.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ab/>
        <w:t xml:space="preserve">Метод «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Разделяй и властвуй» заключается в разделении одной большой задачи на маленькие ее части,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 нахождения решения для каждой подзадачи и в конце объединение полученных результатов в финальное решение изначальной задачи.[1] 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Фактически сам метод можно представить в виде двух шагов[2]: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Style w:val="674"/>
        <w:numPr>
          <w:ilvl w:val="0"/>
          <w:numId w:val="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Определение простейшего случая(базового)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Style w:val="674"/>
        <w:numPr>
          <w:ilvl w:val="0"/>
          <w:numId w:val="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Дробление исходной задачи до тех пор, пока она не будет сведена до базового случая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На основе данного метода основаны алгоритмы быстрой сортировки(quick sort) и сортировки слияния(merge sort).</w:t>
      </w:r>
      <w:r/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Другие две сортировки, рассматриваемые в этой статье, опираются на определенную структуру данных – деревья. Один из алгоритмов основан на вставку элементов в двоичное дерево поиска, а другой на представлении исходного массива в виде кучи.</w:t>
      </w:r>
      <w:r/>
    </w:p>
    <w:p>
      <w:pPr>
        <w:pBdr/>
        <w:spacing w:after="0" w:before="0" w:line="240" w:lineRule="auto"/>
        <w:ind w:firstLine="0"/>
        <w:contextualSpacing w:val="true"/>
        <w:jc w:val="both"/>
        <w:rPr/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/>
    </w:p>
    <w:p>
      <w:pPr>
        <w:pStyle w:val="832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 xml:space="preserve">Текст текст текст… 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 xml:space="preserve">[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Балалуева 2014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 xml:space="preserve">]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.</w:t>
      </w: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</w:p>
    <w:p>
      <w:pPr>
        <w:pStyle w:val="832"/>
        <w:pBdr/>
        <w:spacing/>
        <w:ind/>
        <w:rPr/>
      </w:pPr>
      <w:r/>
      <w:bookmarkStart w:id="0" w:name="_GoBack"/>
      <w:r/>
      <w:bookmarkEnd w:id="0"/>
      <w:r/>
      <w:r/>
    </w:p>
    <w:p>
      <w:pPr>
        <w:pStyle w:val="832"/>
        <w:pBdr/>
        <w:spacing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  <w:t xml:space="preserve">ения, если необходимо)</w:t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</w:p>
    <w:p>
      <w:pPr>
        <w:pStyle w:val="832"/>
        <w:pBdr/>
        <w:spacing w:after="0" w:before="0"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2"/>
        <w:pBdr/>
        <w:spacing w:after="0" w:before="0"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Таблица 1</w:t>
      </w:r>
      <w:r>
        <w:rPr>
          <w:rFonts w:ascii="Times New Roman" w:hAnsi="Times New Roman" w:cs="Times New Roman"/>
          <w:bCs/>
          <w:i/>
          <w:sz w:val="28"/>
          <w:szCs w:val="28"/>
        </w:rPr>
      </w:r>
      <w:r>
        <w:rPr>
          <w:rFonts w:ascii="Times New Roman" w:hAnsi="Times New Roman" w:cs="Times New Roman"/>
          <w:bCs/>
          <w:i/>
          <w:sz w:val="28"/>
          <w:szCs w:val="28"/>
        </w:rPr>
      </w:r>
    </w:p>
    <w:p>
      <w:pPr>
        <w:pStyle w:val="832"/>
        <w:pBdr/>
        <w:spacing w:after="0" w:before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Заголовок данной таблицы текст текст текст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W w:w="9085" w:type="dxa"/>
        <w:tblInd w:w="113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7188"/>
        <w:gridCol w:w="189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88" w:type="dxa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6" w:type="dxa"/>
            <w:textDirection w:val="lrTb"/>
            <w:noWrap w:val="false"/>
          </w:tcPr>
          <w:p>
            <w:pPr>
              <w:pStyle w:val="832"/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88" w:type="dxa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6" w:type="dxa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46,0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88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6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32,4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88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6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20,5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88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6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14,7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88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6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12,4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88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6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9,1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88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6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6,5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</w:tbl>
    <w:p>
      <w:pPr>
        <w:pStyle w:val="832"/>
        <w:pBdr/>
        <w:spacing/>
        <w:ind/>
        <w:rPr/>
      </w:pPr>
      <w:r/>
      <w:r/>
    </w:p>
    <w:p>
      <w:pPr>
        <w:pStyle w:val="832"/>
        <w:pBdr/>
        <w:spacing/>
        <w:ind w:firstLine="709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Библиографический список</w:t>
      </w:r>
      <w:r>
        <w:rPr>
          <w:rFonts w:ascii="Times New Roman" w:hAnsi="Times New Roman"/>
          <w:b/>
          <w:i/>
          <w:sz w:val="28"/>
          <w:szCs w:val="28"/>
        </w:rPr>
      </w:r>
      <w:r>
        <w:rPr>
          <w:rFonts w:ascii="Times New Roman" w:hAnsi="Times New Roman"/>
          <w:b/>
          <w:i/>
          <w:sz w:val="28"/>
          <w:szCs w:val="28"/>
        </w:rPr>
      </w:r>
    </w:p>
    <w:p>
      <w:pPr>
        <w:pStyle w:val="832"/>
        <w:pBdr/>
        <w:spacing w:after="0" w:before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Альберт Ю. В. </w:t>
      </w:r>
      <w:r>
        <w:rPr>
          <w:rFonts w:ascii="Times New Roman" w:hAnsi="Times New Roman"/>
          <w:sz w:val="28"/>
          <w:szCs w:val="28"/>
        </w:rPr>
        <w:t xml:space="preserve">Библиографическая ссылка: справочник. Киев, 1983. 247 с.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32"/>
        <w:pBdr/>
        <w:spacing w:after="0" w:before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Балалуева И. А.</w:t>
      </w:r>
      <w:r>
        <w:rPr>
          <w:rFonts w:ascii="Times New Roman" w:hAnsi="Times New Roman"/>
          <w:sz w:val="28"/>
          <w:szCs w:val="28"/>
        </w:rPr>
        <w:t xml:space="preserve"> Медиаобраз женщины и развитие гендерного дискурса в современных российских федеральных газетах [Электронный ресурс] // Гуманитарные, социально-экономические и общественные науки. 2014. №12–1. URL: </w:t>
      </w:r>
      <w:hyperlink r:id="rId9" w:tooltip="https://cyberleninka.ru/article/n/mediaobraz-zhenschiny-i-razvitie-gendernogo-diskursa-v-sovremennyh-rossiyskih-federalnyh-gazetah" w:history="1">
        <w:r>
          <w:rPr>
            <w:rStyle w:val="834"/>
            <w:rFonts w:ascii="Times New Roman" w:hAnsi="Times New Roman"/>
            <w:sz w:val="28"/>
            <w:szCs w:val="28"/>
          </w:rPr>
          <w:t xml:space="preserve">https://cyberleninka.ru/article/n/mediaobraz-zhenschiny-i-razvitie-gendernogo-diskursa-v-sovremennyh-rossiyskih-federalnyh-gazetah</w:t>
        </w:r>
      </w:hyperlink>
      <w:r>
        <w:rPr>
          <w:rFonts w:ascii="Times New Roman" w:hAnsi="Times New Roman"/>
          <w:sz w:val="28"/>
          <w:szCs w:val="28"/>
        </w:rPr>
        <w:t xml:space="preserve"> (дата обращения: 09.10.2023).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32"/>
        <w:pBdr/>
        <w:spacing w:after="0" w:before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Валукин М. Е. </w:t>
      </w:r>
      <w:r>
        <w:rPr>
          <w:rFonts w:ascii="Times New Roman" w:hAnsi="Times New Roman"/>
          <w:sz w:val="28"/>
          <w:szCs w:val="28"/>
        </w:rPr>
        <w:t xml:space="preserve">Эволюция движений в мужском классическом танце: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32"/>
        <w:pBdr/>
        <w:spacing w:after="0" w:before="0" w:line="24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научная монография. М., 2006. 251 с.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32"/>
        <w:pBdr/>
        <w:spacing w:after="0" w:before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Гражданский кодекс Российской Федерации.</w:t>
      </w:r>
      <w:r>
        <w:rPr>
          <w:rFonts w:ascii="Times New Roman" w:hAnsi="Times New Roman"/>
          <w:sz w:val="28"/>
          <w:szCs w:val="28"/>
        </w:rPr>
        <w:t xml:space="preserve"> Часть четвертая от 18 дек. 2006г. № 230-ФЗ : принят Гос. Думой Федер. Собр. Рос. Федерации 24 нояб. 2006 г. : одобр. Советом Федераци</w:t>
      </w:r>
      <w:r>
        <w:rPr>
          <w:rFonts w:ascii="Times New Roman" w:hAnsi="Times New Roman"/>
          <w:sz w:val="28"/>
          <w:szCs w:val="28"/>
        </w:rPr>
        <w:t xml:space="preserve">и Федер. Собр. Рос. Федерации 8 дек. 2006 г. : ввод. Федер. законом Рос. Федерации от 18 дек. 2006 г. № 231-ФЗ // Парламент. газ. 2006. 21 дек. ; Рос. газ. 2006. 22 дек. ; Собр. законодательства Рос. Федерации. – 2006. № 52, ч. 1, ст. 5496. С. 14803–14949.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32"/>
        <w:pBdr/>
        <w:spacing w:after="0" w:before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Мельников В. П., Клейменов С. А., Петраков А. М.</w:t>
      </w:r>
      <w:r>
        <w:rPr>
          <w:rFonts w:ascii="Times New Roman" w:hAnsi="Times New Roman"/>
          <w:sz w:val="28"/>
          <w:szCs w:val="28"/>
        </w:rPr>
        <w:t xml:space="preserve"> Информационная безопасность и защита информации: учеб. пособие. М.: Флинта, 2006. 251 с.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32"/>
        <w:pBdr/>
        <w:spacing w:after="0" w:before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Пивинский Ю. Е.</w:t>
      </w:r>
      <w:r>
        <w:rPr>
          <w:rFonts w:ascii="Times New Roman" w:hAnsi="Times New Roman"/>
          <w:sz w:val="28"/>
          <w:szCs w:val="28"/>
        </w:rPr>
        <w:t xml:space="preserve"> Неформованные огнеупоры. В 2 т. Т. 1. М., 2003. 447 с.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32"/>
        <w:pBdr/>
        <w:spacing w:after="0" w:before="0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i/>
          <w:sz w:val="28"/>
          <w:szCs w:val="28"/>
          <w:lang w:eastAsia="ar-SA"/>
        </w:rPr>
        <w:t xml:space="preserve">Самохина М. М. 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Интернет и аудитория современной библиотеки // Библиография. 2014. № 4. С. 67–71.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</w:p>
    <w:p>
      <w:pPr>
        <w:pStyle w:val="832"/>
        <w:pBdr/>
        <w:spacing w:after="0" w:before="0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i/>
          <w:sz w:val="28"/>
          <w:szCs w:val="28"/>
          <w:lang w:eastAsia="ar-SA"/>
        </w:rPr>
        <w:t xml:space="preserve">Фенухин В. И. 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Этнополитические конфликты в современной России: на примере Северо-Кавказского региона: дис. … канд. пед. наук. М., 2002. 231с.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</w:p>
    <w:p>
      <w:pPr>
        <w:pStyle w:val="832"/>
        <w:pBdr/>
        <w:spacing/>
        <w:ind w:firstLine="709"/>
        <w:jc w:val="center"/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</w:p>
    <w:p>
      <w:pPr>
        <w:pStyle w:val="832"/>
        <w:pBdr/>
        <w:spacing/>
        <w:ind w:firstLine="709"/>
        <w:jc w:val="center"/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</w:p>
    <w:p>
      <w:pPr>
        <w:pStyle w:val="832"/>
        <w:pBdr/>
        <w:spacing/>
        <w:ind w:firstLine="709"/>
        <w:jc w:val="center"/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</w:p>
    <w:p>
      <w:pPr>
        <w:pStyle w:val="832"/>
        <w:pBdr/>
        <w:spacing/>
        <w:ind w:firstLine="709"/>
        <w:jc w:val="center"/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  <w:t xml:space="preserve">Список использованных электронных ресурсов</w:t>
      </w:r>
      <w:r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r>
    </w:p>
    <w:p>
      <w:pPr>
        <w:pBdr/>
        <w:spacing/>
        <w:ind w:firstLine="709"/>
        <w:jc w:val="center"/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  <w:t xml:space="preserve">[1]</w:t>
      </w: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  <w:t xml:space="preserve">https://education.yandex.ru/handbook/algorithms/article/razdelyaj-i-vlastvuj</w:t>
      </w: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r>
    </w:p>
    <w:p>
      <w:pPr>
        <w:pBdr/>
        <w:spacing/>
        <w:ind w:firstLine="709"/>
        <w:jc w:val="left"/>
        <w:rPr>
          <w:rFonts w:ascii="Times New Roman" w:hAnsi="Times New Roman" w:eastAsia="MS Mincho" w:cs="Times New Roman"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  <w:t xml:space="preserve">[2]Грокаем алгоритмы</w:t>
      </w: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</w:p>
    <w:p>
      <w:pPr>
        <w:pStyle w:val="832"/>
        <w:pBdr/>
        <w:spacing w:after="0" w:before="0" w:line="24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i/>
          <w:sz w:val="28"/>
          <w:szCs w:val="28"/>
          <w:lang w:eastAsia="ar-SA"/>
        </w:rPr>
        <w:t xml:space="preserve">Автокадр_46.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ДТП, ЧП, Аварии Курска и области [сайт]. ©Avtokadr_46. </w:t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  <w:t xml:space="preserve">URL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: </w:t>
      </w:r>
      <w:hyperlink r:id="rId10" w:tooltip="https://vk.com/avtokadr_46" w:history="1"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val="en-US" w:eastAsia="ar-SA"/>
          </w:rPr>
          <w:t xml:space="preserve">https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eastAsia="ar-SA"/>
          </w:rPr>
          <w:t xml:space="preserve">://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val="en-US" w:eastAsia="ar-SA"/>
          </w:rPr>
          <w:t xml:space="preserve">vk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eastAsia="ar-SA"/>
          </w:rPr>
          <w:t xml:space="preserve">.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val="en-US" w:eastAsia="ar-SA"/>
          </w:rPr>
          <w:t xml:space="preserve">com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eastAsia="ar-SA"/>
          </w:rPr>
          <w:t xml:space="preserve">/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val="en-US" w:eastAsia="ar-SA"/>
          </w:rPr>
          <w:t xml:space="preserve">avtokadr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eastAsia="ar-SA"/>
          </w:rPr>
          <w:t xml:space="preserve">_46</w:t>
        </w:r>
      </w:hyperlink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(дата обращения: 27.09.2023).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</w:p>
    <w:p>
      <w:pPr>
        <w:pStyle w:val="832"/>
        <w:pBdr/>
        <w:spacing w:after="0" w:before="0" w:line="24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i/>
          <w:sz w:val="28"/>
          <w:szCs w:val="28"/>
          <w:lang w:eastAsia="ar-SA"/>
        </w:rPr>
        <w:t xml:space="preserve">Государственная Дума 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Федерального Собрания Российской Федерации [сайт]. Официальный сайт. 2023 год. </w:t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  <w:t xml:space="preserve">URL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: </w:t>
      </w:r>
      <w:r>
        <w:rPr>
          <w:rFonts w:ascii="Cambria" w:hAnsi="Cambria" w:eastAsia="MS Mincho" w:cs="Times New Roman"/>
          <w:sz w:val="24"/>
          <w:szCs w:val="24"/>
          <w:lang w:eastAsia="ar-SA"/>
        </w:rPr>
        <w:t xml:space="preserve"> </w:t>
      </w:r>
      <w:hyperlink r:id="rId11" w:tooltip="http://duma.gov.ru/" w:history="1"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val="en-US" w:eastAsia="ar-SA"/>
          </w:rPr>
          <w:t xml:space="preserve">http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eastAsia="ar-SA"/>
          </w:rPr>
          <w:t xml:space="preserve">://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val="en-US" w:eastAsia="ar-SA"/>
          </w:rPr>
          <w:t xml:space="preserve">duma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eastAsia="ar-SA"/>
          </w:rPr>
          <w:t xml:space="preserve">.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val="en-US" w:eastAsia="ar-SA"/>
          </w:rPr>
          <w:t xml:space="preserve">gov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eastAsia="ar-SA"/>
          </w:rPr>
          <w:t xml:space="preserve">.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val="en-US" w:eastAsia="ar-SA"/>
          </w:rPr>
          <w:t xml:space="preserve">ru</w:t>
        </w:r>
      </w:hyperlink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(дата обращения: 11.10.2023).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</w:p>
    <w:p>
      <w:pPr>
        <w:pStyle w:val="832"/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2"/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br w:type="page" w:clear="all"/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2"/>
        <w:pBdr/>
        <w:spacing w:after="160" w:before="0"/>
        <w:ind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HASHTAG AS A COMMUNICATION TOOL IN WEB SOCIAL CULTURAL FIELD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832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eastAsia="TimesNewRomanPSMT" w:cs="Times New Roman"/>
          <w:b/>
          <w:i/>
          <w:sz w:val="28"/>
          <w:szCs w:val="28"/>
          <w:lang w:val="en-US"/>
        </w:rPr>
        <w:t xml:space="preserve">A.A. Ivanova</w:t>
      </w:r>
      <w:r>
        <w:rPr>
          <w:rFonts w:ascii="Times New Roman" w:hAnsi="Times New Roman" w:eastAsia="TimesNewRomanPSMT" w:cs="Times New Roman"/>
          <w:b/>
          <w:i/>
          <w:sz w:val="28"/>
          <w:szCs w:val="28"/>
          <w:lang w:val="en-US"/>
        </w:rPr>
      </w:r>
      <w:r>
        <w:rPr>
          <w:rFonts w:ascii="Times New Roman" w:hAnsi="Times New Roman" w:eastAsia="TimesNewRomanPSMT" w:cs="Times New Roman"/>
          <w:b/>
          <w:i/>
          <w:sz w:val="28"/>
          <w:szCs w:val="28"/>
          <w:lang w:val="en-US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1st year master student in… 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jc w:val="right"/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Kursk State University  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e-mail: </w:t>
      </w:r>
      <w:hyperlink r:id="rId12" w:tooltip="mailto:ivanova.a@gmail.com" w:history="1">
        <w:r>
          <w:rPr>
            <w:rStyle w:val="834"/>
            <w:rFonts w:ascii="Times New Roman" w:hAnsi="Times New Roman" w:eastAsia="TimesNewRomanPSMT" w:cs="Times New Roman"/>
            <w:i/>
            <w:sz w:val="24"/>
            <w:szCs w:val="24"/>
            <w:lang w:val="en-US"/>
          </w:rPr>
          <w:t xml:space="preserve">ivanova.a@gmail.com</w:t>
        </w:r>
      </w:hyperlink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8"/>
          <w:szCs w:val="28"/>
          <w:lang w:val="en-US"/>
        </w:rPr>
      </w:pPr>
      <w:r>
        <w:rPr>
          <w:rFonts w:ascii="Times New Roman" w:hAnsi="Times New Roman" w:eastAsia="TimesNewRomanPSMT" w:cs="Times New Roman"/>
          <w:i/>
          <w:sz w:val="28"/>
          <w:szCs w:val="28"/>
          <w:lang w:val="en-US"/>
        </w:rPr>
        <w:t xml:space="preserve">Supervisor:</w:t>
      </w:r>
      <w:r>
        <w:rPr>
          <w:rFonts w:ascii="Times New Roman" w:hAnsi="Times New Roman" w:eastAsia="TimesNewRomanPSMT" w:cs="Times New Roman"/>
          <w:i/>
          <w:sz w:val="28"/>
          <w:szCs w:val="28"/>
          <w:lang w:val="en-US"/>
        </w:rPr>
      </w:r>
      <w:r>
        <w:rPr>
          <w:rFonts w:ascii="Times New Roman" w:hAnsi="Times New Roman" w:eastAsia="TimesNewRomanPSMT" w:cs="Times New Roman"/>
          <w:i/>
          <w:sz w:val="28"/>
          <w:szCs w:val="28"/>
          <w:lang w:val="en-US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eastAsia="TimesNewRomanPSMT" w:cs="Times New Roman"/>
          <w:b/>
          <w:i/>
          <w:sz w:val="28"/>
          <w:szCs w:val="28"/>
          <w:lang w:val="en-US"/>
        </w:rPr>
        <w:t xml:space="preserve">I.P. Petrova</w:t>
      </w:r>
      <w:r>
        <w:rPr>
          <w:rFonts w:ascii="Times New Roman" w:hAnsi="Times New Roman" w:eastAsia="TimesNewRomanPSMT" w:cs="Times New Roman"/>
          <w:b/>
          <w:i/>
          <w:sz w:val="28"/>
          <w:szCs w:val="28"/>
          <w:lang w:val="en-US"/>
        </w:rPr>
      </w:r>
      <w:r>
        <w:rPr>
          <w:rFonts w:ascii="Times New Roman" w:hAnsi="Times New Roman" w:eastAsia="TimesNewRomanPSMT" w:cs="Times New Roman"/>
          <w:b/>
          <w:i/>
          <w:sz w:val="28"/>
          <w:szCs w:val="28"/>
          <w:lang w:val="en-US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Candidate of Pedagogics, Docent, 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Associate professor at the Department of …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jc w:val="right"/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Kursk State University 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jc w:val="center"/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The article deals with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 the role of hashtags in web social cultural field. The traits of computer-mediated communication seen as a specific speech formation are given; the functions of hashtags are considered in terms of them being special communication tools on the Internet.   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rPr>
          <w:rFonts w:ascii="Times New Roman" w:hAnsi="Times New Roman" w:eastAsia="TimesNewRomanPSMT" w:cs="Times New Roman"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b/>
          <w:i/>
          <w:sz w:val="24"/>
          <w:szCs w:val="24"/>
          <w:lang w:val="en-US"/>
        </w:rPr>
        <w:t xml:space="preserve">Key words: 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Internet communication, hashtag, web social cultural field, computer-mediated communication</w:t>
      </w:r>
      <w:r>
        <w:rPr>
          <w:rFonts w:ascii="Times New Roman" w:hAnsi="Times New Roman" w:eastAsia="TimesNewRomanPSMT" w:cs="Times New Roman"/>
          <w:sz w:val="24"/>
          <w:szCs w:val="24"/>
          <w:lang w:val="en-US"/>
        </w:rPr>
        <w:t xml:space="preserve">.</w:t>
      </w:r>
      <w:r>
        <w:rPr>
          <w:rFonts w:ascii="Times New Roman" w:hAnsi="Times New Roman" w:eastAsia="TimesNewRomanPSMT" w:cs="Times New Roman"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rPr>
          <w:rFonts w:ascii="Times New Roman" w:hAnsi="Times New Roman" w:eastAsia="TimesNewRomanPSMT" w:cs="Times New Roman"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rPr>
          <w:rFonts w:ascii="Times New Roman" w:hAnsi="Times New Roman" w:eastAsia="TimesNewRomanPSMT" w:cs="Times New Roman"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 w:firstLine="709"/>
        <w:jc w:val="center"/>
        <w:rPr>
          <w:rFonts w:ascii="Times New Roman" w:hAnsi="Times New Roman" w:eastAsia="MS Mincho" w:cs="Times New Roman"/>
          <w:b/>
          <w:i/>
          <w:sz w:val="28"/>
          <w:szCs w:val="28"/>
          <w:lang w:val="en-US"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lang w:val="en-US" w:eastAsia="ar-SA"/>
        </w:rPr>
        <w:t xml:space="preserve">References</w:t>
      </w:r>
      <w:r>
        <w:rPr>
          <w:rFonts w:ascii="Times New Roman" w:hAnsi="Times New Roman" w:eastAsia="MS Mincho" w:cs="Times New Roman"/>
          <w:b/>
          <w:i/>
          <w:sz w:val="28"/>
          <w:szCs w:val="28"/>
          <w:lang w:val="en-US"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lang w:val="en-US" w:eastAsia="ar-SA"/>
        </w:rPr>
      </w:r>
    </w:p>
    <w:p>
      <w:pPr>
        <w:pStyle w:val="832"/>
        <w:pBdr/>
        <w:spacing w:after="0" w:before="0" w:line="240" w:lineRule="auto"/>
        <w:ind w:firstLine="709"/>
        <w:jc w:val="center"/>
        <w:rPr>
          <w:rFonts w:ascii="Times New Roman" w:hAnsi="Times New Roman" w:eastAsia="MS Mincho" w:cs="Times New Roman"/>
          <w:b/>
          <w:i/>
          <w:sz w:val="28"/>
          <w:szCs w:val="28"/>
          <w:lang w:val="en-US"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lang w:val="en-US"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lang w:val="en-US"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lang w:val="en-US" w:eastAsia="ar-SA"/>
        </w:rPr>
      </w:r>
    </w:p>
    <w:p>
      <w:pPr>
        <w:pStyle w:val="832"/>
        <w:pBdr/>
        <w:spacing w:after="0" w:before="0" w:line="24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val="en-US" w:eastAsia="ar-SA"/>
        </w:rPr>
      </w:pPr>
      <w:r>
        <w:rPr>
          <w:rFonts w:ascii="Times New Roman" w:hAnsi="Times New Roman" w:eastAsia="MS Mincho" w:cs="Times New Roman"/>
          <w:i/>
          <w:sz w:val="28"/>
          <w:szCs w:val="28"/>
          <w:lang w:val="en-US" w:eastAsia="ar-SA"/>
        </w:rPr>
        <w:t xml:space="preserve">Arutyunova N.D.</w:t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  <w:t xml:space="preserve"> Diskurs // Lingvisticheskij e`nciklopedicheskij slovar`.  M.: «Sovetskaya e`nciklopediya», 1990. S. 136–137.</w:t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</w:r>
    </w:p>
    <w:p>
      <w:pPr>
        <w:pStyle w:val="832"/>
        <w:pBdr/>
        <w:spacing w:after="0" w:before="0" w:line="24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val="en-US" w:eastAsia="ar-SA"/>
        </w:rPr>
      </w:pPr>
      <w:r>
        <w:rPr>
          <w:rFonts w:ascii="Times New Roman" w:hAnsi="Times New Roman" w:eastAsia="MS Mincho" w:cs="Times New Roman"/>
          <w:i/>
          <w:sz w:val="28"/>
          <w:szCs w:val="28"/>
          <w:lang w:val="en-US" w:eastAsia="ar-SA"/>
        </w:rPr>
        <w:t xml:space="preserve">Balalueva I.A.</w:t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  <w:t xml:space="preserve"> Mediaobraz zhenshhiny` i razvitie gendernogo diskursa v sovremenny`x rossijskix federal`ny`x gazetax [E`lektronny`j re</w:t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  <w:t xml:space="preserve">surs] // Gumanitarny`e, social`no-e`konomicheskie i obshhestvenny`e nauki. 2014. №12-1. URL: https://cyberleninka.ru/article/n/mediaobraz-zhenschiny-i-razvitie-gendernogo-diskursa-v-sovremennyh-rossiyskih-federalnyh-gazetah (data obrashheniya: 09.10.2023).</w:t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rPr>
          <w:rFonts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ascii="Times New Roman" w:hAnsi="Times New Roman" w:eastAsia="TimesNewRomanPSMT" w:cs="Times New Roman"/>
          <w:sz w:val="28"/>
          <w:szCs w:val="28"/>
          <w:lang w:val="en-US"/>
        </w:rPr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</w:r>
    </w:p>
    <w:p>
      <w:pPr>
        <w:pStyle w:val="832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2"/>
        <w:pBdr/>
        <w:spacing/>
        <w:ind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</w:r>
      <w:r>
        <w:rPr>
          <w:rFonts w:ascii="Times New Roman" w:hAnsi="Times New Roman" w:cs="Times New Roman"/>
          <w:sz w:val="20"/>
          <w:szCs w:val="20"/>
          <w:lang w:val="en-US"/>
        </w:rPr>
      </w:r>
      <w:r>
        <w:rPr>
          <w:rFonts w:ascii="Times New Roman" w:hAnsi="Times New Roman" w:cs="Times New Roman"/>
          <w:sz w:val="20"/>
          <w:szCs w:val="20"/>
          <w:lang w:val="en-US"/>
        </w:rPr>
      </w:r>
    </w:p>
    <w:p>
      <w:pPr>
        <w:pStyle w:val="832"/>
        <w:pBdr/>
        <w:spacing/>
        <w:ind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</w:p>
    <w:p>
      <w:pPr>
        <w:pStyle w:val="832"/>
        <w:pBdr/>
        <w:spacing w:after="160" w:before="0"/>
        <w:ind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</w:p>
    <w:sectPr>
      <w:footnotePr/>
      <w:endnotePr/>
      <w:type w:val="nextPage"/>
      <w:pgSz w:h="16838" w:orient="landscape" w:w="11906"/>
      <w:pgMar w:top="1418" w:right="1418" w:bottom="1418" w:left="1418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panose1 w:val="05040102010807070707"/>
  </w:font>
  <w:font w:name="Times New Roman">
    <w:panose1 w:val="02020603050405020304"/>
  </w:font>
  <w:font w:name="Noto Sans">
    <w:panose1 w:val="020B0502040504020204"/>
  </w:font>
  <w:font w:name="Cambria">
    <w:panose1 w:val="02040503050406030204"/>
  </w:font>
  <w:font w:name="Noto Sans Devanagari">
    <w:panose1 w:val="020B0502040504020204"/>
  </w:font>
  <w:font w:name="DejaVu Sans">
    <w:panose1 w:val="020B0603030804020204"/>
  </w:font>
  <w:font w:name="MS Mincho">
    <w:panose1 w:val="02020503050405090304"/>
  </w:font>
  <w:font w:name="Tahoma">
    <w:panose1 w:val="020B0502040504020204"/>
  </w:font>
  <w:font w:name="Calibri">
    <w:panose1 w:val="020F05020202040302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3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basedOn w:val="833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3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3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3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3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3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3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33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5">
    <w:name w:val="No Spacing"/>
    <w:uiPriority w:val="1"/>
    <w:qFormat/>
    <w:pPr>
      <w:pBdr/>
      <w:spacing w:after="0" w:before="0" w:line="240" w:lineRule="auto"/>
      <w:ind/>
    </w:pPr>
  </w:style>
  <w:style w:type="paragraph" w:styleId="676">
    <w:name w:val="Title"/>
    <w:basedOn w:val="832"/>
    <w:next w:val="832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basedOn w:val="833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2"/>
    <w:next w:val="832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basedOn w:val="833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2"/>
    <w:next w:val="832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2"/>
    <w:next w:val="832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2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basedOn w:val="833"/>
    <w:link w:val="684"/>
    <w:uiPriority w:val="99"/>
    <w:pPr>
      <w:pBdr/>
      <w:spacing/>
      <w:ind/>
    </w:pPr>
  </w:style>
  <w:style w:type="paragraph" w:styleId="686">
    <w:name w:val="Footer"/>
    <w:basedOn w:val="832"/>
    <w:link w:val="68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basedOn w:val="833"/>
    <w:link w:val="686"/>
    <w:uiPriority w:val="99"/>
    <w:pPr>
      <w:pBdr/>
      <w:spacing/>
      <w:ind/>
    </w:pPr>
  </w:style>
  <w:style w:type="character" w:styleId="688">
    <w:name w:val="Caption Char"/>
    <w:basedOn w:val="839"/>
    <w:link w:val="686"/>
    <w:uiPriority w:val="99"/>
    <w:pPr>
      <w:pBdr/>
      <w:spacing/>
      <w:ind/>
    </w:pPr>
  </w:style>
  <w:style w:type="table" w:styleId="689">
    <w:name w:val="Table Grid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widowControl w:val="true"/>
      <w:pBdr/>
      <w:spacing w:after="160" w:before="0" w:line="259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833" w:default="1">
    <w:name w:val="Default Paragraph Font"/>
    <w:uiPriority w:val="1"/>
    <w:unhideWhenUsed/>
    <w:qFormat/>
    <w:pPr>
      <w:pBdr/>
      <w:spacing/>
      <w:ind/>
    </w:pPr>
  </w:style>
  <w:style w:type="character" w:styleId="834">
    <w:name w:val="Hyperlink"/>
    <w:basedOn w:val="83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5" w:customStyle="1">
    <w:name w:val="Текст выноски Знак"/>
    <w:basedOn w:val="833"/>
    <w:link w:val="841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836">
    <w:name w:val="Heading"/>
    <w:basedOn w:val="832"/>
    <w:next w:val="837"/>
    <w:qFormat/>
    <w:pPr>
      <w:keepNext w:val="true"/>
      <w:pBdr/>
      <w:spacing w:after="120" w:before="240"/>
      <w:ind/>
    </w:pPr>
    <w:rPr>
      <w:rFonts w:ascii="DejaVu Sans" w:hAnsi="DejaVu Sans" w:eastAsia="Noto Sans" w:cs="Noto Sans Devanagari"/>
      <w:sz w:val="28"/>
      <w:szCs w:val="28"/>
    </w:rPr>
  </w:style>
  <w:style w:type="paragraph" w:styleId="837">
    <w:name w:val="Body Text"/>
    <w:basedOn w:val="832"/>
    <w:pPr>
      <w:pBdr/>
      <w:spacing w:after="140" w:before="0" w:line="276" w:lineRule="auto"/>
      <w:ind/>
    </w:pPr>
  </w:style>
  <w:style w:type="paragraph" w:styleId="838">
    <w:name w:val="List"/>
    <w:basedOn w:val="837"/>
    <w:pPr>
      <w:pBdr/>
      <w:spacing/>
      <w:ind/>
    </w:pPr>
    <w:rPr>
      <w:rFonts w:cs="Noto Sans Devanagari"/>
    </w:rPr>
  </w:style>
  <w:style w:type="paragraph" w:styleId="839">
    <w:name w:val="Caption"/>
    <w:basedOn w:val="832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40">
    <w:name w:val="Index"/>
    <w:basedOn w:val="832"/>
    <w:qFormat/>
    <w:pPr>
      <w:suppressLineNumbers w:val="true"/>
      <w:pBdr/>
      <w:spacing/>
      <w:ind/>
    </w:pPr>
    <w:rPr>
      <w:rFonts w:cs="Noto Sans Devanagari"/>
    </w:rPr>
  </w:style>
  <w:style w:type="paragraph" w:styleId="841">
    <w:name w:val="Balloon Text"/>
    <w:basedOn w:val="832"/>
    <w:link w:val="835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numbering" w:styleId="842" w:default="1">
    <w:name w:val="No List"/>
    <w:uiPriority w:val="99"/>
    <w:semiHidden/>
    <w:unhideWhenUsed/>
    <w:qFormat/>
    <w:pPr>
      <w:pBdr/>
      <w:spacing/>
      <w:ind/>
    </w:pPr>
  </w:style>
  <w:style w:type="table" w:styleId="843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cyberleninka.ru/article/n/mediaobraz-zhenschiny-i-razvitie-gendernogo-diskursa-v-sovremennyh-rossiyskih-federalnyh-gazetah" TargetMode="External"/><Relationship Id="rId10" Type="http://schemas.openxmlformats.org/officeDocument/2006/relationships/hyperlink" Target="https://vk.com/avtokadr_46" TargetMode="External"/><Relationship Id="rId11" Type="http://schemas.openxmlformats.org/officeDocument/2006/relationships/hyperlink" Target="http://duma.gov.ru/" TargetMode="External"/><Relationship Id="rId12" Type="http://schemas.openxmlformats.org/officeDocument/2006/relationships/hyperlink" Target="mailto:ivanova.a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>RePack by SPecialiST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ValentinHome</dc:creator>
  <dc:description/>
  <dc:language>en-US</dc:language>
  <cp:revision>10</cp:revision>
  <dcterms:created xsi:type="dcterms:W3CDTF">2023-11-13T10:21:00Z</dcterms:created>
  <dcterms:modified xsi:type="dcterms:W3CDTF">2024-02-29T14:29:22Z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