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Sales Report</w:t>
      </w:r>
    </w:p>
    <w:p>
      <w:r>
        <w:t>This document summarizes Q1 2025 regional sales performance.</w:t>
      </w:r>
    </w:p>
    <w:p>
      <w:pPr>
        <w:pStyle w:val="Heading1"/>
      </w:pPr>
      <w:r>
        <w:t>Regional Breakdown</w:t>
      </w:r>
    </w:p>
    <w:p>
      <w:r>
        <w:t>North region achieved 320 units. South led with 480 units. East recorded 210 units. West delivered 390 units.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Q1 Sales by Region bar chart.</w:t>
      </w:r>
    </w:p>
    <w:p>
      <w:pPr>
        <w:pStyle w:val="Heading1"/>
      </w:pPr>
      <w:r>
        <w:t>Conclusion</w:t>
      </w:r>
    </w:p>
    <w:p>
      <w:r>
        <w:t>South region is the top performer this quarter with 480 units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