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64" w:lineRule="auto"/>
      </w:pPr>
      <w:r>
        <w:rPr>
          <w:rFonts w:ascii="Calibri" w:hAnsi="Calibri" w:eastAsia="Microsoft YaHei"/>
          <w:b/>
          <w:i w:val="0"/>
          <w:color w:val="2F6690"/>
          <w:sz w:val="19"/>
        </w:rPr>
        <w:t>阶段 1 / 实证分析</w:t>
      </w:r>
    </w:p>
    <w:p>
      <w:pPr>
        <w:spacing w:after="80" w:line="264" w:lineRule="auto"/>
      </w:pPr>
      <w:r>
        <w:rPr>
          <w:rFonts w:ascii="Calibri" w:hAnsi="Calibri" w:eastAsia="Microsoft YaHei"/>
          <w:b/>
          <w:i w:val="0"/>
          <w:color w:val="16324F"/>
          <w:sz w:val="44"/>
        </w:rPr>
        <w:t>多孔功能涂层的定量 SEM 形貌与结构—性能映射</w:t>
      </w:r>
    </w:p>
    <w:p>
      <w:pPr>
        <w:spacing w:after="200" w:line="264" w:lineRule="auto"/>
      </w:pPr>
      <w:r>
        <w:rPr>
          <w:rFonts w:ascii="Calibri" w:hAnsi="Calibri" w:eastAsia="Microsoft YaHei"/>
          <w:b w:val="0"/>
          <w:i w:val="0"/>
          <w:color w:val="5C6570"/>
          <w:sz w:val="23"/>
        </w:rPr>
        <w:t>严格限定为形貌—润湿/耐久性关联；不包含发射率或其他光学性质预测</w:t>
      </w:r>
    </w:p>
    <w:p>
      <w:pPr>
        <w:spacing w:after="200" w:line="264" w:lineRule="auto"/>
      </w:pPr>
      <w:r>
        <w:rPr>
          <w:rFonts w:ascii="Calibri" w:hAnsi="Calibri" w:eastAsia="Microsoft YaHei"/>
          <w:b w:val="0"/>
          <w:i w:val="0"/>
          <w:color w:val="5C6570"/>
          <w:sz w:val="18"/>
        </w:rPr>
        <w:t>主数据：Zenodo 16054027  |  外部基准：5905496 / 4317170  |  许可：CC BY 4.0</w:t>
      </w:r>
    </w:p>
    <w:p>
      <w:pPr>
        <w:spacing w:before="60" w:after="160" w:line="259" w:lineRule="auto"/>
        <w:ind w:left="259" w:right="173"/>
        <w:shd w:fill="F2F4F7"/>
      </w:pPr>
      <w:r>
        <w:rPr>
          <w:rFonts w:ascii="Calibri" w:hAnsi="Calibri" w:eastAsia="Microsoft YaHei"/>
          <w:b/>
          <w:color w:val="2F6690"/>
          <w:sz w:val="21"/>
        </w:rPr>
        <w:t xml:space="preserve">结论  </w:t>
      </w:r>
      <w:r>
        <w:rPr>
          <w:rFonts w:ascii="Calibri" w:hAnsi="Calibri" w:eastAsia="Microsoft YaHei"/>
          <w:sz w:val="21"/>
        </w:rPr>
        <w:t>可从多尺度 SEM 中提取颗粒/孔隙描述符并与润湿、磨损状态做探索性关联；但质量控制后只有 8 个独立匹配条件，置换检验不支持可部署的性质预测。独立 FIB-SEM 基准证明监督分割优于全局阈值，但仍未达到预注册可靠性门槛。</w:t>
      </w:r>
    </w:p>
    <w:p>
      <w:pPr>
        <w:pStyle w:val="Heading1"/>
      </w:pPr>
      <w:r>
        <w:t>问题、数据与边界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公开档案含 28 幅 SEM/SEM 类图像，其中 18 幅为涂层图像；全部完成物理尺度校准。清理 331 个 Excel/资源文件后保留 88 个唯一有效性质工作簿。图像与性质仅在制备条件、测试类型和循环数可无歧义对应时合并，共 11 幅图、8 个独立条件。</w:t>
      </w:r>
    </w:p>
    <w:p>
      <w:pPr>
        <w:spacing w:after="14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分析单元已拆分为条件、试片、SEM 视野和性质工作簿四层；源档案未提供试片 ID，故试片层保持为空。同一条件的高/低倍率图像不跨数据划分，分割失败视野不进入模型。粒子亮区阈值可近似表征固相覆盖，但暗区同时包含真实孔隙、阴影与起伏，不能解释为三维孔隙率。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1692556"/>
            <wp:docPr id="1" name="Picture 1" descr="图 1  主涂层 SEM 的 Otsu、形态学与 Watershed 输出；主数据无专家掩膜，因此不报告涂层域 U-Net 准确率。" title="figure_2_segmentation_compari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segmentation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92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Microsoft YaHei"/>
          <w:i/>
          <w:color w:val="5C6570"/>
          <w:sz w:val="17"/>
        </w:rPr>
        <w:t>图 1  主涂层 SEM 的 Otsu、形态学与 Watershed 输出；主数据无专家掩膜，因此不报告涂层域 U-Net 准确率。</w:t>
      </w:r>
    </w:p>
    <w:p>
      <w:r>
        <w:br w:type="page"/>
      </w:r>
    </w:p>
    <w:p>
      <w:pPr>
        <w:pStyle w:val="Heading1"/>
      </w:pPr>
      <w:r>
        <w:t>结果与可靠性</w:t>
      </w:r>
    </w:p>
    <w:p>
      <w:pPr>
        <w:spacing w:before="60" w:after="160" w:line="259" w:lineRule="auto"/>
        <w:ind w:left="259" w:right="173"/>
        <w:shd w:fill="F2F4F7"/>
      </w:pPr>
      <w:r>
        <w:rPr>
          <w:rFonts w:ascii="Calibri" w:hAnsi="Calibri" w:eastAsia="Microsoft YaHei"/>
          <w:b/>
          <w:color w:val="16324F"/>
          <w:sz w:val="21"/>
        </w:rPr>
        <w:t xml:space="preserve">量化摘要  </w:t>
      </w:r>
      <w:r>
        <w:rPr>
          <w:rFonts w:ascii="Calibri" w:hAnsi="Calibri" w:eastAsia="Microsoft YaHei"/>
          <w:sz w:val="21"/>
        </w:rPr>
        <w:t>中位阈值敏感跨度为 0.094（固相面积分数）；1 幅图触发失败标记并被排除。接触角仅 8 个条件：Random Forest 留一 MAE=2.62°，均值基线=2.91°，置换 p=0.224。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00600" cy="1890963"/>
            <wp:docPr id="2" name="Picture 2" descr="图 2  PDMS/PUR、烧结状态与磨损方式下的接触角和滞后角轨迹；每条线是条件级汇总。" title="figure_4_wetting_durabil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wetting_dur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890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Microsoft YaHei"/>
          <w:i/>
          <w:color w:val="5C6570"/>
          <w:sz w:val="17"/>
        </w:rPr>
        <w:t>图 2  PDMS/PUR、烧结状态与磨损方式下的接触角和滞后角轨迹；每条线是条件级汇总。</w:t>
      </w:r>
    </w:p>
    <w:p>
      <w:pPr>
        <w:pStyle w:val="Heading2"/>
      </w:pPr>
      <w:r>
        <w:t>形貌—性质关联与模型</w:t>
      </w:r>
    </w:p>
    <w:p>
      <w:pPr>
        <w:spacing w:after="80" w:line="264" w:lineRule="auto"/>
      </w:pPr>
      <w:r>
        <w:rPr>
          <w:rFonts w:ascii="Calibri" w:hAnsi="Calibri" w:eastAsia="Microsoft YaHei"/>
          <w:b w:val="0"/>
          <w:i w:val="0"/>
          <w:sz w:val="20"/>
        </w:rPr>
        <w:t>在 8 个匹配条件中，接触角与 aspect ratio median 的 Spearman ρ=-0.88，组 bootstrap 95% CI [-1.00, -0.29]，只能生成假设。Random Forest 略低于均值基线，但置换 p=0.224；滞后角与滚动角各仅 4 条件，未拟合。</w:t>
      </w:r>
    </w:p>
    <w:p>
      <w:pPr>
        <w:pStyle w:val="Heading2"/>
      </w:pPr>
      <w:r>
        <w:t>独立分割基准</w:t>
      </w:r>
    </w:p>
    <w:p>
      <w:pPr>
        <w:spacing w:before="60" w:after="160" w:line="259" w:lineRule="auto"/>
        <w:ind w:left="259" w:right="173"/>
        <w:shd w:fill="F2F4F7"/>
      </w:pPr>
      <w:r>
        <w:rPr>
          <w:rFonts w:ascii="Calibri" w:hAnsi="Calibri" w:eastAsia="Microsoft YaHei"/>
          <w:b/>
          <w:color w:val="16324F"/>
          <w:sz w:val="21"/>
        </w:rPr>
        <w:t xml:space="preserve">冻结测试  </w:t>
      </w:r>
      <w:r>
        <w:rPr>
          <w:rFonts w:ascii="Calibri" w:hAnsi="Calibri" w:eastAsia="Microsoft YaHei"/>
          <w:sz w:val="21"/>
        </w:rPr>
        <w:t>官方 180/60/60 划分上，U-Net 测试 Dice 中位数由 Otsu 的 0.604 提升至 0.805；配对增益 0.182，95% CI [0.148, 0.201]，胜出 58/60。总体仍低于 0.85 门槛，且 HPC22=0.764。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1350498"/>
            <wp:docPr id="3" name="Picture 3" descr="图 3  验证集选模与官方测试集配对比较；测试集仅在第 26 轮检查点冻结后评估一次。" title="fibsem_unet_training_and_compari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sem_unet_training_and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350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Microsoft YaHei"/>
          <w:i/>
          <w:color w:val="5C6570"/>
          <w:sz w:val="17"/>
        </w:rPr>
        <w:t>图 3  验证集选模与官方测试集配对比较；测试集仅在第 26 轮检查点冻结后评估一次。</w:t>
      </w:r>
    </w:p>
    <w:p>
      <w:pPr>
        <w:pStyle w:val="Heading2"/>
      </w:pPr>
      <w:r>
        <w:t>判断与下一步</w:t>
      </w:r>
    </w:p>
    <w:p>
      <w:pPr>
        <w:spacing w:after="60" w:line="264" w:lineRule="auto"/>
      </w:pPr>
      <w:r>
        <w:rPr>
          <w:rFonts w:ascii="Calibri" w:hAnsi="Calibri" w:eastAsia="Microsoft YaHei"/>
          <w:b w:val="0"/>
          <w:i w:val="0"/>
          <w:sz w:val="19"/>
        </w:rPr>
        <w:t>涂层域 24 个双人标注 patch 仍待专家完成；FIB-SEM 与 PAAO 只作分割压力测试，不进入润湿模型。若继续改模型，须新增未触碰评估集，不能把官方测试集变成开发集。光学模拟仍需可靠光学常数与显式几何假设。</w:t>
      </w:r>
    </w:p>
    <w:p>
      <w:pPr>
        <w:spacing w:after="0" w:line="264" w:lineRule="auto"/>
      </w:pPr>
      <w:r>
        <w:rPr>
          <w:rFonts w:ascii="Calibri" w:hAnsi="Calibri" w:eastAsia="Microsoft YaHei"/>
          <w:b w:val="0"/>
          <w:i w:val="0"/>
          <w:color w:val="5C6570"/>
          <w:sz w:val="16"/>
        </w:rPr>
        <w:t>来源：Sultan et al. (2025), Zenodo 16054027；PAAO 5905496；FIB-SEM 4317170。代码、数据卡、5 张主分析图、外部诊断图及失败案例位于同一仓库。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C6570"/>
        <w:sz w:val="17"/>
      </w:rPr>
      <w:t xml:space="preserve">第 </w:t>
    </w:r>
    <w:fldSimple w:instr="PAGE">
      <w:r>
        <w:t>1</w:t>
      </w:r>
    </w:fldSimple>
    <w:r>
      <w:rPr>
        <w:rFonts w:ascii="Calibri" w:hAnsi="Calibri" w:eastAsia="Microsoft YaHei"/>
        <w:color w:val="5C6570"/>
        <w:sz w:val="17"/>
      </w:rPr>
      <w:t xml:space="preserve"> / 2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C6570"/>
        <w:sz w:val="17"/>
      </w:rPr>
      <w:t>RESEARCH BRIEF  ·  SEM MORPHOMETRY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919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F669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F669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