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猪目标检测与多目标跟踪对比实验讨论</w:t>
      </w:r>
    </w:p>
    <w:p>
      <w:r>
        <w:t>本报告只讨论检测和多目标跟踪的对比实验。所有数值来自本项目保存的预测文件和 TrackEval 汇总文件；未测量的速度指标明确标为“未测量”。</w:t>
      </w:r>
    </w:p>
    <w:p>
      <w:pPr>
        <w:pStyle w:val="Heading2"/>
      </w:pPr>
      <w:r>
        <w:rPr>
          <w:b/>
          <w:sz w:val="26"/>
        </w:rPr>
        <w:t>1 实验设置</w:t>
      </w:r>
    </w:p>
    <w:p>
      <w:r>
        <w:t>检测数据集来自项目的猪目标检测数据，包含 1015 个 XML 标注文件和 9735 个 pig 目标框。转换后按图像划分为训练集 710 张、验证集 152 张和测试集 153 张，集合文件名无交叉。原始 VOC XML 标注由 scripts/prepare_detection_data.py 转换为统一 YOLO 与 COCO 评估格式，并完成图像标签配对、框尺寸和归一化范围检查。</w:t>
      </w:r>
    </w:p>
    <w:p>
      <w:r>
        <w:t>跟踪数据集为 PIG_MOT_TEST_DATA，共有 7 段序列（191–197），视频分辨率为 1920×1080、帧率为 30 FPS。本报告统一评估序列 191、192、193，共 5524 帧，TrackEval 统计的 GT 身份数为 28。自定义 MOT 标注包含帧号、身份号和边界框；当前数据不使用官方 MOT 的 ignore 区域预处理，TrackEval 采用 DO_PREPROC=False。评估器为项目内 TrackEval。</w:t>
      </w:r>
    </w:p>
    <w:p>
      <w:r>
        <w:t>六种检测模型使用相同测试集和 COCOeval 配置：Faster R-CNN、RetinaNet、SSD300、YOLOv5n、YOLOX 和 YOLOv8n。跟踪实验固定使用 YOLOv8n 检测器权重 experiments/detection/yolov8n/weights/best.pt，SHA256 为 E551A987058BB52CDE8E3A3E1422133571D481A972945816A9C904B4F465B451。跟踪器没有使用跟踪测试数据训练。检测和跟踪均为单次运行结果，未进行多 seed 均值和标准差估计；训练设备为 RTX 3050 Laptop GPU，4 GB 显存。统一推理延迟、关联延迟和端到端 FPS 未测量。</w:t>
      </w:r>
    </w:p>
    <w:p>
      <w:pPr>
        <w:pStyle w:val="Heading2"/>
      </w:pPr>
      <w:r>
        <w:rPr>
          <w:b/>
          <w:sz w:val="26"/>
        </w:rPr>
        <w:t>2 检测算法对比</w:t>
      </w:r>
    </w:p>
    <w:p>
      <w:r>
        <w:t>表 1 同一测试集上的检测精度。指标单位为百分数，↑表示越高越好。AP@[.50:.95] 是 COCO 主指标。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880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880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244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AP50:95 ↑</w:t>
            </w:r>
          </w:p>
        </w:tc>
        <w:tc>
          <w:tcPr>
            <w:tcW w:type="dxa" w:w="244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AP50 ↑</w:t>
            </w:r>
          </w:p>
        </w:tc>
        <w:tc>
          <w:tcPr>
            <w:tcW w:type="dxa" w:w="244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AP75 ↑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Faster R-CNN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76.22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98.34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93.86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RetinaNet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76.46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98.52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94.24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SSD300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68.44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96.61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84.77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YOLOv5n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77.63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98.88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95.08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YOLOX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72.34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98.80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92.58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YOLOv8n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79.74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98.76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95.90</w:t>
            </w:r>
          </w:p>
        </w:tc>
      </w:tr>
    </w:tbl>
    <w:p>
      <w:r>
        <w:t>在相同测试集上，YOLOv8n 的 AP@[.50:.95] 最高，为 79.74%，其次是 YOLOv5n 的 77.63%。YOLOv8n 相较 YOLOv5n 提高 2.11 个百分点；其 AP50 为 98.76%，AP75 为 95.90%，分别比 YOLOv5n 低 0.12 和高 0.82 个百分点。这个结果说明 YOLOv8n 在综合 IoU 阈值和较严格的定位阈值下更有优势，但 AP50 并非最高，不能只用宽松阈值下的检出率解释综合性能。</w:t>
      </w:r>
    </w:p>
    <w:p>
      <w:r>
        <w:t>六种模型的 AP@[.50:.95] 排名为 YOLOv8n、YOLOv5n、RetinaNet、Faster R-CNN、YOLOX 和 SSD300。按尺寸划分的结果显示，YOLOv8n 的 AP_medium 为 69.74%，AP_large 为 80.07%，AP_small 为 2.13%；小目标 AP 明显低于中、大目标，说明当前数据和分辨率设置下小目标仍是主要困难。该现象只能说明误差集中在哪类目标，不能仅凭排名断言某个网络结构是原因。</w:t>
      </w:r>
    </w:p>
    <w:p>
      <w:r>
        <w:br w:type="page"/>
      </w:r>
    </w:p>
    <w:p>
      <w:pPr>
        <w:pStyle w:val="Heading1"/>
      </w:pPr>
      <w:r>
        <w:rPr>
          <w:b/>
          <w:sz w:val="26"/>
        </w:rPr>
        <w:t>检测效率与跟踪对比</w:t>
      </w:r>
    </w:p>
    <w:p>
      <w:r>
        <w:t>表 2 检测模型的计算开销。由于本次实验没有在统一计时边界下记录 batch=1 延迟、峰值显存和端到端 FPS，相关项目均标为“未测量”，不据此宣称实时性。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016"/>
        <w:gridCol w:w="2592"/>
        <w:gridCol w:w="1728"/>
        <w:gridCol w:w="1872"/>
        <w:gridCol w:w="2016"/>
      </w:tblGrid>
      <w:tr>
        <w:trPr>
          <w:cantSplit/>
          <w:tblHeader/>
        </w:trPr>
        <w:tc>
          <w:tcPr>
            <w:tcW w:type="dxa" w:w="201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259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骨干与尺寸</w:t>
            </w:r>
          </w:p>
        </w:tc>
        <w:tc>
          <w:tcPr>
            <w:tcW w:type="dxa" w:w="172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参数 M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延迟 ms</w:t>
            </w:r>
          </w:p>
        </w:tc>
        <w:tc>
          <w:tcPr>
            <w:tcW w:type="dxa" w:w="201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显存 MB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Faster R-CNN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ResNet50-FPN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RetinaNet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ResNet50-FPN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SSD300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SSD300 VGG16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YOLOv5n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YOLOv5n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YOLOX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YOLOX-Nano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YOLOv8n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YOLOv8n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</w:tbl>
    <w:p>
      <w:r>
        <w:t>本次实验可以比较检测精度，不能比较速度权衡。YOLOv8n 的 AP@[.50:.95] 最高，但缺少统一延迟和显存测量，因此不能进一步证明它在部署约束下全面最优。后续若需要实时性结论，应在同一 GPU、同一输入尺寸、batch=1、固定预热次数和相同计时边界下重新测量。</w:t>
      </w:r>
    </w:p>
    <w:p>
      <w:pPr>
        <w:pStyle w:val="Heading2"/>
      </w:pPr>
      <w:r>
        <w:rPr>
          <w:b/>
          <w:sz w:val="26"/>
        </w:rPr>
        <w:t>3 跟踪算法对比</w:t>
      </w:r>
    </w:p>
    <w:p>
      <w:r>
        <w:t>表 3 固定 YOLOv8n 检测结果下的在线跟踪比较。HOTA、IDF1 和 MOTA 使用百分数；IDSW 为身份切换次数。所有方法使用序列 191、192、193，并采用同一 TrackEval 配置。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736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273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HOTA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IDF1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MOTA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IDSW ↓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ByteTrack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24.129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23.377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68.197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11493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BoT-SORT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72.768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91.271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90.416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71.974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89.399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90.920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Deep 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68.620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85.347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90.869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StrongSORT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70.704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88.169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85.668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Hybrid-SORT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70.953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87.772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90.862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26</w:t>
            </w:r>
          </w:p>
        </w:tc>
      </w:tr>
    </w:tbl>
    <w:p>
      <w:r>
        <w:t>BoT-SORT 的 HOTA 最高，为 72.768%，较 HybridSORT 的 70.953% 高 1.815 个百分点；BoT-SORT 的 IDF1 也最高，为 91.271%。ByteTrack 的 HOTA 为 24.129%、IDF1 为 23.377%，明显低于其他方法，说明当前配置下身份关联稳定性较弱。HOTA 同时反映检测和关联，IDF1 更直接反映身份一致性，不能把这些跟踪指标称为目标检测准确率。</w:t>
      </w:r>
    </w:p>
    <w:p>
      <w:r>
        <w:t>BoT-SORT 的 IDSW 最少，为 5 次；OC-SORT 为 19 次，Deep OC-SORT 为 24 次，HybridSORT 为 26 次，StrongSORT 为 11 次，ByteTrack 为 11493 次。ByteTrack 的高 IDSW 与其低 AssA（8.270%）一致，说明主要问题出现在身份关联，而不是单纯检测召回。StrongSORT 的 IDSW 较低但 MOTA 只有 85.668%，表明减少身份切换并不等于整体跟踪最好，还需要结合 FP、FN 和 DetA 一起判断。</w:t>
      </w:r>
    </w:p>
    <w:p>
      <w:r>
        <w:br w:type="page"/>
      </w:r>
    </w:p>
    <w:p>
      <w:pPr>
        <w:pStyle w:val="Heading1"/>
      </w:pPr>
      <w:r>
        <w:rPr>
          <w:b/>
          <w:sz w:val="26"/>
        </w:rPr>
        <w:t>跟踪误差与实验局限</w:t>
      </w:r>
    </w:p>
    <w:p>
      <w:r>
        <w:t>表 4 跟踪误差分解。DetA 与 AssA 单位为百分数，FP 与 FN 为计数。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736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273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DetA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AssA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FP ↓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FN ↓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ByteTrack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71.199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8.270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1523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3341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BoT-SORT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71.647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74.013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1732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3192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72.026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72.042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1250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3401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Deep 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71.989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65.500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1250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3422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StrongSORT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68.554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73.021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4274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3086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Hybrid-SORT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71.124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70.942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1257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3417</w:t>
            </w:r>
          </w:p>
        </w:tc>
      </w:tr>
    </w:tbl>
    <w:p>
      <w:r>
        <w:t>表 5 跟踪速度。当前没有保存统一检测耗时、关联耗时和端到端 FPS，因此不填写速度数值。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736"/>
        <w:gridCol w:w="2304"/>
        <w:gridCol w:w="2304"/>
        <w:gridCol w:w="2880"/>
      </w:tblGrid>
      <w:tr>
        <w:trPr>
          <w:cantSplit/>
          <w:tblHeader/>
        </w:trPr>
        <w:tc>
          <w:tcPr>
            <w:tcW w:type="dxa" w:w="273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2304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检测 ms</w:t>
            </w:r>
          </w:p>
        </w:tc>
        <w:tc>
          <w:tcPr>
            <w:tcW w:type="dxa" w:w="2304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关联 ms</w:t>
            </w:r>
          </w:p>
        </w:tc>
        <w:tc>
          <w:tcPr>
            <w:tcW w:type="dxa" w:w="2880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端到端 FPS ↑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ByteTrack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BoT-SORT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OC-SORT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Deep OC-SORT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StrongSORT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Hybrid-SORT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</w:tbl>
    <w:p>
      <w:r>
        <w:t>从误差分解看，BoT-SORT 的 DetA 为 71.647%、AssA 为 74.013%，两项均处于较高水平；ByteTrack 的 DetA 为 71.199%，但 AssA 只有 8.270%，说明其主要损失来自轨迹关联。StrongSORT 的 AssA 为 73.021%，但 FP 达到 4274、FN 为 3086，说明外观特征关联较稳定，但检测输出或轨迹保留策略仍带来较多检测层误差。Deep OC-SORT 使用 OSNet-x0.25 和稀疏光流 CMC，是适配版配置，不是论文原始 ReID/CMC 配置；跨域外观特征可能影响结果，不能把该结果解释为原论文配置的严格复现。</w:t>
      </w:r>
    </w:p>
    <w:p>
      <w:pPr>
        <w:pStyle w:val="Heading2"/>
      </w:pPr>
      <w:r>
        <w:rPr>
          <w:b/>
          <w:sz w:val="26"/>
        </w:rPr>
        <w:t>4 失败案例与局限</w:t>
      </w:r>
    </w:p>
    <w:p>
      <w:r>
        <w:t>本报告暂未保存逐帧人工标注的遮挡、交叉和快速运动失败案例图，因此不虚构具体帧号。可以从原始 MOT 文件和 TrackEval 逐序列结果复核这些场景：重点检查 ByteTrack 的身份切换、StrongSORT 的 FP/FN，以及不同方法在序列 193 中的差异。后续应预先定义场景类别，记录错误起点、持续时间及其对应的 FP、FN 或 IDSW。</w:t>
      </w:r>
    </w:p>
    <w:p>
      <w:r>
        <w:t>检测和跟踪结果均为单次运行，没有多 seed 均值±标准差，也未执行统计显著性检验。因此报告只讨论本数据集、当前划分、当前检测器和当前硬件配置下的观察结果。跟踪结果使用三条序列，不能外推到未评估的序列或 MOT17/MOT20 官方数据集。</w:t>
      </w:r>
    </w:p>
    <w:p>
      <w:r>
        <w:t>所有表格由 evaluation/detection 和 evaluation/tracking 中的原始预测与 TrackEval 汇总生成。代码、配置、运行记录和报告已发布到 GitHub：https://github.com/z1946333/detection-tracking-benchmark。报告对应的提交为 d86467d。BoxMOT 结果应视为版本适配实现；本实验不将其他论文公开分数作为本数据集实测结果。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猪目标检测与多目标跟踪对比实验讨论</dc:title>
  <dc:subject>六种检测器与六种跟踪器真实实验结果分析</dc:subject>
  <dc:creator>翟亚辉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