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left"/>
      </w:pPr>
      <w:r>
        <w:rPr>
          <w:rFonts w:ascii="Noto Sans CJK SC" w:hAnsi="Noto Sans CJK SC" w:eastAsia="Noto Sans CJK SC"/>
          <w:b/>
          <w:color w:val="17324D"/>
          <w:sz w:val="50"/>
        </w:rPr>
        <w:t>呼吸音多数据集共享属性主线</w:t>
      </w:r>
    </w:p>
    <w:p>
      <w:pPr>
        <w:spacing w:before="0" w:after="60" w:line="264" w:lineRule="auto"/>
        <w:jc w:val="left"/>
        <w:widowControl w:val="1"/>
      </w:pPr>
      <w:r>
        <w:rPr>
          <w:rFonts w:ascii="Noto Sans CJK SC" w:hAnsi="Noto Sans CJK SC" w:eastAsia="Noto Sans CJK SC"/>
          <w:b/>
          <w:color w:val="22577A"/>
          <w:sz w:val="48"/>
        </w:rPr>
        <w:t>独立科学审查报告</w:t>
      </w:r>
    </w:p>
    <w:p>
      <w:pPr>
        <w:pStyle w:val="ReportSubtitle"/>
        <w:spacing w:before="160" w:after="280" w:line="300" w:lineRule="auto"/>
        <w:jc w:val="left"/>
        <w:widowControl w:val="1"/>
      </w:pPr>
      <w:r>
        <w:rPr>
          <w:rFonts w:ascii="Noto Sans CJK SC" w:hAnsi="Noto Sans CJK SC" w:eastAsia="Noto Sans CJK SC"/>
          <w:color w:val="46515C"/>
          <w:sz w:val="23"/>
        </w:rPr>
        <w:t>Eligibility-aware respiratory attribute sharing under partially compatible native taxonomies and incomplete labels</w:t>
      </w:r>
    </w:p>
    <w:p>
      <w:pPr>
        <w:spacing w:after="100"/>
        <w:pBdr>
          <w:bottom w:val="single" w:sz="8" w:space="1" w:color="D9E1E8"/>
        </w:pBdr>
      </w:pPr>
    </w:p>
    <w:tbl>
      <w:tblPr>
        <w:tblW w:type="auto" w:w="0"/>
        <w:jc w:val="left"/>
        <w:tblLayout w:type="fixed"/>
        <w:tblLook w:firstColumn="1" w:firstRow="1" w:lastColumn="0" w:lastRow="0" w:noHBand="0" w:noVBand="1" w:val="04A0"/>
      </w:tblPr>
      <w:tblGrid>
        <w:gridCol w:w="1984"/>
        <w:gridCol w:w="6690"/>
      </w:tblGrid>
      <w:tr>
        <w:trPr>
          <w:trHeight w:hRule="auto"/>
        </w:trPr>
        <w:tc>
          <w:tcPr>
            <w:tcW w:type="dxa" w:w="4734"/>
            <w:shd w:fill="F3F5F7"/>
            <w:tcMar>
              <w:top w:w="90" w:type="dxa"/>
              <w:start w:w="100" w:type="dxa"/>
              <w:bottom w:w="90" w:type="dxa"/>
              <w:end w:w="100" w:type="dxa"/>
            </w:tcMar>
            <w:tcBorders>
              <w:top w:val="single" w:sz="4" w:color="D9E1E8"/>
              <w:bottom w:val="single" w:sz="4" w:color="D9E1E8"/>
              <w:start w:val="single" w:sz="4" w:color="D9E1E8"/>
              <w:end w:val="single" w:sz="4" w:color="D9E1E8"/>
            </w:tcBorders>
          </w:tcPr>
          <w:p>
            <w:pPr>
              <w:spacing w:before="0" w:after="0" w:line="269" w:lineRule="auto"/>
              <w:keepLines/>
              <w:widowControl w:val="1"/>
            </w:pPr>
            <w:r>
              <w:rPr>
                <w:rFonts w:ascii="Noto Sans CJK SC" w:hAnsi="Noto Sans CJK SC" w:eastAsia="Noto Sans CJK SC"/>
                <w:b/>
                <w:color w:val="17324D"/>
                <w:sz w:val="19"/>
              </w:rPr>
              <w:t>审查角色</w:t>
            </w:r>
          </w:p>
        </w:tc>
        <w:tc>
          <w:tcPr>
            <w:tcW w:type="dxa" w:w="4734"/>
            <w:shd w:fill="FFFFFF"/>
            <w:tcMar>
              <w:top w:w="90" w:type="dxa"/>
              <w:start w:w="100" w:type="dxa"/>
              <w:bottom w:w="90" w:type="dxa"/>
              <w:end w:w="100" w:type="dxa"/>
            </w:tcMar>
            <w:tcBorders>
              <w:top w:val="single" w:sz="4" w:color="D9E1E8"/>
              <w:bottom w:val="single" w:sz="4" w:color="D9E1E8"/>
              <w:start w:val="single" w:sz="4" w:color="D9E1E8"/>
              <w:end w:val="single" w:sz="4" w:color="D9E1E8"/>
            </w:tcBorders>
          </w:tcPr>
          <w:p>
            <w:pPr>
              <w:spacing w:before="0" w:after="0" w:line="269" w:lineRule="auto"/>
              <w:keepLines/>
              <w:widowControl w:val="1"/>
            </w:pPr>
            <w:r>
              <w:rPr>
                <w:rFonts w:ascii="Noto Serif CJK SC" w:hAnsi="Noto Serif CJK SC" w:eastAsia="Noto Serif CJK SC"/>
                <w:b w:val="0"/>
                <w:color w:val="111827"/>
                <w:sz w:val="19"/>
              </w:rPr>
              <w:t>独立高级科学审稿人</w:t>
            </w:r>
          </w:p>
        </w:tc>
      </w:tr>
      <w:tr>
        <w:trPr>
          <w:trHeight w:hRule="auto"/>
        </w:trPr>
        <w:tc>
          <w:tcPr>
            <w:tcW w:type="dxa" w:w="4734"/>
            <w:shd w:fill="F3F5F7"/>
            <w:tcMar>
              <w:top w:w="90" w:type="dxa"/>
              <w:start w:w="100" w:type="dxa"/>
              <w:bottom w:w="90" w:type="dxa"/>
              <w:end w:w="100" w:type="dxa"/>
            </w:tcMar>
            <w:tcBorders>
              <w:top w:val="single" w:sz="4" w:color="D9E1E8"/>
              <w:bottom w:val="single" w:sz="4" w:color="D9E1E8"/>
              <w:start w:val="single" w:sz="4" w:color="D9E1E8"/>
              <w:end w:val="single" w:sz="4" w:color="D9E1E8"/>
            </w:tcBorders>
          </w:tcPr>
          <w:p>
            <w:pPr>
              <w:spacing w:before="0" w:after="0" w:line="269" w:lineRule="auto"/>
              <w:keepLines/>
              <w:widowControl w:val="1"/>
            </w:pPr>
            <w:r>
              <w:rPr>
                <w:rFonts w:ascii="Noto Sans CJK SC" w:hAnsi="Noto Sans CJK SC" w:eastAsia="Noto Sans CJK SC"/>
                <w:b/>
                <w:color w:val="17324D"/>
                <w:sz w:val="19"/>
              </w:rPr>
              <w:t>审查日期</w:t>
            </w:r>
          </w:p>
        </w:tc>
        <w:tc>
          <w:tcPr>
            <w:tcW w:type="dxa" w:w="4734"/>
            <w:shd w:fill="FFFFFF"/>
            <w:tcMar>
              <w:top w:w="90" w:type="dxa"/>
              <w:start w:w="100" w:type="dxa"/>
              <w:bottom w:w="90" w:type="dxa"/>
              <w:end w:w="100" w:type="dxa"/>
            </w:tcMar>
            <w:tcBorders>
              <w:top w:val="single" w:sz="4" w:color="D9E1E8"/>
              <w:bottom w:val="single" w:sz="4" w:color="D9E1E8"/>
              <w:start w:val="single" w:sz="4" w:color="D9E1E8"/>
              <w:end w:val="single" w:sz="4" w:color="D9E1E8"/>
            </w:tcBorders>
          </w:tcPr>
          <w:p>
            <w:pPr>
              <w:spacing w:before="0" w:after="0" w:line="269" w:lineRule="auto"/>
              <w:keepLines/>
              <w:widowControl w:val="1"/>
            </w:pPr>
            <w:r>
              <w:rPr>
                <w:rFonts w:ascii="Noto Serif CJK SC" w:hAnsi="Noto Serif CJK SC" w:eastAsia="Noto Serif CJK SC"/>
                <w:b w:val="0"/>
                <w:color w:val="111827"/>
                <w:sz w:val="19"/>
              </w:rPr>
              <w:t>2026 年 7 月 29 日</w:t>
            </w:r>
          </w:p>
        </w:tc>
      </w:tr>
      <w:tr>
        <w:trPr>
          <w:trHeight w:hRule="auto"/>
        </w:trPr>
        <w:tc>
          <w:tcPr>
            <w:tcW w:type="dxa" w:w="4734"/>
            <w:shd w:fill="F3F5F7"/>
            <w:tcMar>
              <w:top w:w="90" w:type="dxa"/>
              <w:start w:w="100" w:type="dxa"/>
              <w:bottom w:w="90" w:type="dxa"/>
              <w:end w:w="100" w:type="dxa"/>
            </w:tcMar>
            <w:tcBorders>
              <w:top w:val="single" w:sz="4" w:color="D9E1E8"/>
              <w:bottom w:val="single" w:sz="4" w:color="D9E1E8"/>
              <w:start w:val="single" w:sz="4" w:color="D9E1E8"/>
              <w:end w:val="single" w:sz="4" w:color="D9E1E8"/>
            </w:tcBorders>
          </w:tcPr>
          <w:p>
            <w:pPr>
              <w:spacing w:before="0" w:after="0" w:line="269" w:lineRule="auto"/>
              <w:keepLines/>
              <w:widowControl w:val="1"/>
            </w:pPr>
            <w:r>
              <w:rPr>
                <w:rFonts w:ascii="Noto Sans CJK SC" w:hAnsi="Noto Sans CJK SC" w:eastAsia="Noto Sans CJK SC"/>
                <w:b/>
                <w:color w:val="17324D"/>
                <w:sz w:val="19"/>
              </w:rPr>
              <w:t>审查材料</w:t>
            </w:r>
          </w:p>
        </w:tc>
        <w:tc>
          <w:tcPr>
            <w:tcW w:type="dxa" w:w="4734"/>
            <w:shd w:fill="FFFFFF"/>
            <w:tcMar>
              <w:top w:w="90" w:type="dxa"/>
              <w:start w:w="100" w:type="dxa"/>
              <w:bottom w:w="90" w:type="dxa"/>
              <w:end w:w="100" w:type="dxa"/>
            </w:tcMar>
            <w:tcBorders>
              <w:top w:val="single" w:sz="4" w:color="D9E1E8"/>
              <w:bottom w:val="single" w:sz="4" w:color="D9E1E8"/>
              <w:start w:val="single" w:sz="4" w:color="D9E1E8"/>
              <w:end w:val="single" w:sz="4" w:color="D9E1E8"/>
            </w:tcBorders>
          </w:tcPr>
          <w:p>
            <w:pPr>
              <w:spacing w:before="0" w:after="0" w:line="269" w:lineRule="auto"/>
              <w:keepLines/>
              <w:widowControl w:val="1"/>
            </w:pPr>
            <w:r>
              <w:rPr>
                <w:rFonts w:ascii="Noto Serif CJK SC" w:hAnsi="Noto Serif CJK SC" w:eastAsia="Noto Serif CJK SC"/>
                <w:b w:val="0"/>
                <w:color w:val="111827"/>
                <w:sz w:val="19"/>
              </w:rPr>
              <w:t>Acoustic Notion 项目页面及公开可联网核验的论文、proceedings、作者仓库、数据集官网与附录</w:t>
            </w:r>
          </w:p>
        </w:tc>
      </w:tr>
      <w:tr>
        <w:trPr>
          <w:trHeight w:hRule="auto"/>
        </w:trPr>
        <w:tc>
          <w:tcPr>
            <w:tcW w:type="dxa" w:w="4734"/>
            <w:shd w:fill="F3F5F7"/>
            <w:tcMar>
              <w:top w:w="90" w:type="dxa"/>
              <w:start w:w="100" w:type="dxa"/>
              <w:bottom w:w="90" w:type="dxa"/>
              <w:end w:w="100" w:type="dxa"/>
            </w:tcMar>
            <w:tcBorders>
              <w:top w:val="single" w:sz="4" w:color="D9E1E8"/>
              <w:bottom w:val="single" w:sz="4" w:color="D9E1E8"/>
              <w:start w:val="single" w:sz="4" w:color="D9E1E8"/>
              <w:end w:val="single" w:sz="4" w:color="D9E1E8"/>
            </w:tcBorders>
          </w:tcPr>
          <w:p>
            <w:pPr>
              <w:spacing w:before="0" w:after="0" w:line="269" w:lineRule="auto"/>
              <w:keepLines/>
              <w:widowControl w:val="1"/>
            </w:pPr>
            <w:r>
              <w:rPr>
                <w:rFonts w:ascii="Noto Sans CJK SC" w:hAnsi="Noto Sans CJK SC" w:eastAsia="Noto Sans CJK SC"/>
                <w:b/>
                <w:color w:val="17324D"/>
                <w:sz w:val="19"/>
              </w:rPr>
              <w:t>排除材料</w:t>
            </w:r>
          </w:p>
        </w:tc>
        <w:tc>
          <w:tcPr>
            <w:tcW w:type="dxa" w:w="4734"/>
            <w:shd w:fill="FFFFFF"/>
            <w:tcMar>
              <w:top w:w="90" w:type="dxa"/>
              <w:start w:w="100" w:type="dxa"/>
              <w:bottom w:w="90" w:type="dxa"/>
              <w:end w:w="100" w:type="dxa"/>
            </w:tcMar>
            <w:tcBorders>
              <w:top w:val="single" w:sz="4" w:color="D9E1E8"/>
              <w:bottom w:val="single" w:sz="4" w:color="D9E1E8"/>
              <w:start w:val="single" w:sz="4" w:color="D9E1E8"/>
              <w:end w:val="single" w:sz="4" w:color="D9E1E8"/>
            </w:tcBorders>
          </w:tcPr>
          <w:p>
            <w:pPr>
              <w:spacing w:before="0" w:after="0" w:line="269" w:lineRule="auto"/>
              <w:keepLines/>
              <w:widowControl w:val="1"/>
            </w:pPr>
            <w:r>
              <w:rPr>
                <w:rFonts w:ascii="Noto Serif CJK SC" w:hAnsi="Noto Serif CJK SC" w:eastAsia="Noto Serif CJK SC"/>
                <w:b w:val="0"/>
                <w:color w:val="111827"/>
                <w:sz w:val="19"/>
              </w:rPr>
              <w:t>本地代码、Git 仓库、dataset/raw、result/、未公开 checkpoint 与服务器文件系统</w:t>
            </w:r>
          </w:p>
        </w:tc>
      </w:tr>
    </w:tbl>
    <w:p/>
    <w:tbl>
      <w:tblPr>
        <w:tblW w:type="auto" w:w="0"/>
        <w:jc w:val="center"/>
        <w:tblLayout w:type="fixed"/>
        <w:tblLook w:firstColumn="1" w:firstRow="1" w:lastColumn="0" w:lastRow="0" w:noHBand="0" w:noVBand="1" w:val="04A0"/>
      </w:tblPr>
      <w:tblGrid>
        <w:gridCol w:w="9468"/>
      </w:tblGrid>
      <w:tr>
        <w:trPr>
          <w:cantSplit/>
          <w:trHeight w:hRule="auto"/>
        </w:trPr>
        <w:tc>
          <w:tcPr>
            <w:tcW w:type="dxa" w:w="9184"/>
            <w:shd w:fill="FFF4DB"/>
            <w:tcMar>
              <w:top w:w="130" w:type="dxa"/>
              <w:start w:w="180" w:type="dxa"/>
              <w:bottom w:w="130" w:type="dxa"/>
              <w:end w:w="180" w:type="dxa"/>
            </w:tcMar>
            <w:tcBorders>
              <w:top w:val="nil"/>
              <w:bottom w:val="nil"/>
              <w:start w:val="single" w:sz="22" w:color="9A6700"/>
              <w:end w:val="nil"/>
            </w:tcBorders>
          </w:tcPr>
          <w:p>
            <w:pPr>
              <w:keepLines/>
              <w:spacing w:after="80"/>
            </w:pPr>
            <w:r>
              <w:rPr>
                <w:rFonts w:ascii="Noto Sans CJK SC" w:hAnsi="Noto Sans CJK SC" w:eastAsia="Noto Sans CJK SC"/>
                <w:b/>
                <w:color w:val="9A6700"/>
                <w:sz w:val="22"/>
              </w:rPr>
              <w:t>审查裁决：CONDITIONAL GO / FULL-TRAINING NO-GO</w:t>
            </w:r>
          </w:p>
          <w:p>
            <w:pPr>
              <w:spacing w:before="0" w:after="0" w:line="300" w:lineRule="auto"/>
              <w:jc w:val="both"/>
              <w:keepLines/>
              <w:widowControl w:val="1"/>
            </w:pPr>
            <w:r>
              <w:rPr>
                <w:rFonts w:ascii="Noto Serif CJK SC" w:hAnsi="Noto Serif CJK SC" w:eastAsia="Noto Serif CJK SC"/>
                <w:color w:val="111827"/>
                <w:sz w:val="20"/>
              </w:rPr>
              <w:t>该方向值得进入一个狭窄、预注册、以证伪为目的的 Model Design gate；当前不应直接进入四数据集完整服务器训练，也不应同时引入 MoE、router、general/specific decomposition 或新的 pooling/loss sweep。第一门槛必须是：共享属性头能否在参数、标签暴露和训练预算匹配的条件下，稳定优于数据集独立属性头。</w:t>
            </w:r>
          </w:p>
        </w:tc>
      </w:tr>
    </w:tbl>
    <w:p>
      <w:pPr>
        <w:spacing w:after="20"/>
      </w:pPr>
    </w:p>
    <w:p>
      <w:pPr>
        <w:spacing w:before="360"/>
        <w:jc w:val="left"/>
      </w:pPr>
      <w:r>
        <w:rPr>
          <w:rFonts w:ascii="Noto Sans CJK SC" w:hAnsi="Noto Sans CJK SC" w:eastAsia="Noto Sans CJK SC"/>
          <w:b/>
          <w:color w:val="A93226"/>
          <w:sz w:val="22"/>
        </w:rPr>
        <w:t>证据边界声明</w:t>
      </w:r>
    </w:p>
    <w:p>
      <w:pPr>
        <w:spacing w:before="0" w:after="0" w:line="312" w:lineRule="auto"/>
        <w:jc w:val="both"/>
        <w:widowControl w:val="1"/>
      </w:pPr>
      <w:r>
        <w:rPr>
          <w:rFonts w:ascii="Noto Serif CJK SC" w:hAnsi="Noto Serif CJK SC" w:eastAsia="Noto Serif CJK SC"/>
          <w:color w:val="46515C"/>
          <w:sz w:val="19"/>
        </w:rPr>
        <w:t>本报告未取得内部预测文件、split manifest、checkpoint binary、metric code 或 verifier receipt，因而没有任何项目内部结果被称为“由本审稿人独立复现”。Notion 中的实验按照可见材料分别标记为 project-reported evidence 或 receipt-backed project result。</w:t>
      </w:r>
    </w:p>
    <w:p>
      <w:r>
        <w:br w:type="page"/>
      </w:r>
    </w:p>
    <w:p>
      <w:pPr>
        <w:pStyle w:val="Heading1"/>
        <w:keepNext/>
      </w:pPr>
      <w:r>
        <w:t>执行摘要</w:t>
      </w:r>
    </w:p>
    <w:tbl>
      <w:tblPr>
        <w:tblW w:type="auto" w:w="0"/>
        <w:jc w:val="center"/>
        <w:tblLayout w:type="fixed"/>
        <w:tblLook w:firstColumn="1" w:firstRow="1" w:lastColumn="0" w:lastRow="0" w:noHBand="0" w:noVBand="1" w:val="04A0"/>
      </w:tblPr>
      <w:tblGrid>
        <w:gridCol w:w="9468"/>
      </w:tblGrid>
      <w:tr>
        <w:trPr>
          <w:cantSplit/>
          <w:trHeight w:hRule="auto"/>
        </w:trPr>
        <w:tc>
          <w:tcPr>
            <w:tcW w:type="dxa" w:w="9184"/>
            <w:shd w:fill="EAF2F8"/>
            <w:tcMar>
              <w:top w:w="130" w:type="dxa"/>
              <w:start w:w="180" w:type="dxa"/>
              <w:bottom w:w="130" w:type="dxa"/>
              <w:end w:w="180" w:type="dxa"/>
            </w:tcMar>
            <w:tcBorders>
              <w:top w:val="nil"/>
              <w:bottom w:val="nil"/>
              <w:start w:val="single" w:sz="22" w:color="22577A"/>
              <w:end w:val="nil"/>
            </w:tcBorders>
          </w:tcPr>
          <w:p>
            <w:pPr>
              <w:keepLines/>
              <w:spacing w:after="80"/>
            </w:pPr>
            <w:r>
              <w:rPr>
                <w:rFonts w:ascii="Noto Sans CJK SC" w:hAnsi="Noto Sans CJK SC" w:eastAsia="Noto Sans CJK SC"/>
                <w:b/>
                <w:color w:val="22577A"/>
                <w:sz w:val="22"/>
              </w:rPr>
              <w:t>核心判断</w:t>
            </w:r>
          </w:p>
          <w:p>
            <w:pPr>
              <w:spacing w:before="0" w:after="0" w:line="300" w:lineRule="auto"/>
              <w:jc w:val="both"/>
              <w:keepLines/>
              <w:widowControl w:val="1"/>
            </w:pPr>
            <w:r>
              <w:rPr>
                <w:rFonts w:ascii="Noto Serif CJK SC" w:hAnsi="Noto Serif CJK SC" w:eastAsia="Noto Serif CJK SC"/>
                <w:color w:val="111827"/>
                <w:sz w:val="20"/>
              </w:rPr>
              <w:t>项目当前最有价值的科学问题并不是笼统的“多数据集呼吸音分类”或“解决类别不平衡”，而是：在保留 dataset-native prediction unit 与 native task 的前提下，如何对语义部分兼容、标签完备性不同的数据集进行 eligibility-aware 的潜在声学属性监督，并检验这种共享是否改善 patient/group-disjoint 的 target-supervised low-shot adaptation 与 rare-class behavior。</w:t>
            </w:r>
          </w:p>
        </w:tc>
      </w:tr>
    </w:tbl>
    <w:p>
      <w:pPr>
        <w:spacing w:after="20"/>
      </w:pPr>
    </w:p>
    <w:p>
      <w:pPr>
        <w:spacing w:before="0" w:after="100" w:line="331" w:lineRule="auto"/>
        <w:ind w:firstLine="420"/>
        <w:jc w:val="both"/>
        <w:widowControl w:val="1"/>
      </w:pPr>
      <w:r>
        <w:rPr>
          <w:rFonts w:ascii="Noto Serif CJK SC" w:hAnsi="Noto Serif CJK SC" w:eastAsia="Noto Serif CJK SC"/>
          <w:color w:val="111827"/>
          <w:sz w:val="21"/>
        </w:rPr>
        <w:t>该问题具有合理的临床声学与机器学习动机：crackle 和 wheeze 在 ICBHI 与 SPRSound 中存在可对齐的基本声学语义，但其 prediction unit、标签粒度、标注完备性和数据采集域显著不同。严格区分“明确阴性”“未知”“不兼容”是必要的。然而，项目现有证据尚未支持“共享属性能够改善跨数据集低样本学习”。最直接的受控证据——parameter-matched shared-compatible-head harmonization——没有形成 material improvement；因此，新方案必须把共享属性相对于独立属性头的增量价值作为第一证伪门，而不能将共享有效性作为前提。[N3][N5]</w:t>
      </w:r>
    </w:p>
    <w:tbl>
      <w:tblPr>
        <w:tblStyle w:val="TableGrid"/>
        <w:tblW w:type="auto" w:w="0"/>
        <w:jc w:val="center"/>
        <w:tblLayout w:type="fixed"/>
        <w:tblLook w:firstColumn="1" w:firstRow="1" w:lastColumn="0" w:lastRow="0" w:noHBand="0" w:noVBand="1" w:val="04A0"/>
      </w:tblPr>
      <w:tblGrid>
        <w:gridCol w:w="4734"/>
        <w:gridCol w:w="4734"/>
      </w:tblGrid>
      <w:tr>
        <w:trPr>
          <w:trHeight w:hRule="auto"/>
          <w:tblHeader w:val="true"/>
        </w:trPr>
        <w:tc>
          <w:tcPr>
            <w:tcW w:type="dxa" w:w="1928"/>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审查维度</w:t>
            </w:r>
          </w:p>
        </w:tc>
        <w:tc>
          <w:tcPr>
            <w:tcW w:type="dxa" w:w="7143"/>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结论</w:t>
            </w:r>
          </w:p>
        </w:tc>
      </w:tr>
      <w:tr>
        <w:trPr>
          <w:cantSplit/>
          <w:trHeight w:hRule="auto"/>
        </w:trPr>
        <w:tc>
          <w:tcPr>
            <w:tcW w:type="dxa" w:w="192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科学问题</w:t>
            </w:r>
          </w:p>
        </w:tc>
        <w:tc>
          <w:tcPr>
            <w:tcW w:type="dxa" w:w="7143"/>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heterogeneous taxonomy + incomplete/non-closed-world labels + target-supervised group-low-shot adaptation 的交集</w:t>
            </w:r>
          </w:p>
        </w:tc>
      </w:tr>
      <w:tr>
        <w:trPr>
          <w:cantSplit/>
          <w:trHeight w:hRule="auto"/>
        </w:trPr>
        <w:tc>
          <w:tcPr>
            <w:tcW w:type="dxa" w:w="192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当前证据</w:t>
            </w:r>
          </w:p>
        </w:tc>
        <w:tc>
          <w:tcPr>
            <w:tcW w:type="dxa" w:w="7143"/>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frozen target-head 高分只证明 target-supervised linear separability；不证明 pathology understanding、zero-shot generalization 或共享属性有效</w:t>
            </w:r>
          </w:p>
        </w:tc>
      </w:tr>
      <w:tr>
        <w:trPr>
          <w:cantSplit/>
          <w:trHeight w:hRule="auto"/>
        </w:trPr>
        <w:tc>
          <w:tcPr>
            <w:tcW w:type="dxa" w:w="192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方法风险</w:t>
            </w:r>
          </w:p>
        </w:tc>
        <w:tc>
          <w:tcPr>
            <w:tcW w:type="dxa" w:w="7143"/>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若仅采用 masked BCE + 两个 attribute heads + flat4 joint head + marginal consistency，reviewer 很可能视为普通 multi-task label decomposition 或已有 partial-label objective 的应用</w:t>
            </w:r>
          </w:p>
        </w:tc>
      </w:tr>
      <w:tr>
        <w:trPr>
          <w:cantSplit/>
          <w:trHeight w:hRule="auto"/>
        </w:trPr>
        <w:tc>
          <w:tcPr>
            <w:tcW w:type="dxa" w:w="192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Phase-1 范围</w:t>
            </w:r>
          </w:p>
        </w:tc>
        <w:tc>
          <w:tcPr>
            <w:tcW w:type="dxa" w:w="7143"/>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仅 ICBHI cycle 与 SPRSound event；HF 仅在主假设通过后作为 positive-only auxiliary；KAUH 暂不提供 shared attribute supervision</w:t>
            </w:r>
          </w:p>
        </w:tc>
      </w:tr>
      <w:tr>
        <w:trPr>
          <w:cantSplit/>
          <w:trHeight w:hRule="auto"/>
        </w:trPr>
        <w:tc>
          <w:tcPr>
            <w:tcW w:type="dxa" w:w="192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最小证伪实验</w:t>
            </w:r>
          </w:p>
        </w:tc>
        <w:tc>
          <w:tcPr>
            <w:tcW w:type="dxa" w:w="7143"/>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ICBHI↔SPRSound reciprocal group-low-shot；比较 shared attribute heads 与 parameter-matched dataset-specific attribute heads</w:t>
            </w:r>
          </w:p>
        </w:tc>
      </w:tr>
      <w:tr>
        <w:trPr>
          <w:cantSplit/>
          <w:trHeight w:hRule="auto"/>
        </w:trPr>
        <w:tc>
          <w:tcPr>
            <w:tcW w:type="dxa" w:w="192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进入完整训练的条件</w:t>
            </w:r>
          </w:p>
        </w:tc>
        <w:tc>
          <w:tcPr>
            <w:tcW w:type="dxa" w:w="7143"/>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共享相对独立属性头达到预注册 materiality、跨两个方向稳定、改善 native rare-class 指标且 common-class guardrail 通过</w:t>
            </w:r>
          </w:p>
        </w:tc>
      </w:tr>
    </w:tbl>
    <w:p>
      <w:pPr>
        <w:spacing w:after="20"/>
      </w:pPr>
    </w:p>
    <w:p>
      <w:pPr>
        <w:pStyle w:val="Heading2"/>
        <w:keepNext/>
      </w:pPr>
      <w:r>
        <w:t>必须保留的负面结果</w:t>
      </w:r>
    </w:p>
    <w:p>
      <w:pPr>
        <w:spacing w:before="0" w:after="100" w:line="331" w:lineRule="auto"/>
        <w:ind w:firstLine="420"/>
        <w:jc w:val="both"/>
        <w:widowControl w:val="1"/>
      </w:pPr>
      <w:r>
        <w:rPr>
          <w:rFonts w:ascii="Noto Serif CJK SC" w:hAnsi="Noto Serif CJK SC" w:eastAsia="Noto Serif CJK SC"/>
          <w:color w:val="111827"/>
          <w:sz w:val="21"/>
        </w:rPr>
        <w:t>本项目的研究叙事不能只保留正向 transfer 数字。当前 Notion 记录的关键负面或不确定结果包括：共享 compatible head 在参数匹配控制下没有 material improvement；全局 class balancing 只在 HF adventitious 上产生局部 tail gain，却使 SPRSound、HF phase 与 KAUH 回退；dataset identity 高度可分，但当前 error probe 不支持 acquisition shortcut 的因果主张；简单 event-sensitive pooling 在六个 native tasks 上均未通过预注册 materiality gate；旧 D0–D3 矩阵因 HF date-proxy grouping 缺陷只能保留为 pre-fix exploratory evidence。[N1][N3][N5]</w:t>
      </w:r>
    </w:p>
    <w:p>
      <w:pPr>
        <w:pStyle w:val="Heading2"/>
        <w:keepNext/>
      </w:pPr>
      <w:r>
        <w:t>报告结构</w:t>
      </w:r>
    </w:p>
    <w:p>
      <w:pPr>
        <w:pStyle w:val="ListBullet"/>
        <w:spacing w:before="0" w:after="50" w:line="307" w:lineRule="auto"/>
        <w:ind w:left="369" w:hanging="198"/>
        <w:widowControl w:val="1"/>
      </w:pPr>
      <w:r>
        <w:rPr>
          <w:rFonts w:ascii="Noto Serif CJK SC" w:hAnsi="Noto Serif CJK SC" w:eastAsia="Noto Serif CJK SC"/>
          <w:color w:val="111827"/>
          <w:sz w:val="20"/>
        </w:rPr>
        <w:t>1. 审查范围、证据等级与缺失材料</w:t>
      </w:r>
    </w:p>
    <w:p>
      <w:pPr>
        <w:pStyle w:val="ListBullet"/>
        <w:spacing w:before="0" w:after="50" w:line="307" w:lineRule="auto"/>
        <w:ind w:left="369" w:hanging="198"/>
        <w:widowControl w:val="1"/>
      </w:pPr>
      <w:r>
        <w:rPr>
          <w:rFonts w:ascii="Noto Serif CJK SC" w:hAnsi="Noto Serif CJK SC" w:eastAsia="Noto Serif CJK SC"/>
          <w:color w:val="111827"/>
          <w:sz w:val="20"/>
        </w:rPr>
        <w:t>2. 研究问题与候选机制的科学重构</w:t>
      </w:r>
    </w:p>
    <w:p>
      <w:pPr>
        <w:pStyle w:val="ListBullet"/>
        <w:spacing w:before="0" w:after="50" w:line="307" w:lineRule="auto"/>
        <w:ind w:left="369" w:hanging="198"/>
        <w:widowControl w:val="1"/>
      </w:pPr>
      <w:r>
        <w:rPr>
          <w:rFonts w:ascii="Noto Serif CJK SC" w:hAnsi="Noto Serif CJK SC" w:eastAsia="Noto Serif CJK SC"/>
          <w:color w:val="111827"/>
          <w:sz w:val="20"/>
        </w:rPr>
        <w:t>3. 四数据集标签完备性与 eligibility 审计</w:t>
      </w:r>
    </w:p>
    <w:p>
      <w:pPr>
        <w:pStyle w:val="ListBullet"/>
        <w:spacing w:before="0" w:after="50" w:line="307" w:lineRule="auto"/>
        <w:ind w:left="369" w:hanging="198"/>
        <w:widowControl w:val="1"/>
      </w:pPr>
      <w:r>
        <w:rPr>
          <w:rFonts w:ascii="Noto Serif CJK SC" w:hAnsi="Noto Serif CJK SC" w:eastAsia="Noto Serif CJK SC"/>
          <w:color w:val="111827"/>
          <w:sz w:val="20"/>
        </w:rPr>
        <w:t>4. 项目内部证据的批判性审查</w:t>
      </w:r>
    </w:p>
    <w:p>
      <w:pPr>
        <w:pStyle w:val="ListBullet"/>
        <w:spacing w:before="0" w:after="50" w:line="307" w:lineRule="auto"/>
        <w:ind w:left="369" w:hanging="198"/>
        <w:widowControl w:val="1"/>
      </w:pPr>
      <w:r>
        <w:rPr>
          <w:rFonts w:ascii="Noto Serif CJK SC" w:hAnsi="Noto Serif CJK SC" w:eastAsia="Noto Serif CJK SC"/>
          <w:color w:val="111827"/>
          <w:sz w:val="20"/>
        </w:rPr>
        <w:t>5. Prior work 与 novelty 边界</w:t>
      </w:r>
    </w:p>
    <w:p>
      <w:pPr>
        <w:pStyle w:val="ListBullet"/>
        <w:spacing w:before="0" w:after="50" w:line="307" w:lineRule="auto"/>
        <w:ind w:left="369" w:hanging="198"/>
        <w:widowControl w:val="1"/>
      </w:pPr>
      <w:r>
        <w:rPr>
          <w:rFonts w:ascii="Noto Serif CJK SC" w:hAnsi="Noto Serif CJK SC" w:eastAsia="Noto Serif CJK SC"/>
          <w:color w:val="111827"/>
          <w:sz w:val="20"/>
        </w:rPr>
        <w:t>6. 十二个核心科学问题的独立回答</w:t>
      </w:r>
    </w:p>
    <w:p>
      <w:pPr>
        <w:pStyle w:val="ListBullet"/>
        <w:spacing w:before="0" w:after="50" w:line="307" w:lineRule="auto"/>
        <w:ind w:left="369" w:hanging="198"/>
        <w:widowControl w:val="1"/>
      </w:pPr>
      <w:r>
        <w:rPr>
          <w:rFonts w:ascii="Noto Serif CJK SC" w:hAnsi="Noto Serif CJK SC" w:eastAsia="Noto Serif CJK SC"/>
          <w:color w:val="111827"/>
          <w:sz w:val="20"/>
        </w:rPr>
        <w:t>7. 方法贡献成立所需的最低机制</w:t>
      </w:r>
    </w:p>
    <w:p>
      <w:pPr>
        <w:pStyle w:val="ListBullet"/>
        <w:spacing w:before="0" w:after="50" w:line="307" w:lineRule="auto"/>
        <w:ind w:left="369" w:hanging="198"/>
        <w:widowControl w:val="1"/>
      </w:pPr>
      <w:r>
        <w:rPr>
          <w:rFonts w:ascii="Noto Serif CJK SC" w:hAnsi="Noto Serif CJK SC" w:eastAsia="Noto Serif CJK SC"/>
          <w:color w:val="111827"/>
          <w:sz w:val="20"/>
        </w:rPr>
        <w:t>8. 实验矩阵、low-shot protocol 与最小证伪实验</w:t>
      </w:r>
    </w:p>
    <w:p>
      <w:pPr>
        <w:pStyle w:val="ListBullet"/>
        <w:spacing w:before="0" w:after="50" w:line="307" w:lineRule="auto"/>
        <w:ind w:left="369" w:hanging="198"/>
        <w:widowControl w:val="1"/>
      </w:pPr>
      <w:r>
        <w:rPr>
          <w:rFonts w:ascii="Noto Serif CJK SC" w:hAnsi="Noto Serif CJK SC" w:eastAsia="Noto Serif CJK SC"/>
          <w:color w:val="111827"/>
          <w:sz w:val="20"/>
        </w:rPr>
        <w:t>9. 指标、guardrails、materiality 与 go/no-go rule</w:t>
      </w:r>
    </w:p>
    <w:p>
      <w:pPr>
        <w:pStyle w:val="ListBullet"/>
        <w:spacing w:before="0" w:after="50" w:line="307" w:lineRule="auto"/>
        <w:ind w:left="369" w:hanging="198"/>
        <w:widowControl w:val="1"/>
      </w:pPr>
      <w:r>
        <w:rPr>
          <w:rFonts w:ascii="Noto Serif CJK SC" w:hAnsi="Noto Serif CJK SC" w:eastAsia="Noto Serif CJK SC"/>
          <w:color w:val="111827"/>
          <w:sz w:val="20"/>
        </w:rPr>
        <w:t>10. Claim boundary、framing 与最终决策</w:t>
      </w:r>
    </w:p>
    <w:p>
      <w:pPr>
        <w:pStyle w:val="Heading1"/>
        <w:keepNext/>
      </w:pPr>
      <w:r>
        <w:t>1. 审查范围、证据等级与缺失材料</w:t>
      </w:r>
    </w:p>
    <w:p>
      <w:pPr>
        <w:pStyle w:val="Heading2"/>
        <w:keepNext/>
      </w:pPr>
      <w:r>
        <w:t>1.1 审查范围与原则</w:t>
      </w:r>
    </w:p>
    <w:p>
      <w:pPr>
        <w:spacing w:before="0" w:after="100" w:line="331" w:lineRule="auto"/>
        <w:ind w:firstLine="420"/>
        <w:jc w:val="both"/>
        <w:widowControl w:val="1"/>
      </w:pPr>
      <w:r>
        <w:rPr>
          <w:rFonts w:ascii="Noto Serif CJK SC" w:hAnsi="Noto Serif CJK SC" w:eastAsia="Noto Serif CJK SC"/>
          <w:color w:val="111827"/>
          <w:sz w:val="21"/>
        </w:rPr>
        <w:t>本报告只使用 Acoustic Notion 中可访问的项目页面，以及公开可联网核验的论文正文、正式 proceedings、作者仓库、数据集官网和附录。审查对象是研究问题、标签合同、证据强度、prior-work novelty、候选模型机制、实验识别与 claim boundary；本报告不修改 Notion，不生成代码，不启动实验，也不为项目预设结论。</w:t>
      </w:r>
    </w:p>
    <w:p>
      <w:pPr>
        <w:spacing w:before="0" w:after="100" w:line="331" w:lineRule="auto"/>
        <w:ind w:firstLine="420"/>
        <w:jc w:val="both"/>
        <w:widowControl w:val="1"/>
      </w:pPr>
      <w:r>
        <w:rPr>
          <w:rFonts w:ascii="Noto Serif CJK SC" w:hAnsi="Noto Serif CJK SC" w:eastAsia="Noto Serif CJK SC"/>
          <w:color w:val="111827"/>
          <w:sz w:val="21"/>
        </w:rPr>
        <w:t>审查采用“证据对 claim 的最小充分性”原则。一个结果即使数值很高，如果实验没有操纵相应机制，也不能支持该机制性结论。例如，冻结 encoder 后使用完整 SPRSound target labels 训练线性 head，可以证明表示对目标标签具有可用可分性，但不能证明 source-only generalization、pathology understanding 或 attribute sharing 的有效性。</w:t>
      </w:r>
    </w:p>
    <w:p>
      <w:pPr>
        <w:pStyle w:val="Heading2"/>
        <w:keepNext/>
      </w:pPr>
      <w:r>
        <w:t>1.2 证据等级</w:t>
      </w:r>
    </w:p>
    <w:tbl>
      <w:tblPr>
        <w:tblStyle w:val="TableGrid"/>
        <w:tblW w:type="auto" w:w="0"/>
        <w:jc w:val="center"/>
        <w:tblLayout w:type="fixed"/>
        <w:tblLook w:firstColumn="1" w:firstRow="1" w:lastColumn="0" w:lastRow="0" w:noHBand="0" w:noVBand="1" w:val="04A0"/>
      </w:tblPr>
      <w:tblGrid>
        <w:gridCol w:w="3156"/>
        <w:gridCol w:w="3156"/>
        <w:gridCol w:w="3156"/>
      </w:tblGrid>
      <w:tr>
        <w:trPr>
          <w:trHeight w:hRule="auto"/>
          <w:tblHeader w:val="true"/>
        </w:trPr>
        <w:tc>
          <w:tcPr>
            <w:tcW w:type="dxa" w:w="1757"/>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等级</w:t>
            </w:r>
          </w:p>
        </w:tc>
        <w:tc>
          <w:tcPr>
            <w:tcW w:type="dxa" w:w="3969"/>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定义</w:t>
            </w:r>
          </w:p>
        </w:tc>
        <w:tc>
          <w:tcPr>
            <w:tcW w:type="dxa" w:w="3345"/>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本报告中的使用边界</w:t>
            </w:r>
          </w:p>
        </w:tc>
      </w:tr>
      <w:tr>
        <w:trPr>
          <w:cantSplit/>
          <w:trHeight w:hRule="auto"/>
        </w:trPr>
        <w:tc>
          <w:tcPr>
            <w:tcW w:type="dxa" w:w="1757"/>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公开来源事实</w:t>
            </w:r>
          </w:p>
        </w:tc>
        <w:tc>
          <w:tcPr>
            <w:tcW w:type="dxa" w:w="396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可从论文正文、正式 proceedings、作者仓库或数据集官网直接核验的事实。</w:t>
            </w:r>
          </w:p>
        </w:tc>
        <w:tc>
          <w:tcPr>
            <w:tcW w:type="dxa" w:w="334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可用于数据集合同、prior-work 与方法边界。</w:t>
            </w:r>
          </w:p>
        </w:tc>
      </w:tr>
      <w:tr>
        <w:trPr>
          <w:cantSplit/>
          <w:trHeight w:hRule="auto"/>
        </w:trPr>
        <w:tc>
          <w:tcPr>
            <w:tcW w:type="dxa" w:w="1757"/>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project-reported evidence</w:t>
            </w:r>
          </w:p>
        </w:tc>
        <w:tc>
          <w:tcPr>
            <w:tcW w:type="dxa" w:w="396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Notion 报告了数字或结论，但本审查未取得完整 predictions、split、checkpoint、metric code 与 verifier receipt。</w:t>
            </w:r>
          </w:p>
        </w:tc>
        <w:tc>
          <w:tcPr>
            <w:tcW w:type="dxa" w:w="334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只能作为项目报告结果，不得称为本审稿人复现。</w:t>
            </w:r>
          </w:p>
        </w:tc>
      </w:tr>
      <w:tr>
        <w:trPr>
          <w:cantSplit/>
          <w:trHeight w:hRule="auto"/>
        </w:trPr>
        <w:tc>
          <w:tcPr>
            <w:tcW w:type="dxa" w:w="1757"/>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receipt-backed project result</w:t>
            </w:r>
          </w:p>
        </w:tc>
        <w:tc>
          <w:tcPr>
            <w:tcW w:type="dxa" w:w="396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Notion 明确记录 SHA、预测导出、verifier 或预注册 gate，但原始 receipt/文件未向本审查开放。</w:t>
            </w:r>
          </w:p>
        </w:tc>
        <w:tc>
          <w:tcPr>
            <w:tcW w:type="dxa" w:w="334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证据强于普通项目报告，但仍不是本审稿人 independently reproduced。</w:t>
            </w:r>
          </w:p>
        </w:tc>
      </w:tr>
      <w:tr>
        <w:trPr>
          <w:cantSplit/>
          <w:trHeight w:hRule="auto"/>
        </w:trPr>
        <w:tc>
          <w:tcPr>
            <w:tcW w:type="dxa" w:w="1757"/>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independently recomputed within project</w:t>
            </w:r>
          </w:p>
        </w:tc>
        <w:tc>
          <w:tcPr>
            <w:tcW w:type="dxa" w:w="396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项目内部由独立 verifier 或重新计算流程复核，且项目能提供可审计 receipt。</w:t>
            </w:r>
          </w:p>
        </w:tc>
        <w:tc>
          <w:tcPr>
            <w:tcW w:type="dxa" w:w="334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本报告仅在描述项目证据体系时使用；由于 receipt 未开放，本审查不自行升级该标签。</w:t>
            </w:r>
          </w:p>
        </w:tc>
      </w:tr>
      <w:tr>
        <w:trPr>
          <w:cantSplit/>
          <w:trHeight w:hRule="auto"/>
        </w:trPr>
        <w:tc>
          <w:tcPr>
            <w:tcW w:type="dxa" w:w="1757"/>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independently reproduced by this review</w:t>
            </w:r>
          </w:p>
        </w:tc>
        <w:tc>
          <w:tcPr>
            <w:tcW w:type="dxa" w:w="396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本审稿人取得完整 artifacts 并重新计算。</w:t>
            </w:r>
          </w:p>
        </w:tc>
        <w:tc>
          <w:tcPr>
            <w:tcW w:type="dxa" w:w="334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本报告中为“无”。</w:t>
            </w:r>
          </w:p>
        </w:tc>
      </w:tr>
    </w:tbl>
    <w:p>
      <w:pPr>
        <w:spacing w:after="20"/>
      </w:pPr>
    </w:p>
    <w:p>
      <w:pPr>
        <w:pStyle w:val="Heading2"/>
        <w:keepNext/>
      </w:pPr>
      <w:r>
        <w:t>1.3 已访问的 Notion 页面</w:t>
      </w:r>
    </w:p>
    <w:tbl>
      <w:tblPr>
        <w:tblStyle w:val="TableGrid"/>
        <w:tblW w:type="auto" w:w="0"/>
        <w:jc w:val="center"/>
        <w:tblLayout w:type="fixed"/>
        <w:tblLook w:firstColumn="1" w:firstRow="1" w:lastColumn="0" w:lastRow="0" w:noHBand="0" w:noVBand="1" w:val="04A0"/>
      </w:tblPr>
      <w:tblGrid>
        <w:gridCol w:w="3156"/>
        <w:gridCol w:w="3156"/>
        <w:gridCol w:w="3156"/>
      </w:tblGrid>
      <w:tr>
        <w:trPr>
          <w:trHeight w:hRule="auto"/>
          <w:tblHeader w:val="true"/>
        </w:trPr>
        <w:tc>
          <w:tcPr>
            <w:tcW w:type="dxa" w:w="794"/>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编号</w:t>
            </w:r>
          </w:p>
        </w:tc>
        <w:tc>
          <w:tcPr>
            <w:tcW w:type="dxa" w:w="3515"/>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页面</w:t>
            </w:r>
          </w:p>
        </w:tc>
        <w:tc>
          <w:tcPr>
            <w:tcW w:type="dxa" w:w="4762"/>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与本审查的关系</w:t>
            </w:r>
          </w:p>
        </w:tc>
      </w:tr>
      <w:tr>
        <w:trPr>
          <w:cantSplit/>
          <w:trHeight w:hRule="auto"/>
        </w:trPr>
        <w:tc>
          <w:tcPr>
            <w:tcW w:type="dxa" w:w="79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[N1]</w:t>
            </w:r>
          </w:p>
        </w:tc>
        <w:tc>
          <w:tcPr>
            <w:tcW w:type="dxa" w:w="351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2026-07-29</w:t>
            </w:r>
          </w:p>
        </w:tc>
        <w:tc>
          <w:tcPr>
            <w:tcW w:type="dxa" w:w="476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四数据集合同、最新 baseline、共享属性候选模型</w:t>
            </w:r>
          </w:p>
        </w:tc>
      </w:tr>
      <w:tr>
        <w:trPr>
          <w:cantSplit/>
          <w:trHeight w:hRule="auto"/>
        </w:trPr>
        <w:tc>
          <w:tcPr>
            <w:tcW w:type="dxa" w:w="79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[N2]</w:t>
            </w:r>
          </w:p>
        </w:tc>
        <w:tc>
          <w:tcPr>
            <w:tcW w:type="dxa" w:w="351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2026-07-30 Meeting Report（中文审阅稿）</w:t>
            </w:r>
          </w:p>
        </w:tc>
        <w:tc>
          <w:tcPr>
            <w:tcW w:type="dxa" w:w="476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中文汇总；HF/KAUH 合同、负面结果、属性方案</w:t>
            </w:r>
          </w:p>
        </w:tc>
      </w:tr>
      <w:tr>
        <w:trPr>
          <w:cantSplit/>
          <w:trHeight w:hRule="auto"/>
        </w:trPr>
        <w:tc>
          <w:tcPr>
            <w:tcW w:type="dxa" w:w="79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[N3]</w:t>
            </w:r>
          </w:p>
        </w:tc>
        <w:tc>
          <w:tcPr>
            <w:tcW w:type="dxa" w:w="351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2026-07-27 Working Plan</w:t>
            </w:r>
          </w:p>
        </w:tc>
        <w:tc>
          <w:tcPr>
            <w:tcW w:type="dxa" w:w="476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evidence closure、representation attribution、H1/H2、D0–D3 caveat</w:t>
            </w:r>
          </w:p>
        </w:tc>
      </w:tr>
      <w:tr>
        <w:trPr>
          <w:cantSplit/>
          <w:trHeight w:hRule="auto"/>
        </w:trPr>
        <w:tc>
          <w:tcPr>
            <w:tcW w:type="dxa" w:w="79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[N4]</w:t>
            </w:r>
          </w:p>
        </w:tc>
        <w:tc>
          <w:tcPr>
            <w:tcW w:type="dxa" w:w="351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2026-07-24</w:t>
            </w:r>
          </w:p>
        </w:tc>
        <w:tc>
          <w:tcPr>
            <w:tcW w:type="dxa" w:w="476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ICBHI→SPRSound transfer、target-head adaptation、早期主线</w:t>
            </w:r>
          </w:p>
        </w:tc>
      </w:tr>
      <w:tr>
        <w:trPr>
          <w:cantSplit/>
          <w:trHeight w:hRule="auto"/>
        </w:trPr>
        <w:tc>
          <w:tcPr>
            <w:tcW w:type="dxa" w:w="79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[N5]</w:t>
            </w:r>
          </w:p>
        </w:tc>
        <w:tc>
          <w:tcPr>
            <w:tcW w:type="dxa" w:w="351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End-to-End Pipeline 逐框文字规格（讨论稿 v0）</w:t>
            </w:r>
          </w:p>
        </w:tc>
        <w:tc>
          <w:tcPr>
            <w:tcW w:type="dxa" w:w="476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证据注册表、候选架构状态、HOLD 与 prohibited claims</w:t>
            </w:r>
          </w:p>
        </w:tc>
      </w:tr>
    </w:tbl>
    <w:p>
      <w:pPr>
        <w:spacing w:after="20"/>
      </w:pPr>
    </w:p>
    <w:p>
      <w:pPr>
        <w:pStyle w:val="Heading2"/>
        <w:keepNext/>
      </w:pPr>
      <w:r>
        <w:t>1.4 未获得或无法独立检查的材料</w:t>
      </w:r>
    </w:p>
    <w:p>
      <w:pPr>
        <w:pStyle w:val="ListBullet"/>
        <w:spacing w:before="0" w:after="50" w:line="307" w:lineRule="auto"/>
        <w:ind w:left="369" w:hanging="198"/>
        <w:widowControl w:val="1"/>
      </w:pPr>
      <w:r>
        <w:rPr>
          <w:rFonts w:ascii="Noto Serif CJK SC" w:hAnsi="Noto Serif CJK SC" w:eastAsia="Noto Serif CJK SC"/>
          <w:color w:val="111827"/>
          <w:sz w:val="20"/>
        </w:rPr>
        <w:t>每项实验的完整 sample-level predictions、ordered IDs 与 per-sample eligibility masks。</w:t>
      </w:r>
    </w:p>
    <w:p>
      <w:pPr>
        <w:pStyle w:val="ListBullet"/>
        <w:spacing w:before="0" w:after="50" w:line="307" w:lineRule="auto"/>
        <w:ind w:left="369" w:hanging="198"/>
        <w:widowControl w:val="1"/>
      </w:pPr>
      <w:r>
        <w:rPr>
          <w:rFonts w:ascii="Noto Serif CJK SC" w:hAnsi="Noto Serif CJK SC" w:eastAsia="Noto Serif CJK SC"/>
          <w:color w:val="111827"/>
          <w:sz w:val="20"/>
        </w:rPr>
        <w:t>所有 split manifests、patient/group ID 列表、fold assignments，以及 HF date-proxy 修复前后的差分。</w:t>
      </w:r>
    </w:p>
    <w:p>
      <w:pPr>
        <w:pStyle w:val="ListBullet"/>
        <w:spacing w:before="0" w:after="50" w:line="307" w:lineRule="auto"/>
        <w:ind w:left="369" w:hanging="198"/>
        <w:widowControl w:val="1"/>
      </w:pPr>
      <w:r>
        <w:rPr>
          <w:rFonts w:ascii="Noto Serif CJK SC" w:hAnsi="Noto Serif CJK SC" w:eastAsia="Noto Serif CJK SC"/>
          <w:color w:val="111827"/>
          <w:sz w:val="20"/>
        </w:rPr>
        <w:t>本地 checkpoint binaries 与可由本审查独立验证的 SHA-256。</w:t>
      </w:r>
    </w:p>
    <w:p>
      <w:pPr>
        <w:pStyle w:val="ListBullet"/>
        <w:spacing w:before="0" w:after="50" w:line="307" w:lineRule="auto"/>
        <w:ind w:left="369" w:hanging="198"/>
        <w:widowControl w:val="1"/>
      </w:pPr>
      <w:r>
        <w:rPr>
          <w:rFonts w:ascii="Noto Serif CJK SC" w:hAnsi="Noto Serif CJK SC" w:eastAsia="Noto Serif CJK SC"/>
          <w:color w:val="111827"/>
          <w:sz w:val="20"/>
        </w:rPr>
        <w:t>完整 metric implementation、threshold policy、calibration procedure 和 metric definitions。</w:t>
      </w:r>
    </w:p>
    <w:p>
      <w:pPr>
        <w:pStyle w:val="ListBullet"/>
        <w:spacing w:before="0" w:after="50" w:line="307" w:lineRule="auto"/>
        <w:ind w:left="369" w:hanging="198"/>
        <w:widowControl w:val="1"/>
      </w:pPr>
      <w:r>
        <w:rPr>
          <w:rFonts w:ascii="Noto Serif CJK SC" w:hAnsi="Noto Serif CJK SC" w:eastAsia="Noto Serif CJK SC"/>
          <w:color w:val="111827"/>
          <w:sz w:val="20"/>
        </w:rPr>
        <w:t>Notion 所称 verifier receipts 的原始输出、环境信息和可重复命令。</w:t>
      </w:r>
    </w:p>
    <w:p>
      <w:pPr>
        <w:pStyle w:val="ListBullet"/>
        <w:spacing w:before="0" w:after="50" w:line="307" w:lineRule="auto"/>
        <w:ind w:left="369" w:hanging="198"/>
        <w:widowControl w:val="1"/>
      </w:pPr>
      <w:r>
        <w:rPr>
          <w:rFonts w:ascii="Noto Serif CJK SC" w:hAnsi="Noto Serif CJK SC" w:eastAsia="Noto Serif CJK SC"/>
          <w:color w:val="111827"/>
          <w:sz w:val="20"/>
        </w:rPr>
        <w:t>HF proxy 修复后的完整 D0–D3 per-task/per-seed 矩阵。</w:t>
      </w:r>
    </w:p>
    <w:p>
      <w:pPr>
        <w:pStyle w:val="ListBullet"/>
        <w:spacing w:before="0" w:after="50" w:line="307" w:lineRule="auto"/>
        <w:ind w:left="369" w:hanging="198"/>
        <w:widowControl w:val="1"/>
      </w:pPr>
      <w:r>
        <w:rPr>
          <w:rFonts w:ascii="Noto Serif CJK SC" w:hAnsi="Noto Serif CJK SC" w:eastAsia="Noto Serif CJK SC"/>
          <w:color w:val="111827"/>
          <w:sz w:val="20"/>
        </w:rPr>
        <w:t>support-aware classifier retraining 的全部 per-class、per-fold、per-seed 结果与 threshold movement。</w:t>
      </w:r>
    </w:p>
    <w:p>
      <w:pPr>
        <w:pStyle w:val="ListBullet"/>
        <w:spacing w:before="0" w:after="50" w:line="307" w:lineRule="auto"/>
        <w:ind w:left="369" w:hanging="198"/>
        <w:widowControl w:val="1"/>
      </w:pPr>
      <w:r>
        <w:rPr>
          <w:rFonts w:ascii="Noto Serif CJK SC" w:hAnsi="Noto Serif CJK SC" w:eastAsia="Noto Serif CJK SC"/>
          <w:color w:val="111827"/>
          <w:sz w:val="20"/>
        </w:rPr>
        <w:t>shortcut diagnostic 的 acoustic covariates、error labels、回归模型、置信区间和 0/2 vote 计算。</w:t>
      </w:r>
    </w:p>
    <w:p>
      <w:pPr>
        <w:pStyle w:val="ListBullet"/>
        <w:spacing w:before="0" w:after="50" w:line="307" w:lineRule="auto"/>
        <w:ind w:left="369" w:hanging="198"/>
        <w:widowControl w:val="1"/>
      </w:pPr>
      <w:r>
        <w:rPr>
          <w:rFonts w:ascii="Noto Serif CJK SC" w:hAnsi="Noto Serif CJK SC" w:eastAsia="Noto Serif CJK SC"/>
          <w:color w:val="111827"/>
          <w:sz w:val="20"/>
        </w:rPr>
        <w:t>event-sensitive pooling 的逐任务 predictions、parameter-matched control 和 materiality 计算。</w:t>
      </w:r>
    </w:p>
    <w:p>
      <w:pPr>
        <w:pStyle w:val="ListBullet"/>
        <w:spacing w:before="0" w:after="50" w:line="307" w:lineRule="auto"/>
        <w:ind w:left="369" w:hanging="198"/>
        <w:widowControl w:val="1"/>
      </w:pPr>
      <w:r>
        <w:rPr>
          <w:rFonts w:ascii="Noto Serif CJK SC" w:hAnsi="Noto Serif CJK SC" w:eastAsia="Noto Serif CJK SC"/>
          <w:color w:val="111827"/>
          <w:sz w:val="20"/>
        </w:rPr>
        <w:t>KAUH workbook 中 raw sound strings 的正式语义协议，以及 Crep、I C B、Bronchial 等标签的专家解释。</w:t>
      </w:r>
    </w:p>
    <w:p>
      <w:pPr>
        <w:pStyle w:val="ListBullet"/>
        <w:spacing w:before="0" w:after="50" w:line="307" w:lineRule="auto"/>
        <w:ind w:left="369" w:hanging="198"/>
        <w:widowControl w:val="1"/>
      </w:pPr>
      <w:r>
        <w:rPr>
          <w:rFonts w:ascii="Noto Serif CJK SC" w:hAnsi="Noto Serif CJK SC" w:eastAsia="Noto Serif CJK SC"/>
          <w:color w:val="111827"/>
          <w:sz w:val="20"/>
        </w:rPr>
        <w:t>HF_Lung annotation completeness 的正式证明，尤其是“某个 peer label 未出现是否可以视为阴性”。</w:t>
      </w:r>
    </w:p>
    <w:p>
      <w:pPr>
        <w:pStyle w:val="ListBullet"/>
        <w:spacing w:before="0" w:after="50" w:line="307" w:lineRule="auto"/>
        <w:ind w:left="369" w:hanging="198"/>
        <w:widowControl w:val="1"/>
      </w:pPr>
      <w:r>
        <w:rPr>
          <w:rFonts w:ascii="Noto Serif CJK SC" w:hAnsi="Noto Serif CJK SC" w:eastAsia="Noto Serif CJK SC"/>
          <w:color w:val="111827"/>
          <w:sz w:val="20"/>
        </w:rPr>
        <w:t>任何已接受的 general/specific residual comparison；当前页面只显示 Proposed/HOLD。</w:t>
      </w:r>
    </w:p>
    <w:tbl>
      <w:tblPr>
        <w:tblW w:type="auto" w:w="0"/>
        <w:jc w:val="center"/>
        <w:tblLayout w:type="fixed"/>
        <w:tblLook w:firstColumn="1" w:firstRow="1" w:lastColumn="0" w:lastRow="0" w:noHBand="0" w:noVBand="1" w:val="04A0"/>
      </w:tblPr>
      <w:tblGrid>
        <w:gridCol w:w="9468"/>
      </w:tblGrid>
      <w:tr>
        <w:trPr>
          <w:cantSplit/>
          <w:trHeight w:hRule="auto"/>
        </w:trPr>
        <w:tc>
          <w:tcPr>
            <w:tcW w:type="dxa" w:w="9184"/>
            <w:shd w:fill="FDEDEC"/>
            <w:tcMar>
              <w:top w:w="130" w:type="dxa"/>
              <w:start w:w="180" w:type="dxa"/>
              <w:bottom w:w="130" w:type="dxa"/>
              <w:end w:w="180" w:type="dxa"/>
            </w:tcMar>
            <w:tcBorders>
              <w:top w:val="nil"/>
              <w:bottom w:val="nil"/>
              <w:start w:val="single" w:sz="22" w:color="A93226"/>
              <w:end w:val="nil"/>
            </w:tcBorders>
          </w:tcPr>
          <w:p>
            <w:pPr>
              <w:keepLines/>
              <w:spacing w:after="80"/>
            </w:pPr>
            <w:r>
              <w:rPr>
                <w:rFonts w:ascii="Noto Sans CJK SC" w:hAnsi="Noto Sans CJK SC" w:eastAsia="Noto Sans CJK SC"/>
                <w:b/>
                <w:color w:val="A93226"/>
                <w:sz w:val="22"/>
              </w:rPr>
              <w:t>审查限制</w:t>
            </w:r>
          </w:p>
          <w:p>
            <w:pPr>
              <w:spacing w:before="0" w:after="0" w:line="300" w:lineRule="auto"/>
              <w:jc w:val="both"/>
              <w:keepLines/>
              <w:widowControl w:val="1"/>
            </w:pPr>
            <w:r>
              <w:rPr>
                <w:rFonts w:ascii="Noto Serif CJK SC" w:hAnsi="Noto Serif CJK SC" w:eastAsia="Noto Serif CJK SC"/>
                <w:color w:val="111827"/>
                <w:sz w:val="20"/>
              </w:rPr>
              <w:t>因此，本报告可以审查内部结论是否与 Notion 中的实验设计相称，但不能对这些内部数字作独立事实确认。任何论文草稿若使用“independently reproduced”，应同时提供 predictions、split、checkpoint SHA、metric code 与 verifier receipt。</w:t>
            </w:r>
          </w:p>
        </w:tc>
      </w:tr>
    </w:tbl>
    <w:p>
      <w:pPr>
        <w:spacing w:after="20"/>
      </w:pPr>
    </w:p>
    <w:p>
      <w:pPr>
        <w:pStyle w:val="Heading1"/>
        <w:keepNext/>
      </w:pPr>
      <w:r>
        <w:t>2. 研究问题与候选机制的科学重构</w:t>
      </w:r>
    </w:p>
    <w:p>
      <w:pPr>
        <w:pStyle w:val="Heading2"/>
        <w:keepNext/>
      </w:pPr>
      <w:r>
        <w:t>2.1 候选研究问题</w:t>
      </w:r>
    </w:p>
    <w:p>
      <w:pPr>
        <w:spacing w:before="0" w:after="100" w:line="331" w:lineRule="auto"/>
        <w:ind w:firstLine="420"/>
        <w:jc w:val="both"/>
        <w:widowControl w:val="1"/>
      </w:pPr>
      <w:r>
        <w:rPr>
          <w:rFonts w:ascii="Noto Serif CJK SC" w:hAnsi="Noto Serif CJK SC" w:eastAsia="Noto Serif CJK SC"/>
          <w:color w:val="111827"/>
          <w:sz w:val="21"/>
        </w:rPr>
        <w:t>项目候选问题是：在保留 dataset-native prediction units、native labels 与 native heads 的前提下，把不同数据集中明确可观察的 crackle、wheeze 和 normal-related evidence 表示为 0/1/unknown，并通过 eligibility-aware shared attribute supervision、joint taxonomy prediction 与条件化 consistency，改善跨数据集低样本类别的学习。该问题方向合理，但当前措辞混合了 taxonomy heterogeneity、missing labels、cross-dataset transfer 与 class imbalance 四类不同问题。</w:t>
      </w:r>
    </w:p>
    <w:p>
      <w:pPr>
        <w:pStyle w:val="Heading2"/>
        <w:keepNext/>
      </w:pPr>
      <w:r>
        <w:t>2.2 本报告建议的主问题定义</w:t>
      </w:r>
    </w:p>
    <w:tbl>
      <w:tblPr>
        <w:tblW w:type="auto" w:w="0"/>
        <w:jc w:val="center"/>
        <w:tblLayout w:type="fixed"/>
        <w:tblLook w:firstColumn="1" w:firstRow="1" w:lastColumn="0" w:lastRow="0" w:noHBand="0" w:noVBand="1" w:val="04A0"/>
      </w:tblPr>
      <w:tblGrid>
        <w:gridCol w:w="9468"/>
      </w:tblGrid>
      <w:tr>
        <w:trPr>
          <w:cantSplit/>
          <w:trHeight w:hRule="auto"/>
        </w:trPr>
        <w:tc>
          <w:tcPr>
            <w:tcW w:type="dxa" w:w="9184"/>
            <w:shd w:fill="E9F5F4"/>
            <w:tcMar>
              <w:top w:w="130" w:type="dxa"/>
              <w:start w:w="180" w:type="dxa"/>
              <w:bottom w:w="130" w:type="dxa"/>
              <w:end w:w="180" w:type="dxa"/>
            </w:tcMar>
            <w:tcBorders>
              <w:top w:val="nil"/>
              <w:bottom w:val="nil"/>
              <w:start w:val="single" w:sz="22" w:color="2A7F82"/>
              <w:end w:val="nil"/>
            </w:tcBorders>
          </w:tcPr>
          <w:p>
            <w:pPr>
              <w:keepLines/>
              <w:spacing w:after="80"/>
            </w:pPr>
            <w:r>
              <w:rPr>
                <w:rFonts w:ascii="Noto Sans CJK SC" w:hAnsi="Noto Sans CJK SC" w:eastAsia="Noto Sans CJK SC"/>
                <w:b/>
                <w:color w:val="2A7F82"/>
                <w:sz w:val="22"/>
              </w:rPr>
              <w:t>建议的科学问题</w:t>
            </w:r>
          </w:p>
          <w:p>
            <w:pPr>
              <w:spacing w:before="0" w:after="0" w:line="300" w:lineRule="auto"/>
              <w:jc w:val="both"/>
              <w:keepLines/>
              <w:widowControl w:val="1"/>
            </w:pPr>
            <w:r>
              <w:rPr>
                <w:rFonts w:ascii="Noto Serif CJK SC" w:hAnsi="Noto Serif CJK SC" w:eastAsia="Noto Serif CJK SC"/>
                <w:color w:val="111827"/>
                <w:sz w:val="20"/>
              </w:rPr>
              <w:t>在 prediction unit、native taxonomy 与 annotation completeness 不同的呼吸音数据集中，能否通过显式建模“可观察/不可观察/不兼容”的共享潜在声学属性，在保留 native tasks 的同时，改善 patient/group-disjoint 的 target-supervised low-shot adaptation 和 rare-class behavior？</w:t>
            </w:r>
          </w:p>
        </w:tc>
      </w:tr>
    </w:tbl>
    <w:p>
      <w:pPr>
        <w:spacing w:after="20"/>
      </w:pPr>
    </w:p>
    <w:p>
      <w:pPr>
        <w:spacing w:before="0" w:after="100" w:line="331" w:lineRule="auto"/>
        <w:ind w:firstLine="420"/>
        <w:jc w:val="both"/>
        <w:widowControl w:val="1"/>
      </w:pPr>
      <w:r>
        <w:rPr>
          <w:rFonts w:ascii="Noto Serif CJK SC" w:hAnsi="Noto Serif CJK SC" w:eastAsia="Noto Serif CJK SC"/>
          <w:color w:val="111827"/>
          <w:sz w:val="21"/>
        </w:rPr>
        <w:t>这个定义把方法真正解决的问题限定为 heterogeneous taxonomy、incomplete/non-closed-world labels 与 target-supervised low-shot adaptation 的交集。它不自动等同于 source-only domain generalization、全局 class imbalance solution、causal shortcut removal、temporal localization 或疾病诊断。</w:t>
      </w:r>
    </w:p>
    <w:p>
      <w:pPr>
        <w:pStyle w:val="Heading2"/>
        <w:keepNext/>
      </w:pPr>
      <w:r>
        <w:t>2.3 可检验的机制假设</w:t>
      </w:r>
    </w:p>
    <w:tbl>
      <w:tblPr>
        <w:tblStyle w:val="TableGrid"/>
        <w:tblW w:type="auto" w:w="0"/>
        <w:jc w:val="center"/>
        <w:tblLayout w:type="fixed"/>
        <w:tblLook w:firstColumn="1" w:firstRow="1" w:lastColumn="0" w:lastRow="0" w:noHBand="0" w:noVBand="1" w:val="04A0"/>
      </w:tblPr>
      <w:tblGrid>
        <w:gridCol w:w="4734"/>
        <w:gridCol w:w="4734"/>
      </w:tblGrid>
      <w:tr>
        <w:trPr>
          <w:trHeight w:hRule="auto"/>
          <w:tblHeader w:val="true"/>
        </w:trPr>
        <w:tc>
          <w:tcPr>
            <w:tcW w:type="dxa" w:w="2041"/>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假设</w:t>
            </w:r>
          </w:p>
        </w:tc>
        <w:tc>
          <w:tcPr>
            <w:tcW w:type="dxa" w:w="7030"/>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可证伪陈述</w:t>
            </w:r>
          </w:p>
        </w:tc>
      </w:tr>
      <w:tr>
        <w:trPr>
          <w:cantSplit/>
          <w:trHeight w:hRule="auto"/>
        </w:trPr>
        <w:tc>
          <w:tcPr>
            <w:tcW w:type="dxa" w:w="204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H1：共享增量</w:t>
            </w:r>
          </w:p>
        </w:tc>
        <w:tc>
          <w:tcPr>
            <w:tcW w:type="dxa" w:w="703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在相同标签暴露、参数量和训练预算下，shared crackle/wheeze attributes 优于 dataset-specific attributes。</w:t>
            </w:r>
          </w:p>
        </w:tc>
      </w:tr>
      <w:tr>
        <w:trPr>
          <w:cantSplit/>
          <w:trHeight w:hRule="auto"/>
        </w:trPr>
        <w:tc>
          <w:tcPr>
            <w:tcW w:type="dxa" w:w="204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H2：eligibility 安全性</w:t>
            </w:r>
          </w:p>
        </w:tc>
        <w:tc>
          <w:tcPr>
            <w:tcW w:type="dxa" w:w="703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把 unknown 省略而非当作 negative，可以避免 false-negative supervision 和 common-class collapse。</w:t>
            </w:r>
          </w:p>
        </w:tc>
      </w:tr>
      <w:tr>
        <w:trPr>
          <w:cantSplit/>
          <w:trHeight w:hRule="auto"/>
        </w:trPr>
        <w:tc>
          <w:tcPr>
            <w:tcW w:type="dxa" w:w="204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H3：joint/consistency 增量</w:t>
            </w:r>
          </w:p>
        </w:tc>
        <w:tc>
          <w:tcPr>
            <w:tcW w:type="dxa" w:w="703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joint head 与条件化 consistency 在 shared attributes 之外提供可重复增益，而不是仅增加参数或 regularization。</w:t>
            </w:r>
          </w:p>
        </w:tc>
      </w:tr>
      <w:tr>
        <w:trPr>
          <w:cantSplit/>
          <w:trHeight w:hRule="auto"/>
        </w:trPr>
        <w:tc>
          <w:tcPr>
            <w:tcW w:type="dxa" w:w="204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H4：HF 辅助价值</w:t>
            </w:r>
          </w:p>
        </w:tc>
        <w:tc>
          <w:tcPr>
            <w:tcW w:type="dxa" w:w="703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HF 的 positive-only interval evidence 在不引入 all-positive collapse 的情况下改善完整标签目标数据集的 low-shot performance。</w:t>
            </w:r>
          </w:p>
        </w:tc>
      </w:tr>
    </w:tbl>
    <w:p>
      <w:pPr>
        <w:spacing w:after="20"/>
      </w:pPr>
    </w:p>
    <w:p>
      <w:pPr>
        <w:pStyle w:val="Heading2"/>
        <w:keepNext/>
      </w:pPr>
      <w:r>
        <w:t>2.4 当前主线不应声称解决的事项</w:t>
      </w:r>
    </w:p>
    <w:p>
      <w:pPr>
        <w:pStyle w:val="ListBullet"/>
        <w:spacing w:before="0" w:after="50" w:line="307" w:lineRule="auto"/>
        <w:ind w:left="369" w:hanging="198"/>
        <w:widowControl w:val="1"/>
      </w:pPr>
      <w:r>
        <w:rPr>
          <w:rFonts w:ascii="Noto Serif CJK SC" w:hAnsi="Noto Serif CJK SC" w:eastAsia="Noto Serif CJK SC"/>
          <w:color w:val="111827"/>
          <w:sz w:val="20"/>
        </w:rPr>
        <w:t>source-only cross-dataset generalization：当前高分 target heads 使用了目标训练标签。</w:t>
      </w:r>
    </w:p>
    <w:p>
      <w:pPr>
        <w:pStyle w:val="ListBullet"/>
        <w:spacing w:before="0" w:after="50" w:line="307" w:lineRule="auto"/>
        <w:ind w:left="369" w:hanging="198"/>
        <w:widowControl w:val="1"/>
      </w:pPr>
      <w:r>
        <w:rPr>
          <w:rFonts w:ascii="Noto Serif CJK SC" w:hAnsi="Noto Serif CJK SC" w:eastAsia="Noto Serif CJK SC"/>
          <w:color w:val="111827"/>
          <w:sz w:val="20"/>
        </w:rPr>
        <w:t>pathology understanding：声学事件标签与疾病病理不是同一目标，且 acquisition shortcuts 尚未被因果排除。</w:t>
      </w:r>
    </w:p>
    <w:p>
      <w:pPr>
        <w:pStyle w:val="ListBullet"/>
        <w:spacing w:before="0" w:after="50" w:line="307" w:lineRule="auto"/>
        <w:ind w:left="369" w:hanging="198"/>
        <w:widowControl w:val="1"/>
      </w:pPr>
      <w:r>
        <w:rPr>
          <w:rFonts w:ascii="Noto Serif CJK SC" w:hAnsi="Noto Serif CJK SC" w:eastAsia="Noto Serif CJK SC"/>
          <w:color w:val="111827"/>
          <w:sz w:val="20"/>
        </w:rPr>
        <w:t>class imbalance：属性共享本身没有显式 tail mechanism；只有 rare-class 与 common-class 同时改善才可形成相关 claim。</w:t>
      </w:r>
    </w:p>
    <w:p>
      <w:pPr>
        <w:pStyle w:val="ListBullet"/>
        <w:spacing w:before="0" w:after="50" w:line="307" w:lineRule="auto"/>
        <w:ind w:left="369" w:hanging="198"/>
        <w:widowControl w:val="1"/>
      </w:pPr>
      <w:r>
        <w:rPr>
          <w:rFonts w:ascii="Noto Serif CJK SC" w:hAnsi="Noto Serif CJK SC" w:eastAsia="Noto Serif CJK SC"/>
          <w:color w:val="111827"/>
          <w:sz w:val="20"/>
        </w:rPr>
        <w:t>temporal localization：当前 HF 诊断把 interval task 聚合为 recording-level presence，并非 source temporal task reproduction。</w:t>
      </w:r>
    </w:p>
    <w:p>
      <w:pPr>
        <w:pStyle w:val="ListBullet"/>
        <w:spacing w:before="0" w:after="50" w:line="307" w:lineRule="auto"/>
        <w:ind w:left="369" w:hanging="198"/>
        <w:widowControl w:val="1"/>
      </w:pPr>
      <w:r>
        <w:rPr>
          <w:rFonts w:ascii="Noto Serif CJK SC" w:hAnsi="Noto Serif CJK SC" w:eastAsia="Noto Serif CJK SC"/>
          <w:color w:val="111827"/>
          <w:sz w:val="20"/>
        </w:rPr>
        <w:t>universal ontology：四数据集只具有部分语义重叠，且 Rhonchi、Stridor、Crep、Bronchial 等仍不兼容或未决。</w:t>
      </w:r>
    </w:p>
    <w:p>
      <w:pPr>
        <w:pStyle w:val="Heading1"/>
        <w:keepNext/>
      </w:pPr>
      <w:r>
        <w:t>3. 四数据集标签完备性与 eligibility 审计</w:t>
      </w:r>
    </w:p>
    <w:p>
      <w:pPr>
        <w:pStyle w:val="Heading2"/>
        <w:keepNext/>
      </w:pPr>
      <w:r>
        <w:t>3.1 总体数据合同</w:t>
      </w:r>
    </w:p>
    <w:tbl>
      <w:tblPr>
        <w:tblStyle w:val="TableGrid"/>
        <w:tblW w:type="auto" w:w="0"/>
        <w:jc w:val="center"/>
        <w:tblLayout w:type="fixed"/>
        <w:tblLook w:firstColumn="1" w:firstRow="1" w:lastColumn="0" w:lastRow="0" w:noHBand="0" w:noVBand="1" w:val="04A0"/>
      </w:tblPr>
      <w:tblGrid>
        <w:gridCol w:w="1578"/>
        <w:gridCol w:w="1578"/>
        <w:gridCol w:w="1578"/>
        <w:gridCol w:w="1578"/>
        <w:gridCol w:w="1578"/>
        <w:gridCol w:w="1578"/>
      </w:tblGrid>
      <w:tr>
        <w:trPr>
          <w:trHeight w:hRule="auto"/>
          <w:tblHeader w:val="true"/>
        </w:trPr>
        <w:tc>
          <w:tcPr>
            <w:tcW w:type="dxa" w:w="1276"/>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5"/>
              </w:rPr>
              <w:t>数据集</w:t>
            </w:r>
          </w:p>
        </w:tc>
        <w:tc>
          <w:tcPr>
            <w:tcW w:type="dxa" w:w="1332"/>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5"/>
              </w:rPr>
              <w:t>Prediction unit</w:t>
            </w:r>
          </w:p>
        </w:tc>
        <w:tc>
          <w:tcPr>
            <w:tcW w:type="dxa" w:w="2069"/>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5"/>
              </w:rPr>
              <w:t>Native labels</w:t>
            </w:r>
          </w:p>
        </w:tc>
        <w:tc>
          <w:tcPr>
            <w:tcW w:type="dxa" w:w="1502"/>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5"/>
              </w:rPr>
              <w:t>完备性</w:t>
            </w:r>
          </w:p>
        </w:tc>
        <w:tc>
          <w:tcPr>
            <w:tcW w:type="dxa" w:w="1502"/>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5"/>
              </w:rPr>
              <w:t>Group/identity</w:t>
            </w:r>
          </w:p>
        </w:tc>
        <w:tc>
          <w:tcPr>
            <w:tcW w:type="dxa" w:w="1956"/>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5"/>
              </w:rPr>
              <w:t>审查建议</w:t>
            </w:r>
          </w:p>
        </w:tc>
      </w:tr>
      <w:tr>
        <w:trPr>
          <w:cantSplit/>
          <w:trHeight w:hRule="auto"/>
        </w:trPr>
        <w:tc>
          <w:tcPr>
            <w:tcW w:type="dxa" w:w="1276"/>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5"/>
              </w:rPr>
              <w:t>ICBHI 2017</w:t>
            </w:r>
          </w:p>
        </w:tc>
        <w:tc>
          <w:tcPr>
            <w:tcW w:type="dxa" w:w="133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cycle</w:t>
            </w:r>
          </w:p>
        </w:tc>
        <w:tc>
          <w:tcPr>
            <w:tcW w:type="dxa" w:w="206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Normal / Crackle / Wheeze / Both</w:t>
            </w:r>
          </w:p>
        </w:tc>
        <w:tc>
          <w:tcPr>
            <w:tcW w:type="dxa" w:w="150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完整 closed four-state</w:t>
            </w:r>
          </w:p>
        </w:tc>
        <w:tc>
          <w:tcPr>
            <w:tcW w:type="dxa" w:w="150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patient ID；官方 split 的 patient overlap 需用 manifest 审计</w:t>
            </w:r>
          </w:p>
        </w:tc>
        <w:tc>
          <w:tcPr>
            <w:tcW w:type="dxa" w:w="1956"/>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Phase-1 完整属性与 joint supervision</w:t>
            </w:r>
          </w:p>
        </w:tc>
      </w:tr>
      <w:tr>
        <w:trPr>
          <w:cantSplit/>
          <w:trHeight w:hRule="auto"/>
        </w:trPr>
        <w:tc>
          <w:tcPr>
            <w:tcW w:type="dxa" w:w="1276"/>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5"/>
              </w:rPr>
              <w:t>SPRSound</w:t>
            </w:r>
          </w:p>
        </w:tc>
        <w:tc>
          <w:tcPr>
            <w:tcW w:type="dxa" w:w="133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event；另有 recording task</w:t>
            </w:r>
          </w:p>
        </w:tc>
        <w:tc>
          <w:tcPr>
            <w:tcW w:type="dxa" w:w="206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Normal、Fine/Coarse Crackle、Wheeze、W+C、Rhonchi、Stridor；recording 含 Poor Quality</w:t>
            </w:r>
          </w:p>
        </w:tc>
        <w:tc>
          <w:tcPr>
            <w:tcW w:type="dxa" w:w="150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部分 closed；仅兼容子集可生成 flat4</w:t>
            </w:r>
          </w:p>
        </w:tc>
        <w:tc>
          <w:tcPr>
            <w:tcW w:type="dxa" w:w="150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patient ID；inter 为 unseen-patient primary</w:t>
            </w:r>
          </w:p>
        </w:tc>
        <w:tc>
          <w:tcPr>
            <w:tcW w:type="dxa" w:w="1956"/>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Phase-1 兼容子集；其余保持 native/unknown</w:t>
            </w:r>
          </w:p>
        </w:tc>
      </w:tr>
      <w:tr>
        <w:trPr>
          <w:cantSplit/>
          <w:trHeight w:hRule="auto"/>
        </w:trPr>
        <w:tc>
          <w:tcPr>
            <w:tcW w:type="dxa" w:w="1276"/>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5"/>
              </w:rPr>
              <w:t>HF_Lung_V1</w:t>
            </w:r>
          </w:p>
        </w:tc>
        <w:tc>
          <w:tcPr>
            <w:tcW w:type="dxa" w:w="133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positive temporal interval；项目另做 recording presence diagnostic</w:t>
            </w:r>
          </w:p>
        </w:tc>
        <w:tc>
          <w:tcPr>
            <w:tcW w:type="dxa" w:w="206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I/E/D/Wheeze/Rhonchi/Stridor；无 explicit Normal/Negative</w:t>
            </w:r>
          </w:p>
        </w:tc>
        <w:tc>
          <w:tcPr>
            <w:tcW w:type="dxa" w:w="150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open-world positive annotations</w:t>
            </w:r>
          </w:p>
        </w:tc>
        <w:tc>
          <w:tcPr>
            <w:tcW w:type="dxa" w:w="150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无 patient ID；date 仅为 proxy</w:t>
            </w:r>
          </w:p>
        </w:tc>
        <w:tc>
          <w:tcPr>
            <w:tcW w:type="dxa" w:w="1956"/>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仅 positive-only auxiliary，禁止 normal/negative 推断</w:t>
            </w:r>
          </w:p>
        </w:tc>
      </w:tr>
      <w:tr>
        <w:trPr>
          <w:cantSplit/>
          <w:trHeight w:hRule="auto"/>
        </w:trPr>
        <w:tc>
          <w:tcPr>
            <w:tcW w:type="dxa" w:w="1276"/>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5"/>
              </w:rPr>
              <w:t>KAUH/Fraiwan v3</w:t>
            </w:r>
          </w:p>
        </w:tc>
        <w:tc>
          <w:tcPr>
            <w:tcW w:type="dxa" w:w="133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recording；diagnosis 为 patient-level</w:t>
            </w:r>
          </w:p>
        </w:tc>
        <w:tc>
          <w:tcPr>
            <w:tcW w:type="dxa" w:w="206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raw sound strings；B/D/E filter replicas</w:t>
            </w:r>
          </w:p>
        </w:tc>
        <w:tc>
          <w:tcPr>
            <w:tcW w:type="dxa" w:w="150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组合字符串与语义未完全冻结</w:t>
            </w:r>
          </w:p>
        </w:tc>
        <w:tc>
          <w:tcPr>
            <w:tcW w:type="dxa" w:w="150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P-number patient；replicas 必须同 fold</w:t>
            </w:r>
          </w:p>
        </w:tc>
        <w:tc>
          <w:tcPr>
            <w:tcW w:type="dxa" w:w="1956"/>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5"/>
              </w:rPr>
              <w:t>Phase-1 native-only diagnostic；shared supervision 暂缓</w:t>
            </w:r>
          </w:p>
        </w:tc>
      </w:tr>
    </w:tbl>
    <w:p>
      <w:pPr>
        <w:spacing w:after="20"/>
      </w:pPr>
    </w:p>
    <w:p>
      <w:pPr>
        <w:pStyle w:val="Heading2"/>
        <w:keepNext/>
      </w:pPr>
      <w:r>
        <w:t>3.2 ICBHI 2017</w:t>
      </w:r>
    </w:p>
    <w:p>
      <w:pPr>
        <w:spacing w:before="0" w:after="100" w:line="331" w:lineRule="auto"/>
        <w:ind w:firstLine="420"/>
        <w:jc w:val="both"/>
        <w:widowControl w:val="1"/>
      </w:pPr>
      <w:r>
        <w:rPr>
          <w:rFonts w:ascii="Noto Serif CJK SC" w:hAnsi="Noto Serif CJK SC" w:eastAsia="Noto Serif CJK SC"/>
          <w:color w:val="111827"/>
          <w:sz w:val="21"/>
        </w:rPr>
        <w:t>ICBHI 的 respiratory-cycle annotation 由 crackle flag 与 wheeze flag 构成，因此 flat4 与两个 atomic attributes 之间存在精确、无歧义的双射：[P15]</w:t>
      </w:r>
    </w:p>
    <w:tbl>
      <w:tblPr>
        <w:tblW w:type="auto" w:w="0"/>
        <w:jc w:val="center"/>
        <w:tblLayout w:type="fixed"/>
        <w:tblLook w:firstColumn="1" w:firstRow="1" w:lastColumn="0" w:lastRow="0" w:noHBand="0" w:noVBand="1" w:val="04A0"/>
      </w:tblPr>
      <w:tblGrid>
        <w:gridCol w:w="9468"/>
      </w:tblGrid>
      <w:tr>
        <w:trPr>
          <w:trHeight w:hRule="auto"/>
        </w:trPr>
        <w:tc>
          <w:tcPr>
            <w:tcW w:type="dxa" w:w="8787"/>
            <w:shd w:fill="F3F5F7"/>
            <w:tcMar>
              <w:top w:w="150" w:type="dxa"/>
              <w:start w:w="180" w:type="dxa"/>
              <w:bottom w:w="150" w:type="dxa"/>
              <w:end w:w="180" w:type="dxa"/>
            </w:tcMar>
            <w:tcBorders>
              <w:top w:val="single" w:sz="6" w:color="D9E1E8"/>
              <w:bottom w:val="single" w:sz="6" w:color="D9E1E8"/>
              <w:start w:val="single" w:sz="6" w:color="D9E1E8"/>
              <w:end w:val="single" w:sz="6" w:color="D9E1E8"/>
            </w:tcBorders>
          </w:tcPr>
          <w:p>
            <w:pPr>
              <w:spacing w:before="0" w:after="0" w:line="324" w:lineRule="auto"/>
              <w:jc w:val="center"/>
              <w:keepLines/>
              <w:widowControl w:val="1"/>
            </w:pPr>
            <w:r>
              <w:rPr>
                <w:rFonts w:ascii="Cambria Math" w:hAnsi="Cambria Math" w:eastAsia="Cambria Math"/>
                <w:color w:val="17324D"/>
                <w:sz w:val="21"/>
              </w:rPr>
              <w:t>Normal = (crackle=0, wheeze=0)</w:t>
            </w:r>
            <w:r>
              <w:br/>
            </w:r>
            <w:r>
              <w:rPr>
                <w:rFonts w:ascii="Cambria Math" w:hAnsi="Cambria Math" w:eastAsia="Cambria Math"/>
                <w:color w:val="17324D"/>
                <w:sz w:val="21"/>
              </w:rPr>
              <w:t>Crackle = (1,0)    Wheeze = (0,1)    Both = (1,1)</w:t>
            </w:r>
          </w:p>
        </w:tc>
      </w:tr>
    </w:tbl>
    <w:p>
      <w:pPr>
        <w:spacing w:before="0" w:after="100" w:line="264" w:lineRule="auto"/>
        <w:jc w:val="center"/>
        <w:widowControl w:val="1"/>
      </w:pPr>
      <w:r>
        <w:rPr>
          <w:rFonts w:ascii="Noto Serif CJK SC" w:hAnsi="Noto Serif CJK SC" w:eastAsia="Noto Serif CJK SC"/>
          <w:i/>
          <w:color w:val="64748B"/>
          <w:sz w:val="17"/>
        </w:rPr>
        <w:t>ICBHI cycle-level closed-world mapping</w:t>
      </w:r>
    </w:p>
    <w:p>
      <w:pPr>
        <w:spacing w:before="0" w:after="100" w:line="331" w:lineRule="auto"/>
        <w:ind w:firstLine="420"/>
        <w:jc w:val="both"/>
        <w:widowControl w:val="1"/>
      </w:pPr>
      <w:r>
        <w:rPr>
          <w:rFonts w:ascii="Noto Serif CJK SC" w:hAnsi="Noto Serif CJK SC" w:eastAsia="Noto Serif CJK SC"/>
          <w:color w:val="111827"/>
          <w:sz w:val="21"/>
        </w:rPr>
        <w:t>ICBHI 因而是唯一可以无争议地同时提供 crackle 正负、wheeze 正负、完整 four-state target 和 attribute–joint consistency 的数据集。需要额外注意 split：项目 Notion 审计称 official recording split 中 patient 156 与 218 跨 split，而部分公开论文笼统称 official split patient-independent。论文主结论应使用项目公开的严格 group-disjoint manifest，而不是只引用“official split”。[N5]</w:t>
      </w:r>
    </w:p>
    <w:p>
      <w:pPr>
        <w:pStyle w:val="Heading2"/>
        <w:keepNext/>
      </w:pPr>
      <w:r>
        <w:t>3.3 SPRSound BioCAS2022</w:t>
      </w:r>
    </w:p>
    <w:p>
      <w:pPr>
        <w:spacing w:before="0" w:after="100" w:line="331" w:lineRule="auto"/>
        <w:ind w:firstLine="420"/>
        <w:jc w:val="both"/>
        <w:widowControl w:val="1"/>
      </w:pPr>
      <w:r>
        <w:rPr>
          <w:rFonts w:ascii="Noto Serif CJK SC" w:hAnsi="Noto Serif CJK SC" w:eastAsia="Noto Serif CJK SC"/>
          <w:color w:val="111827"/>
          <w:sz w:val="21"/>
        </w:rPr>
        <w:t>SPRSound 同时包含 event-level 与 recording-level task；两者不能当作同一个 prediction unit。官方数据论文和 challenge design 已经使用 ICBHI+SPRSound data fusion，因此项目不能声称首次融合两个数据集。[P5]</w:t>
      </w:r>
    </w:p>
    <w:tbl>
      <w:tblPr>
        <w:tblStyle w:val="TableGrid"/>
        <w:tblW w:type="auto" w:w="0"/>
        <w:jc w:val="center"/>
        <w:tblLayout w:type="fixed"/>
        <w:tblLook w:firstColumn="1" w:firstRow="1" w:lastColumn="0" w:lastRow="0" w:noHBand="0" w:noVBand="1" w:val="04A0"/>
      </w:tblPr>
      <w:tblGrid>
        <w:gridCol w:w="1578"/>
        <w:gridCol w:w="1578"/>
        <w:gridCol w:w="1578"/>
        <w:gridCol w:w="1578"/>
        <w:gridCol w:w="1578"/>
        <w:gridCol w:w="1578"/>
      </w:tblGrid>
      <w:tr>
        <w:trPr>
          <w:trHeight w:hRule="auto"/>
          <w:tblHeader w:val="true"/>
        </w:trPr>
        <w:tc>
          <w:tcPr>
            <w:tcW w:type="dxa" w:w="1701"/>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6"/>
              </w:rPr>
              <w:t>SPRSound label</w:t>
            </w:r>
          </w:p>
        </w:tc>
        <w:tc>
          <w:tcPr>
            <w:tcW w:type="dxa" w:w="822"/>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6"/>
              </w:rPr>
              <w:t>crackle</w:t>
            </w:r>
          </w:p>
        </w:tc>
        <w:tc>
          <w:tcPr>
            <w:tcW w:type="dxa" w:w="822"/>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6"/>
              </w:rPr>
              <w:t>wheeze</w:t>
            </w:r>
          </w:p>
        </w:tc>
        <w:tc>
          <w:tcPr>
            <w:tcW w:type="dxa" w:w="1332"/>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6"/>
              </w:rPr>
              <w:t>normal-certified</w:t>
            </w:r>
          </w:p>
        </w:tc>
        <w:tc>
          <w:tcPr>
            <w:tcW w:type="dxa" w:w="1134"/>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6"/>
              </w:rPr>
              <w:t>flat4 eligible</w:t>
            </w:r>
          </w:p>
        </w:tc>
        <w:tc>
          <w:tcPr>
            <w:tcW w:type="dxa" w:w="3260"/>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6"/>
              </w:rPr>
              <w:t>审查解释</w:t>
            </w:r>
          </w:p>
        </w:tc>
      </w:tr>
      <w:tr>
        <w:trPr>
          <w:cantSplit/>
          <w:trHeight w:hRule="auto"/>
        </w:trPr>
        <w:tc>
          <w:tcPr>
            <w:tcW w:type="dxa" w:w="170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Normal</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0</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0</w:t>
            </w:r>
          </w:p>
        </w:tc>
        <w:tc>
          <w:tcPr>
            <w:tcW w:type="dxa" w:w="133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1</w:t>
            </w:r>
          </w:p>
        </w:tc>
        <w:tc>
          <w:tcPr>
            <w:tcW w:type="dxa" w:w="113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是</w:t>
            </w:r>
          </w:p>
        </w:tc>
        <w:tc>
          <w:tcPr>
            <w:tcW w:type="dxa" w:w="326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完整 normal event</w:t>
            </w:r>
          </w:p>
        </w:tc>
      </w:tr>
      <w:tr>
        <w:trPr>
          <w:cantSplit/>
          <w:trHeight w:hRule="auto"/>
        </w:trPr>
        <w:tc>
          <w:tcPr>
            <w:tcW w:type="dxa" w:w="170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Fine Crackle</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1</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0</w:t>
            </w:r>
          </w:p>
        </w:tc>
        <w:tc>
          <w:tcPr>
            <w:tcW w:type="dxa" w:w="133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0</w:t>
            </w:r>
          </w:p>
        </w:tc>
        <w:tc>
          <w:tcPr>
            <w:tcW w:type="dxa" w:w="113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是</w:t>
            </w:r>
          </w:p>
        </w:tc>
        <w:tc>
          <w:tcPr>
            <w:tcW w:type="dxa" w:w="326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crackle family</w:t>
            </w:r>
          </w:p>
        </w:tc>
      </w:tr>
      <w:tr>
        <w:trPr>
          <w:cantSplit/>
          <w:trHeight w:hRule="auto"/>
        </w:trPr>
        <w:tc>
          <w:tcPr>
            <w:tcW w:type="dxa" w:w="170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Coarse Crackle</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1</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0</w:t>
            </w:r>
          </w:p>
        </w:tc>
        <w:tc>
          <w:tcPr>
            <w:tcW w:type="dxa" w:w="133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0</w:t>
            </w:r>
          </w:p>
        </w:tc>
        <w:tc>
          <w:tcPr>
            <w:tcW w:type="dxa" w:w="113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是</w:t>
            </w:r>
          </w:p>
        </w:tc>
        <w:tc>
          <w:tcPr>
            <w:tcW w:type="dxa" w:w="326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crackle family</w:t>
            </w:r>
          </w:p>
        </w:tc>
      </w:tr>
      <w:tr>
        <w:trPr>
          <w:cantSplit/>
          <w:trHeight w:hRule="auto"/>
        </w:trPr>
        <w:tc>
          <w:tcPr>
            <w:tcW w:type="dxa" w:w="170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Wheeze</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0</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1</w:t>
            </w:r>
          </w:p>
        </w:tc>
        <w:tc>
          <w:tcPr>
            <w:tcW w:type="dxa" w:w="133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0</w:t>
            </w:r>
          </w:p>
        </w:tc>
        <w:tc>
          <w:tcPr>
            <w:tcW w:type="dxa" w:w="113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是</w:t>
            </w:r>
          </w:p>
        </w:tc>
        <w:tc>
          <w:tcPr>
            <w:tcW w:type="dxa" w:w="326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wheeze</w:t>
            </w:r>
          </w:p>
        </w:tc>
      </w:tr>
      <w:tr>
        <w:trPr>
          <w:cantSplit/>
          <w:trHeight w:hRule="auto"/>
        </w:trPr>
        <w:tc>
          <w:tcPr>
            <w:tcW w:type="dxa" w:w="170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Wheeze+Crackle</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1</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1</w:t>
            </w:r>
          </w:p>
        </w:tc>
        <w:tc>
          <w:tcPr>
            <w:tcW w:type="dxa" w:w="133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0</w:t>
            </w:r>
          </w:p>
        </w:tc>
        <w:tc>
          <w:tcPr>
            <w:tcW w:type="dxa" w:w="113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是</w:t>
            </w:r>
          </w:p>
        </w:tc>
        <w:tc>
          <w:tcPr>
            <w:tcW w:type="dxa" w:w="326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co-occurrence</w:t>
            </w:r>
          </w:p>
        </w:tc>
      </w:tr>
      <w:tr>
        <w:trPr>
          <w:cantSplit/>
          <w:trHeight w:hRule="auto"/>
        </w:trPr>
        <w:tc>
          <w:tcPr>
            <w:tcW w:type="dxa" w:w="170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Rhonchi</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unknown*</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unknown*</w:t>
            </w:r>
          </w:p>
        </w:tc>
        <w:tc>
          <w:tcPr>
            <w:tcW w:type="dxa" w:w="133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0</w:t>
            </w:r>
          </w:p>
        </w:tc>
        <w:tc>
          <w:tcPr>
            <w:tcW w:type="dxa" w:w="113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否</w:t>
            </w:r>
          </w:p>
        </w:tc>
        <w:tc>
          <w:tcPr>
            <w:tcW w:type="dxa" w:w="326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明确 abnormal；不应强制进入 flat4</w:t>
            </w:r>
          </w:p>
        </w:tc>
      </w:tr>
      <w:tr>
        <w:trPr>
          <w:cantSplit/>
          <w:trHeight w:hRule="auto"/>
        </w:trPr>
        <w:tc>
          <w:tcPr>
            <w:tcW w:type="dxa" w:w="170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Stridor</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unknown*</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unknown*</w:t>
            </w:r>
          </w:p>
        </w:tc>
        <w:tc>
          <w:tcPr>
            <w:tcW w:type="dxa" w:w="133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0</w:t>
            </w:r>
          </w:p>
        </w:tc>
        <w:tc>
          <w:tcPr>
            <w:tcW w:type="dxa" w:w="113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否</w:t>
            </w:r>
          </w:p>
        </w:tc>
        <w:tc>
          <w:tcPr>
            <w:tcW w:type="dxa" w:w="326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明确 abnormal；不应强制进入 flat4</w:t>
            </w:r>
          </w:p>
        </w:tc>
      </w:tr>
      <w:tr>
        <w:trPr>
          <w:cantSplit/>
          <w:trHeight w:hRule="auto"/>
        </w:trPr>
        <w:tc>
          <w:tcPr>
            <w:tcW w:type="dxa" w:w="170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Poor Quality</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unknown</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unknown</w:t>
            </w:r>
          </w:p>
        </w:tc>
        <w:tc>
          <w:tcPr>
            <w:tcW w:type="dxa" w:w="133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unknown</w:t>
            </w:r>
          </w:p>
        </w:tc>
        <w:tc>
          <w:tcPr>
            <w:tcW w:type="dxa" w:w="113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否</w:t>
            </w:r>
          </w:p>
        </w:tc>
        <w:tc>
          <w:tcPr>
            <w:tcW w:type="dxa" w:w="326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quality class；排除 shared acoustic target</w:t>
            </w:r>
          </w:p>
        </w:tc>
      </w:tr>
    </w:tbl>
    <w:p>
      <w:pPr>
        <w:spacing w:after="20"/>
      </w:pPr>
    </w:p>
    <w:p>
      <w:pPr>
        <w:spacing w:before="0" w:after="100" w:line="331" w:lineRule="auto"/>
        <w:ind w:firstLine="420"/>
        <w:jc w:val="both"/>
        <w:widowControl w:val="1"/>
      </w:pPr>
      <w:r>
        <w:rPr>
          <w:rFonts w:ascii="Noto Serif CJK SC" w:hAnsi="Noto Serif CJK SC" w:eastAsia="Noto Serif CJK SC"/>
          <w:color w:val="111827"/>
          <w:sz w:val="21"/>
        </w:rPr>
        <w:t>带星号的 unknown 可在获得正式 annotation-protocol 证明后收紧为 0，但即使 Rhonchi/Stridor 对 crackle 与 wheeze 均为明确阴性，它们也不能被重建为 normal。更保守的第一阶段做法是：只让 Normal、Fine Crackle、Coarse Crackle、Wheeze 和 W+C 进入 shared joint surface；其余标签继续通过 SPRSound-native head 学习。</w:t>
      </w:r>
    </w:p>
    <w:p>
      <w:pPr>
        <w:pStyle w:val="Heading2"/>
        <w:keepNext/>
      </w:pPr>
      <w:r>
        <w:t>3.4 HF_Lung_V1</w:t>
      </w:r>
    </w:p>
    <w:p>
      <w:pPr>
        <w:spacing w:before="0" w:after="100" w:line="331" w:lineRule="auto"/>
        <w:ind w:firstLine="420"/>
        <w:jc w:val="both"/>
        <w:widowControl w:val="1"/>
      </w:pPr>
      <w:r>
        <w:rPr>
          <w:rFonts w:ascii="Noto Serif CJK SC" w:hAnsi="Noto Serif CJK SC" w:eastAsia="Noto Serif CJK SC"/>
          <w:color w:val="111827"/>
          <w:sz w:val="21"/>
        </w:rPr>
        <w:t>HF_Lung 提供的是可重叠 positive temporal intervals，而不是 closed-world interval classification。官方仓库说明数据包含 9,765 个文件，DAS 标签均为 crackles，同时也明确指出每个文件由单一 annotator 标注、标签并不完美；数据没有 explicit Normal/Negative token。[P6]</w:t>
      </w:r>
    </w:p>
    <w:tbl>
      <w:tblPr>
        <w:tblW w:type="auto" w:w="0"/>
        <w:jc w:val="center"/>
        <w:tblLayout w:type="fixed"/>
        <w:tblLook w:firstColumn="1" w:firstRow="1" w:lastColumn="0" w:lastRow="0" w:noHBand="0" w:noVBand="1" w:val="04A0"/>
      </w:tblPr>
      <w:tblGrid>
        <w:gridCol w:w="9468"/>
      </w:tblGrid>
      <w:tr>
        <w:trPr>
          <w:cantSplit/>
          <w:trHeight w:hRule="auto"/>
        </w:trPr>
        <w:tc>
          <w:tcPr>
            <w:tcW w:type="dxa" w:w="9184"/>
            <w:shd w:fill="FDEDEC"/>
            <w:tcMar>
              <w:top w:w="130" w:type="dxa"/>
              <w:start w:w="180" w:type="dxa"/>
              <w:bottom w:w="130" w:type="dxa"/>
              <w:end w:w="180" w:type="dxa"/>
            </w:tcMar>
            <w:tcBorders>
              <w:top w:val="nil"/>
              <w:bottom w:val="nil"/>
              <w:start w:val="single" w:sz="22" w:color="A93226"/>
              <w:end w:val="nil"/>
            </w:tcBorders>
          </w:tcPr>
          <w:p>
            <w:pPr>
              <w:keepLines/>
              <w:spacing w:after="80"/>
            </w:pPr>
            <w:r>
              <w:rPr>
                <w:rFonts w:ascii="Noto Sans CJK SC" w:hAnsi="Noto Sans CJK SC" w:eastAsia="Noto Sans CJK SC"/>
                <w:b/>
                <w:color w:val="A93226"/>
                <w:sz w:val="22"/>
              </w:rPr>
              <w:t>HF 的安全边界</w:t>
            </w:r>
          </w:p>
          <w:p>
            <w:pPr>
              <w:spacing w:before="0" w:after="0" w:line="300" w:lineRule="auto"/>
              <w:jc w:val="both"/>
              <w:keepLines/>
              <w:widowControl w:val="1"/>
            </w:pPr>
            <w:r>
              <w:rPr>
                <w:rFonts w:ascii="Noto Serif CJK SC" w:hAnsi="Noto Serif CJK SC" w:eastAsia="Noto Serif CJK SC"/>
                <w:color w:val="111827"/>
                <w:sz w:val="20"/>
              </w:rPr>
              <w:t>D interval 可以提供 has_crackle=1，Wheeze interval 可以提供 has_wheeze=1；unannotated gaps、empty annotation files，以及某个 peer label 未出现，均不得在没有 annotation-completeness 证明时自动转化为 negative。HF 不应提供 explicit normal、flat4 target 或 marginal consistency。</w:t>
            </w:r>
          </w:p>
        </w:tc>
      </w:tr>
    </w:tbl>
    <w:p>
      <w:pPr>
        <w:spacing w:after="20"/>
      </w:pPr>
    </w:p>
    <w:p>
      <w:pPr>
        <w:spacing w:before="0" w:after="100" w:line="331" w:lineRule="auto"/>
        <w:ind w:firstLine="420"/>
        <w:jc w:val="both"/>
        <w:widowControl w:val="1"/>
      </w:pPr>
      <w:r>
        <w:rPr>
          <w:rFonts w:ascii="Noto Serif CJK SC" w:hAnsi="Noto Serif CJK SC" w:eastAsia="Noto Serif CJK SC"/>
          <w:color w:val="111827"/>
          <w:sz w:val="21"/>
        </w:rPr>
        <w:t>因此，HF 最安全的第一阶段角色是 positive-only auxiliary supervision。Positive-unlabeled learning 只有在 class prior 与标注选择机制（例如 SCAR/SAR）可以被合理论证时才成立；当前公开材料不足以支持默认采用 PU learning。若加入 HF，必须通过 dataset-balanced updates、per-dataset×attribute loss normalization、HF loss cap、完整标签数据集的 specificity/calibration guardrails，以及 predicted-positive prevalence 检查来防止 all-positive trivial solution。</w:t>
      </w:r>
    </w:p>
    <w:p>
      <w:pPr>
        <w:pStyle w:val="Heading2"/>
        <w:keepNext/>
      </w:pPr>
      <w:r>
        <w:t>3.5 KAUH/Fraiwan v3</w:t>
      </w:r>
    </w:p>
    <w:p>
      <w:pPr>
        <w:spacing w:before="0" w:after="100" w:line="331" w:lineRule="auto"/>
        <w:ind w:firstLine="420"/>
        <w:jc w:val="both"/>
        <w:widowControl w:val="1"/>
      </w:pPr>
      <w:r>
        <w:rPr>
          <w:rFonts w:ascii="Noto Serif CJK SC" w:hAnsi="Noto Serif CJK SC" w:eastAsia="Noto Serif CJK SC"/>
          <w:color w:val="111827"/>
          <w:sz w:val="21"/>
        </w:rPr>
        <w:t>KAUH v3 包含 112 位患者及每位患者的 Bell、Diaphragm、Extended 三种 filter replicas；同一患者的三份录音必须位于同一 fold，以避免 replica leakage。公开数据说明支持 I/E/W/C/N 等字符串，但 Crep、Bronchial、I C B 等组合的共享语义仍需专家与 workbook 协议确认。[P7]</w:t>
      </w:r>
    </w:p>
    <w:p>
      <w:pPr>
        <w:spacing w:before="0" w:after="100" w:line="331" w:lineRule="auto"/>
        <w:ind w:firstLine="420"/>
        <w:jc w:val="both"/>
        <w:widowControl w:val="1"/>
      </w:pPr>
      <w:r>
        <w:rPr>
          <w:rFonts w:ascii="Noto Serif CJK SC" w:hAnsi="Noto Serif CJK SC" w:eastAsia="Noto Serif CJK SC"/>
          <w:color w:val="111827"/>
          <w:sz w:val="21"/>
        </w:rPr>
        <w:t>第一阶段将 KAUH 加入 shared attributes 会同时引入 recording-level existential semantics、极低 patient support、组合字符串歧义和 filter replica 结构，混杂大于信息增量。因此建议 KAUH 只保留 native recording head 与 patient-grouped external diagnostic。即使后续解冻 mapping，也应优先只使用明确 positive presence，不能根据字符串中缺少某字母自动生成 negative。</w:t>
      </w:r>
    </w:p>
    <w:p>
      <w:pPr>
        <w:pStyle w:val="Heading2"/>
        <w:keepNext/>
      </w:pPr>
      <w:r>
        <w:t>3.6 explicit normal 的角色</w:t>
      </w:r>
    </w:p>
    <w:p>
      <w:pPr>
        <w:spacing w:before="0" w:after="100" w:line="331" w:lineRule="auto"/>
        <w:ind w:firstLine="420"/>
        <w:jc w:val="both"/>
        <w:widowControl w:val="1"/>
      </w:pPr>
      <w:r>
        <w:rPr>
          <w:rFonts w:ascii="Noto Serif CJK SC" w:hAnsi="Noto Serif CJK SC" w:eastAsia="Noto Serif CJK SC"/>
          <w:color w:val="111827"/>
          <w:sz w:val="21"/>
        </w:rPr>
        <w:t>“explicit_normal”有必要进入数据合同，但不一定应作为与 crackle/wheeze 并列的共享声学 head。normal 的可观测性高度依赖 annotation protocol，模型可能因此学习“哪个数据集会提供 explicit normal”而非声学正常性。建议将其改名为 normal_certified 或 closed_world_normal，并作为 joint reconstruction 的 eligibility/completeness metadata。</w:t>
      </w:r>
    </w:p>
    <w:tbl>
      <w:tblPr>
        <w:tblW w:type="auto" w:w="0"/>
        <w:jc w:val="center"/>
        <w:tblLayout w:type="fixed"/>
        <w:tblLook w:firstColumn="1" w:firstRow="1" w:lastColumn="0" w:lastRow="0" w:noHBand="0" w:noVBand="1" w:val="04A0"/>
      </w:tblPr>
      <w:tblGrid>
        <w:gridCol w:w="9468"/>
      </w:tblGrid>
      <w:tr>
        <w:trPr>
          <w:trHeight w:hRule="auto"/>
        </w:trPr>
        <w:tc>
          <w:tcPr>
            <w:tcW w:type="dxa" w:w="8787"/>
            <w:shd w:fill="F3F5F7"/>
            <w:tcMar>
              <w:top w:w="150" w:type="dxa"/>
              <w:start w:w="180" w:type="dxa"/>
              <w:bottom w:w="150" w:type="dxa"/>
              <w:end w:w="180" w:type="dxa"/>
            </w:tcMar>
            <w:tcBorders>
              <w:top w:val="single" w:sz="6" w:color="D9E1E8"/>
              <w:bottom w:val="single" w:sz="6" w:color="D9E1E8"/>
              <w:start w:val="single" w:sz="6" w:color="D9E1E8"/>
              <w:end w:val="single" w:sz="6" w:color="D9E1E8"/>
            </w:tcBorders>
          </w:tcPr>
          <w:p>
            <w:pPr>
              <w:spacing w:before="0" w:after="0" w:line="324" w:lineRule="auto"/>
              <w:jc w:val="center"/>
              <w:keepLines/>
              <w:widowControl w:val="1"/>
            </w:pPr>
            <w:r>
              <w:rPr>
                <w:rFonts w:ascii="Cambria Math" w:hAnsi="Cambria Math" w:eastAsia="Cambria Math"/>
                <w:color w:val="17324D"/>
                <w:sz w:val="21"/>
              </w:rPr>
              <w:t>normal  ⇐  normal_certified=1 ∧ label_complete=1 ∧ quality_valid=1</w:t>
            </w:r>
            <w:r>
              <w:br/>
            </w:r>
            <w:r>
              <w:rPr>
                <w:rFonts w:ascii="Cambria Math" w:hAnsi="Cambria Math" w:eastAsia="Cambria Math"/>
                <w:color w:val="17324D"/>
                <w:sz w:val="21"/>
              </w:rPr>
              <w:t xml:space="preserve">          ∧ no_other_abnormal=1 ∧ prediction_unit_compatible=1</w:t>
            </w:r>
            <w:r>
              <w:br/>
            </w:r>
            <w:r>
              <w:rPr>
                <w:rFonts w:ascii="Cambria Math" w:hAnsi="Cambria Math" w:eastAsia="Cambria Math"/>
                <w:color w:val="17324D"/>
                <w:sz w:val="21"/>
              </w:rPr>
              <w:t>(crackle=0, wheeze=0)  ⇏  normal</w:t>
            </w:r>
          </w:p>
        </w:tc>
      </w:tr>
    </w:tbl>
    <w:p>
      <w:pPr>
        <w:spacing w:before="0" w:after="100" w:line="264" w:lineRule="auto"/>
        <w:jc w:val="center"/>
        <w:widowControl w:val="1"/>
      </w:pPr>
      <w:r>
        <w:rPr>
          <w:rFonts w:ascii="Noto Serif CJK SC" w:hAnsi="Noto Serif CJK SC" w:eastAsia="Noto Serif CJK SC"/>
          <w:i/>
          <w:color w:val="64748B"/>
          <w:sz w:val="17"/>
        </w:rPr>
        <w:t>normal 不是两个属性为 0 的默认余类</w:t>
      </w:r>
    </w:p>
    <w:p>
      <w:pPr>
        <w:pStyle w:val="Heading1"/>
        <w:keepNext/>
      </w:pPr>
      <w:r>
        <w:t>4. 项目内部证据的批判性审查</w:t>
      </w:r>
    </w:p>
    <w:p>
      <w:pPr>
        <w:pStyle w:val="Heading2"/>
        <w:keepNext/>
      </w:pPr>
      <w:r>
        <w:t>4.1 ICBHI source classifier 到 SPRSound 的 zero-target exploratory transfer</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rHeight w:hRule="auto"/>
          <w:tblHeader w:val="true"/>
        </w:trPr>
        <w:tc>
          <w:tcPr>
            <w:tcW w:type="dxa" w:w="1701"/>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ICBHI source model</w:t>
            </w:r>
          </w:p>
        </w:tc>
        <w:tc>
          <w:tcPr>
            <w:tcW w:type="dxa" w:w="2154"/>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SPRSound binary AS/Score</w:t>
            </w:r>
          </w:p>
        </w:tc>
        <w:tc>
          <w:tcPr>
            <w:tcW w:type="dxa" w:w="1757"/>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Binary macro F1</w:t>
            </w:r>
          </w:p>
        </w:tc>
        <w:tc>
          <w:tcPr>
            <w:tcW w:type="dxa" w:w="3458"/>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边界</w:t>
            </w:r>
          </w:p>
        </w:tc>
      </w:tr>
      <w:tr>
        <w:trPr>
          <w:cantSplit/>
          <w:trHeight w:hRule="auto"/>
        </w:trPr>
        <w:tc>
          <w:tcPr>
            <w:tcW w:type="dxa" w:w="170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Patch-Mix</w:t>
            </w:r>
          </w:p>
        </w:tc>
        <w:tc>
          <w:tcPr>
            <w:tcW w:type="dxa" w:w="215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59.38</w:t>
            </w:r>
          </w:p>
        </w:tc>
        <w:tc>
          <w:tcPr>
            <w:tcW w:type="dxa" w:w="1757"/>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约 59.46%</w:t>
            </w:r>
          </w:p>
        </w:tc>
        <w:tc>
          <w:tcPr>
            <w:tcW w:type="dxa" w:w="345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source checkpoint 带 test-selection caveat</w:t>
            </w:r>
          </w:p>
        </w:tc>
      </w:tr>
      <w:tr>
        <w:trPr>
          <w:cantSplit/>
          <w:trHeight w:hRule="auto"/>
        </w:trPr>
        <w:tc>
          <w:tcPr>
            <w:tcW w:type="dxa" w:w="170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PAFA</w:t>
            </w:r>
          </w:p>
        </w:tc>
        <w:tc>
          <w:tcPr>
            <w:tcW w:type="dxa" w:w="215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55.82</w:t>
            </w:r>
          </w:p>
        </w:tc>
        <w:tc>
          <w:tcPr>
            <w:tcW w:type="dxa" w:w="1757"/>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约 50.24%</w:t>
            </w:r>
          </w:p>
        </w:tc>
        <w:tc>
          <w:tcPr>
            <w:tcW w:type="dxa" w:w="345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source checkpoint 带 official-test selection caveat</w:t>
            </w:r>
          </w:p>
        </w:tc>
      </w:tr>
      <w:tr>
        <w:trPr>
          <w:cantSplit/>
          <w:trHeight w:hRule="auto"/>
        </w:trPr>
        <w:tc>
          <w:tcPr>
            <w:tcW w:type="dxa" w:w="170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SG-SCL</w:t>
            </w:r>
          </w:p>
        </w:tc>
        <w:tc>
          <w:tcPr>
            <w:tcW w:type="dxa" w:w="215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59.98</w:t>
            </w:r>
          </w:p>
        </w:tc>
        <w:tc>
          <w:tcPr>
            <w:tcW w:type="dxa" w:w="1757"/>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约 57.07%</w:t>
            </w:r>
          </w:p>
        </w:tc>
        <w:tc>
          <w:tcPr>
            <w:tcW w:type="dxa" w:w="345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metadata-aware；非纯 audio-only</w:t>
            </w:r>
          </w:p>
        </w:tc>
      </w:tr>
      <w:tr>
        <w:trPr>
          <w:cantSplit/>
          <w:trHeight w:hRule="auto"/>
        </w:trPr>
        <w:tc>
          <w:tcPr>
            <w:tcW w:type="dxa" w:w="170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All-normal floor</w:t>
            </w:r>
          </w:p>
        </w:tc>
        <w:tc>
          <w:tcPr>
            <w:tcW w:type="dxa" w:w="215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50.00</w:t>
            </w:r>
          </w:p>
        </w:tc>
        <w:tc>
          <w:tcPr>
            <w:tcW w:type="dxa" w:w="1757"/>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约 42.12%</w:t>
            </w:r>
          </w:p>
        </w:tc>
        <w:tc>
          <w:tcPr>
            <w:tcW w:type="dxa" w:w="345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参考下界</w:t>
            </w:r>
          </w:p>
        </w:tc>
      </w:tr>
    </w:tbl>
    <w:p>
      <w:pPr>
        <w:spacing w:after="20"/>
      </w:pPr>
    </w:p>
    <w:p>
      <w:pPr>
        <w:spacing w:before="0" w:after="100" w:line="331" w:lineRule="auto"/>
        <w:ind w:firstLine="420"/>
        <w:jc w:val="both"/>
        <w:widowControl w:val="1"/>
      </w:pPr>
      <w:r>
        <w:rPr>
          <w:rFonts w:ascii="Noto Serif CJK SC" w:hAnsi="Noto Serif CJK SC" w:eastAsia="Noto Serif CJK SC"/>
          <w:color w:val="111827"/>
          <w:sz w:val="21"/>
        </w:rPr>
        <w:t>证据等级：project-reported evidence。[N4] 该实验说明源分类器的决策界面不能直接迁移到 SPRSound，且三种模型保留有限高于 all-normal floor 的信号。它不能被称为 clean source-only generalization，因为 source checkpoints 本身存在 ICBHI test-selection caveat；也不支持 low-shot、shared attributes 或 pathology understanding。</w:t>
      </w:r>
    </w:p>
    <w:p>
      <w:pPr>
        <w:pStyle w:val="Heading2"/>
        <w:keepNext/>
      </w:pPr>
      <w:r>
        <w:t>4.2 Frozen encoder + SPRSound target heads</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rHeight w:hRule="auto"/>
          <w:tblHeader w:val="true"/>
        </w:trPr>
        <w:tc>
          <w:tcPr>
            <w:tcW w:type="dxa" w:w="2324"/>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Frozen encoder</w:t>
            </w:r>
          </w:p>
        </w:tc>
        <w:tc>
          <w:tcPr>
            <w:tcW w:type="dxa" w:w="2154"/>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Official binary Score</w:t>
            </w:r>
          </w:p>
        </w:tc>
        <w:tc>
          <w:tcPr>
            <w:tcW w:type="dxa" w:w="2381"/>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Official seven-class Score</w:t>
            </w:r>
          </w:p>
        </w:tc>
        <w:tc>
          <w:tcPr>
            <w:tcW w:type="dxa" w:w="2211"/>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Narrow-four diagnostic</w:t>
            </w:r>
          </w:p>
        </w:tc>
      </w:tr>
      <w:tr>
        <w:trPr>
          <w:cantSplit/>
          <w:trHeight w:hRule="auto"/>
        </w:trPr>
        <w:tc>
          <w:tcPr>
            <w:tcW w:type="dxa" w:w="232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Patch-Mix AST</w:t>
            </w:r>
          </w:p>
        </w:tc>
        <w:tc>
          <w:tcPr>
            <w:tcW w:type="dxa" w:w="215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87.56</w:t>
            </w:r>
          </w:p>
        </w:tc>
        <w:tc>
          <w:tcPr>
            <w:tcW w:type="dxa" w:w="238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82.37</w:t>
            </w:r>
          </w:p>
        </w:tc>
        <w:tc>
          <w:tcPr>
            <w:tcW w:type="dxa" w:w="221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83.39</w:t>
            </w:r>
          </w:p>
        </w:tc>
      </w:tr>
      <w:tr>
        <w:trPr>
          <w:cantSplit/>
          <w:trHeight w:hRule="auto"/>
        </w:trPr>
        <w:tc>
          <w:tcPr>
            <w:tcW w:type="dxa" w:w="232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PAFA BEATs</w:t>
            </w:r>
          </w:p>
        </w:tc>
        <w:tc>
          <w:tcPr>
            <w:tcW w:type="dxa" w:w="215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84.25</w:t>
            </w:r>
          </w:p>
        </w:tc>
        <w:tc>
          <w:tcPr>
            <w:tcW w:type="dxa" w:w="238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75.77</w:t>
            </w:r>
          </w:p>
        </w:tc>
        <w:tc>
          <w:tcPr>
            <w:tcW w:type="dxa" w:w="221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76.94</w:t>
            </w:r>
          </w:p>
        </w:tc>
      </w:tr>
      <w:tr>
        <w:trPr>
          <w:cantSplit/>
          <w:trHeight w:hRule="auto"/>
        </w:trPr>
        <w:tc>
          <w:tcPr>
            <w:tcW w:type="dxa" w:w="232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SG-SCL AST</w:t>
            </w:r>
          </w:p>
        </w:tc>
        <w:tc>
          <w:tcPr>
            <w:tcW w:type="dxa" w:w="215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90.58</w:t>
            </w:r>
          </w:p>
        </w:tc>
        <w:tc>
          <w:tcPr>
            <w:tcW w:type="dxa" w:w="238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84.41</w:t>
            </w:r>
          </w:p>
        </w:tc>
        <w:tc>
          <w:tcPr>
            <w:tcW w:type="dxa" w:w="221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85.26</w:t>
            </w:r>
          </w:p>
        </w:tc>
      </w:tr>
    </w:tbl>
    <w:p>
      <w:pPr>
        <w:spacing w:after="20"/>
      </w:pPr>
    </w:p>
    <w:p>
      <w:pPr>
        <w:spacing w:before="0" w:after="100" w:line="331" w:lineRule="auto"/>
        <w:ind w:firstLine="420"/>
        <w:jc w:val="both"/>
        <w:widowControl w:val="1"/>
      </w:pPr>
      <w:r>
        <w:rPr>
          <w:rFonts w:ascii="Noto Serif CJK SC" w:hAnsi="Noto Serif CJK SC" w:eastAsia="Noto Serif CJK SC"/>
          <w:color w:val="111827"/>
          <w:sz w:val="21"/>
        </w:rPr>
        <w:t>证据等级：project-reported evidence。[N4] 这些 target heads 使用 SPRSound train labels，并通过 validation-only epoch selection 后评估 inter split。它们支持的最强结论是：冻结表示在完整 target supervision 下具有较高的低容量可分性。它们不证明 zero-shot transfer、source-only DG、跨设备 pathology understanding 或 shared attributes 的有效性。</w:t>
      </w:r>
    </w:p>
    <w:p>
      <w:pPr>
        <w:spacing w:before="0" w:after="100" w:line="331" w:lineRule="auto"/>
        <w:ind w:firstLine="420"/>
        <w:jc w:val="both"/>
        <w:widowControl w:val="1"/>
      </w:pPr>
      <w:r>
        <w:rPr>
          <w:rFonts w:ascii="Noto Serif CJK SC" w:hAnsi="Noto Serif CJK SC" w:eastAsia="Noto Serif CJK SC"/>
          <w:color w:val="111827"/>
          <w:sz w:val="21"/>
        </w:rPr>
        <w:t>更重要的是，Notion 同时报告 seven-class macro F1 约 0.36–0.39、UAR 约 0.28–0.35；inter split 中 Rhonchi 和 Stridor support 为 0，Coarse Crackle 为 3，Wheeze+Crackle 为 1。高 aggregate Score 因而不能作为 long-tail 已解决的证据。[N3][N4]</w:t>
      </w:r>
    </w:p>
    <w:p>
      <w:pPr>
        <w:pStyle w:val="Heading2"/>
        <w:keepNext/>
      </w:pPr>
      <w:r>
        <w:t>4.3 Representation attribution</w:t>
      </w:r>
    </w:p>
    <w:p>
      <w:pPr>
        <w:spacing w:before="0" w:after="100" w:line="331" w:lineRule="auto"/>
        <w:ind w:firstLine="420"/>
        <w:jc w:val="both"/>
        <w:widowControl w:val="1"/>
      </w:pPr>
      <w:r>
        <w:rPr>
          <w:rFonts w:ascii="Noto Serif CJK SC" w:hAnsi="Noto Serif CJK SC" w:eastAsia="Noto Serif CJK SC"/>
          <w:color w:val="111827"/>
          <w:sz w:val="21"/>
        </w:rPr>
        <w:t>Notion 在相同 downstream setup 下比较 PAFA ICBHI-task encoder、AudioSet-only BEATs 与 random control：PAFA 在 ICBHI flat4 和 HF adventitious 上更好，AudioSet-only 在 SPRSound seven-class 上更好，其余任务接近或混合。证据等级：receipt-backed project result；本审查未取得原始 receipt。[N1][N3]</w:t>
      </w:r>
    </w:p>
    <w:p>
      <w:pPr>
        <w:spacing w:before="0" w:after="100" w:line="331" w:lineRule="auto"/>
        <w:ind w:firstLine="420"/>
        <w:jc w:val="both"/>
        <w:widowControl w:val="1"/>
      </w:pPr>
      <w:r>
        <w:rPr>
          <w:rFonts w:ascii="Noto Serif CJK SC" w:hAnsi="Noto Serif CJK SC" w:eastAsia="Noto Serif CJK SC"/>
          <w:color w:val="111827"/>
          <w:sz w:val="21"/>
        </w:rPr>
        <w:t>这一结果直接反驳“呼吸音 task-specific encoder 对所有 respiratory datasets 普遍更优”的简单故事。后续属性实验必须同时包含 clean generic pretrained encoder 与 ICBHI-task encoder，否则观察到的属性增益可能只是 source-task overlap 或 test-selected source checkpoint 的结果。</w:t>
      </w:r>
    </w:p>
    <w:p>
      <w:pPr>
        <w:pStyle w:val="Heading2"/>
        <w:keepNext/>
      </w:pPr>
      <w:r>
        <w:t>4.4 Shared-compatible-head harmonization</w:t>
      </w:r>
    </w:p>
    <w:tbl>
      <w:tblPr>
        <w:tblStyle w:val="TableGrid"/>
        <w:tblW w:type="auto" w:w="0"/>
        <w:jc w:val="center"/>
        <w:tblLayout w:type="fixed"/>
        <w:tblLook w:firstColumn="1" w:firstRow="1" w:lastColumn="0" w:lastRow="0" w:noHBand="0" w:noVBand="1" w:val="04A0"/>
      </w:tblPr>
      <w:tblGrid>
        <w:gridCol w:w="3156"/>
        <w:gridCol w:w="3156"/>
        <w:gridCol w:w="3156"/>
      </w:tblGrid>
      <w:tr>
        <w:trPr>
          <w:trHeight w:hRule="auto"/>
          <w:tblHeader w:val="true"/>
        </w:trPr>
        <w:tc>
          <w:tcPr>
            <w:tcW w:type="dxa" w:w="4422"/>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H1 shared − H2 parameter-matched independent</w:t>
            </w:r>
          </w:p>
        </w:tc>
        <w:tc>
          <w:tcPr>
            <w:tcW w:type="dxa" w:w="1701"/>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差值</w:t>
            </w:r>
          </w:p>
        </w:tc>
        <w:tc>
          <w:tcPr>
            <w:tcW w:type="dxa" w:w="2948"/>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解释</w:t>
            </w:r>
          </w:p>
        </w:tc>
      </w:tr>
      <w:tr>
        <w:trPr>
          <w:cantSplit/>
          <w:trHeight w:hRule="auto"/>
        </w:trPr>
        <w:tc>
          <w:tcPr>
            <w:tcW w:type="dxa" w:w="44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ICBHI macro F1</w:t>
            </w:r>
          </w:p>
        </w:tc>
        <w:tc>
          <w:tcPr>
            <w:tcW w:type="dxa" w:w="170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-0.00010</w:t>
            </w:r>
          </w:p>
        </w:tc>
        <w:tc>
          <w:tcPr>
            <w:tcW w:type="dxa" w:w="294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无 material gain</w:t>
            </w:r>
          </w:p>
        </w:tc>
      </w:tr>
      <w:tr>
        <w:trPr>
          <w:cantSplit/>
          <w:trHeight w:hRule="auto"/>
        </w:trPr>
        <w:tc>
          <w:tcPr>
            <w:tcW w:type="dxa" w:w="44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ICBHI UAR</w:t>
            </w:r>
          </w:p>
        </w:tc>
        <w:tc>
          <w:tcPr>
            <w:tcW w:type="dxa" w:w="170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+0.00009</w:t>
            </w:r>
          </w:p>
        </w:tc>
        <w:tc>
          <w:tcPr>
            <w:tcW w:type="dxa" w:w="294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无 material gain</w:t>
            </w:r>
          </w:p>
        </w:tc>
      </w:tr>
      <w:tr>
        <w:trPr>
          <w:cantSplit/>
          <w:trHeight w:hRule="auto"/>
        </w:trPr>
        <w:tc>
          <w:tcPr>
            <w:tcW w:type="dxa" w:w="44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SPRSound macro F1</w:t>
            </w:r>
          </w:p>
        </w:tc>
        <w:tc>
          <w:tcPr>
            <w:tcW w:type="dxa" w:w="170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-0.00313</w:t>
            </w:r>
          </w:p>
        </w:tc>
        <w:tc>
          <w:tcPr>
            <w:tcW w:type="dxa" w:w="294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轻微负差</w:t>
            </w:r>
          </w:p>
        </w:tc>
      </w:tr>
      <w:tr>
        <w:trPr>
          <w:cantSplit/>
          <w:trHeight w:hRule="auto"/>
        </w:trPr>
        <w:tc>
          <w:tcPr>
            <w:tcW w:type="dxa" w:w="44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SPRSound UAR</w:t>
            </w:r>
          </w:p>
        </w:tc>
        <w:tc>
          <w:tcPr>
            <w:tcW w:type="dxa" w:w="170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+0.00085</w:t>
            </w:r>
          </w:p>
        </w:tc>
        <w:tc>
          <w:tcPr>
            <w:tcW w:type="dxa" w:w="294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无 material gain</w:t>
            </w:r>
          </w:p>
        </w:tc>
      </w:tr>
      <w:tr>
        <w:trPr>
          <w:cantSplit/>
          <w:trHeight w:hRule="auto"/>
        </w:trPr>
        <w:tc>
          <w:tcPr>
            <w:tcW w:type="dxa" w:w="44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Material improvement count</w:t>
            </w:r>
          </w:p>
        </w:tc>
        <w:tc>
          <w:tcPr>
            <w:tcW w:type="dxa" w:w="170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0</w:t>
            </w:r>
          </w:p>
        </w:tc>
        <w:tc>
          <w:tcPr>
            <w:tcW w:type="dxa" w:w="294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项目决策：HOLD/negative</w:t>
            </w:r>
          </w:p>
        </w:tc>
      </w:tr>
    </w:tbl>
    <w:p>
      <w:pPr>
        <w:spacing w:after="20"/>
      </w:pPr>
    </w:p>
    <w:p>
      <w:pPr>
        <w:spacing w:before="0" w:after="100" w:line="331" w:lineRule="auto"/>
        <w:ind w:firstLine="420"/>
        <w:jc w:val="both"/>
        <w:widowControl w:val="1"/>
      </w:pPr>
      <w:r>
        <w:rPr>
          <w:rFonts w:ascii="Noto Serif CJK SC" w:hAnsi="Noto Serif CJK SC" w:eastAsia="Noto Serif CJK SC"/>
          <w:color w:val="111827"/>
          <w:sz w:val="21"/>
        </w:rPr>
        <w:t>证据等级：receipt-backed project result。[N3][N5] H1 与 H2 的 compatible trainable parameters 均为 1,548，且 native heads、schedule、optimizer、split、update budget 与 validation-only selection 被报告为一致。该结果不能外推到 full encoder，但它是新主线最直接的负面证据：仅凭“语义兼容标签共享一个 head”不会自动产生可测量的 harmonization benefit。</w:t>
      </w:r>
    </w:p>
    <w:tbl>
      <w:tblPr>
        <w:tblW w:type="auto" w:w="0"/>
        <w:jc w:val="center"/>
        <w:tblLayout w:type="fixed"/>
        <w:tblLook w:firstColumn="1" w:firstRow="1" w:lastColumn="0" w:lastRow="0" w:noHBand="0" w:noVBand="1" w:val="04A0"/>
      </w:tblPr>
      <w:tblGrid>
        <w:gridCol w:w="9468"/>
      </w:tblGrid>
      <w:tr>
        <w:trPr>
          <w:cantSplit/>
          <w:trHeight w:hRule="auto"/>
        </w:trPr>
        <w:tc>
          <w:tcPr>
            <w:tcW w:type="dxa" w:w="9184"/>
            <w:shd w:fill="FDEDEC"/>
            <w:tcMar>
              <w:top w:w="130" w:type="dxa"/>
              <w:start w:w="180" w:type="dxa"/>
              <w:bottom w:w="130" w:type="dxa"/>
              <w:end w:w="180" w:type="dxa"/>
            </w:tcMar>
            <w:tcBorders>
              <w:top w:val="nil"/>
              <w:bottom w:val="nil"/>
              <w:start w:val="single" w:sz="22" w:color="A93226"/>
              <w:end w:val="nil"/>
            </w:tcBorders>
          </w:tcPr>
          <w:p>
            <w:pPr>
              <w:keepLines/>
              <w:spacing w:after="80"/>
            </w:pPr>
            <w:r>
              <w:rPr>
                <w:rFonts w:ascii="Noto Sans CJK SC" w:hAnsi="Noto Sans CJK SC" w:eastAsia="Noto Sans CJK SC"/>
                <w:b/>
                <w:color w:val="A93226"/>
                <w:sz w:val="22"/>
              </w:rPr>
              <w:t>对新方向的直接要求</w:t>
            </w:r>
          </w:p>
          <w:p>
            <w:pPr>
              <w:spacing w:before="0" w:after="0" w:line="300" w:lineRule="auto"/>
              <w:jc w:val="both"/>
              <w:keepLines/>
              <w:widowControl w:val="1"/>
            </w:pPr>
            <w:r>
              <w:rPr>
                <w:rFonts w:ascii="Noto Serif CJK SC" w:hAnsi="Noto Serif CJK SC" w:eastAsia="Noto Serif CJK SC"/>
                <w:color w:val="111827"/>
                <w:sz w:val="20"/>
              </w:rPr>
              <w:t>新方法必须明确说明它比既有 H1 shared-compatible head 多了什么可识别机制。若答案只是把 compatible classes 改写成 crackle/wheeze attributes，创新性和成功概率均不足。</w:t>
            </w:r>
          </w:p>
        </w:tc>
      </w:tr>
    </w:tbl>
    <w:p>
      <w:pPr>
        <w:spacing w:after="20"/>
      </w:pPr>
    </w:p>
    <w:p>
      <w:pPr>
        <w:pStyle w:val="Heading2"/>
        <w:keepNext/>
      </w:pPr>
      <w:r>
        <w:t>4.5 Support-aware classifier retraining</w:t>
      </w:r>
    </w:p>
    <w:p>
      <w:pPr>
        <w:spacing w:before="0" w:after="100" w:line="331" w:lineRule="auto"/>
        <w:ind w:firstLine="420"/>
        <w:jc w:val="both"/>
        <w:widowControl w:val="1"/>
      </w:pPr>
      <w:r>
        <w:rPr>
          <w:rFonts w:ascii="Noto Serif CJK SC" w:hAnsi="Noto Serif CJK SC" w:eastAsia="Noto Serif CJK SC"/>
          <w:color w:val="111827"/>
          <w:sz w:val="21"/>
        </w:rPr>
        <w:t>Notion 报告 HF adventitious macro F1 提升 0.136、tail recall 提升 0.212，但 SPRSound、HF phase 与 KAUH 回退；SPRSound binary tail recall 上升时 specificity 约下降 0.163。证据等级：receipt-backed project result。[N1][N5]</w:t>
      </w:r>
    </w:p>
    <w:p>
      <w:pPr>
        <w:spacing w:before="0" w:after="100" w:line="331" w:lineRule="auto"/>
        <w:ind w:firstLine="420"/>
        <w:jc w:val="both"/>
        <w:widowControl w:val="1"/>
      </w:pPr>
      <w:r>
        <w:rPr>
          <w:rFonts w:ascii="Noto Serif CJK SC" w:hAnsi="Noto Serif CJK SC" w:eastAsia="Noto Serif CJK SC"/>
          <w:color w:val="111827"/>
          <w:sz w:val="21"/>
        </w:rPr>
        <w:t>合理结论是：class balancing 可以移动 operating point，并对个别任务带来局部 tail gain，但不存在一个全局 rebalancing policy 同时解决所有任务。因此，属性共享与 class balancing 必须在实验中分离；否则 tail recall 增加可能来自 sampler、threshold movement 或 common-class sacrifice，而非共享语义。</w:t>
      </w:r>
    </w:p>
    <w:p>
      <w:pPr>
        <w:pStyle w:val="Heading2"/>
        <w:keepNext/>
      </w:pPr>
      <w:r>
        <w:t>4.6 Dataset/acquisition shortcut diagnostic</w:t>
      </w:r>
    </w:p>
    <w:p>
      <w:pPr>
        <w:spacing w:before="0" w:after="100" w:line="331" w:lineRule="auto"/>
        <w:ind w:firstLine="420"/>
        <w:jc w:val="both"/>
        <w:widowControl w:val="1"/>
      </w:pPr>
      <w:r>
        <w:rPr>
          <w:rFonts w:ascii="Noto Serif CJK SC" w:hAnsi="Noto Serif CJK SC" w:eastAsia="Noto Serif CJK SC"/>
          <w:color w:val="111827"/>
          <w:sz w:val="21"/>
        </w:rPr>
        <w:t>Notion 报告 dataset-ID balanced accuracy 为 0.988–0.995，但 preregistered prediction-error evidence 为 0/2 required votes。证据等级：receipt-backed project result。[N1][N5] 这说明 domain information 高度可访问，但既不证明模型因果依赖 acquisition shortcut，也不证明不存在 shortcut。真正的 shortcut claim 需要干预性或更接近因果识别的设计；BTS-CARD 的 counterfactual/adversarial 框架说明了这一证据门槛。[P9]</w:t>
      </w:r>
    </w:p>
    <w:p>
      <w:pPr>
        <w:pStyle w:val="Heading2"/>
        <w:keepNext/>
      </w:pPr>
      <w:r>
        <w:t>4.7 Event-sensitive pooling</w:t>
      </w:r>
    </w:p>
    <w:p>
      <w:pPr>
        <w:spacing w:before="0" w:after="100" w:line="331" w:lineRule="auto"/>
        <w:ind w:firstLine="420"/>
        <w:jc w:val="both"/>
        <w:widowControl w:val="1"/>
      </w:pPr>
      <w:r>
        <w:rPr>
          <w:rFonts w:ascii="Noto Serif CJK SC" w:hAnsi="Noto Serif CJK SC" w:eastAsia="Noto Serif CJK SC"/>
          <w:color w:val="111827"/>
          <w:sz w:val="21"/>
        </w:rPr>
        <w:t>Notion 报告 learned attention pooling 相对 parameter-matched mean-pooled control，在六个 native tasks 上均未达到预注册 materiality。证据等级：receipt-backed project result。[N1][N5] 它不能证明所有 temporal pooling 无效，但足以说明第一版属性模型不应同时引入新的 pooling architecture；“rare evidence 被 mean pooling 淹没”目前仍是机制假设，而非项目已证实结论。</w:t>
      </w:r>
    </w:p>
    <w:p>
      <w:pPr>
        <w:pStyle w:val="Heading2"/>
        <w:keepNext/>
      </w:pPr>
      <w:r>
        <w:t>4.8 D0–D3 与 general/specific residual</w:t>
      </w:r>
    </w:p>
    <w:p>
      <w:pPr>
        <w:spacing w:before="0" w:after="100" w:line="331" w:lineRule="auto"/>
        <w:ind w:firstLine="420"/>
        <w:jc w:val="both"/>
        <w:widowControl w:val="1"/>
      </w:pPr>
      <w:r>
        <w:rPr>
          <w:rFonts w:ascii="Noto Serif CJK SC" w:hAnsi="Noto Serif CJK SC" w:eastAsia="Noto Serif CJK SC"/>
          <w:color w:val="111827"/>
          <w:sz w:val="21"/>
        </w:rPr>
        <w:t>旧 D0–D3 矩阵使用了后来被拒绝的 HF 130/41 date-proxy grouping，因此只能作为 pre-fix exploratory evidence，不能作为 accepted split conclusion。[N3] 对 general/specific residual，本审查只找到 candidate/HOLD 页面，没有找到已接受、可审计的实验结果；因此不得把“general/specific comparison”写成已完成事实。[N5]</w:t>
      </w:r>
    </w:p>
    <w:p>
      <w:pPr>
        <w:pStyle w:val="Heading2"/>
        <w:keepNext/>
      </w:pPr>
      <w:r>
        <w:t>4.9 内部证据总体结论</w:t>
      </w:r>
    </w:p>
    <w:tbl>
      <w:tblPr>
        <w:tblStyle w:val="TableGrid"/>
        <w:tblW w:type="auto" w:w="0"/>
        <w:jc w:val="center"/>
        <w:tblLayout w:type="fixed"/>
        <w:tblLook w:firstColumn="1" w:firstRow="1" w:lastColumn="0" w:lastRow="0" w:noHBand="0" w:noVBand="1" w:val="04A0"/>
      </w:tblPr>
      <w:tblGrid>
        <w:gridCol w:w="3156"/>
        <w:gridCol w:w="3156"/>
        <w:gridCol w:w="3156"/>
      </w:tblGrid>
      <w:tr>
        <w:trPr>
          <w:trHeight w:hRule="auto"/>
          <w:tblHeader w:val="true"/>
        </w:trPr>
        <w:tc>
          <w:tcPr>
            <w:tcW w:type="dxa" w:w="3005"/>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命题</w:t>
            </w:r>
          </w:p>
        </w:tc>
        <w:tc>
          <w:tcPr>
            <w:tcW w:type="dxa" w:w="1417"/>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当前结论</w:t>
            </w:r>
          </w:p>
        </w:tc>
        <w:tc>
          <w:tcPr>
            <w:tcW w:type="dxa" w:w="4649"/>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依据</w:t>
            </w:r>
          </w:p>
        </w:tc>
      </w:tr>
      <w:tr>
        <w:trPr>
          <w:cantSplit/>
          <w:trHeight w:hRule="auto"/>
        </w:trPr>
        <w:tc>
          <w:tcPr>
            <w:tcW w:type="dxa" w:w="300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可复用表示存在</w:t>
            </w:r>
          </w:p>
        </w:tc>
        <w:tc>
          <w:tcPr>
            <w:tcW w:type="dxa" w:w="1417"/>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有条件支持</w:t>
            </w:r>
          </w:p>
        </w:tc>
        <w:tc>
          <w:tcPr>
            <w:tcW w:type="dxa" w:w="464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完整 target supervision 下线性可分；representation source 具有 task dependency。</w:t>
            </w:r>
          </w:p>
        </w:tc>
      </w:tr>
      <w:tr>
        <w:trPr>
          <w:cantSplit/>
          <w:trHeight w:hRule="auto"/>
        </w:trPr>
        <w:tc>
          <w:tcPr>
            <w:tcW w:type="dxa" w:w="300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source decision layer 可直接迁移</w:t>
            </w:r>
          </w:p>
        </w:tc>
        <w:tc>
          <w:tcPr>
            <w:tcW w:type="dxa" w:w="1417"/>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不支持</w:t>
            </w:r>
          </w:p>
        </w:tc>
        <w:tc>
          <w:tcPr>
            <w:tcW w:type="dxa" w:w="464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zero-target 只略高于 all-normal floor。</w:t>
            </w:r>
          </w:p>
        </w:tc>
      </w:tr>
      <w:tr>
        <w:trPr>
          <w:cantSplit/>
          <w:trHeight w:hRule="auto"/>
        </w:trPr>
        <w:tc>
          <w:tcPr>
            <w:tcW w:type="dxa" w:w="300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简单 shared compatible head 有效</w:t>
            </w:r>
          </w:p>
        </w:tc>
        <w:tc>
          <w:tcPr>
            <w:tcW w:type="dxa" w:w="1417"/>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不支持</w:t>
            </w:r>
          </w:p>
        </w:tc>
        <w:tc>
          <w:tcPr>
            <w:tcW w:type="dxa" w:w="464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parameter-matched material count=0。</w:t>
            </w:r>
          </w:p>
        </w:tc>
      </w:tr>
      <w:tr>
        <w:trPr>
          <w:cantSplit/>
          <w:trHeight w:hRule="auto"/>
        </w:trPr>
        <w:tc>
          <w:tcPr>
            <w:tcW w:type="dxa" w:w="300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全局 balancing 解决 tail</w:t>
            </w:r>
          </w:p>
        </w:tc>
        <w:tc>
          <w:tcPr>
            <w:tcW w:type="dxa" w:w="1417"/>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不支持</w:t>
            </w:r>
          </w:p>
        </w:tc>
        <w:tc>
          <w:tcPr>
            <w:tcW w:type="dxa" w:w="464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局部增益伴随多任务回退。</w:t>
            </w:r>
          </w:p>
        </w:tc>
      </w:tr>
      <w:tr>
        <w:trPr>
          <w:cantSplit/>
          <w:trHeight w:hRule="auto"/>
        </w:trPr>
        <w:tc>
          <w:tcPr>
            <w:tcW w:type="dxa" w:w="300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dataset ID 可分证明 causal shortcut</w:t>
            </w:r>
          </w:p>
        </w:tc>
        <w:tc>
          <w:tcPr>
            <w:tcW w:type="dxa" w:w="1417"/>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不支持</w:t>
            </w:r>
          </w:p>
        </w:tc>
        <w:tc>
          <w:tcPr>
            <w:tcW w:type="dxa" w:w="464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error probe 0/2 votes。</w:t>
            </w:r>
          </w:p>
        </w:tc>
      </w:tr>
      <w:tr>
        <w:trPr>
          <w:cantSplit/>
          <w:trHeight w:hRule="auto"/>
        </w:trPr>
        <w:tc>
          <w:tcPr>
            <w:tcW w:type="dxa" w:w="300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简单 event-sensitive pooling 有效</w:t>
            </w:r>
          </w:p>
        </w:tc>
        <w:tc>
          <w:tcPr>
            <w:tcW w:type="dxa" w:w="1417"/>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不支持</w:t>
            </w:r>
          </w:p>
        </w:tc>
        <w:tc>
          <w:tcPr>
            <w:tcW w:type="dxa" w:w="464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六任务均未过 gate。</w:t>
            </w:r>
          </w:p>
        </w:tc>
      </w:tr>
      <w:tr>
        <w:trPr>
          <w:cantSplit/>
          <w:trHeight w:hRule="auto"/>
        </w:trPr>
        <w:tc>
          <w:tcPr>
            <w:tcW w:type="dxa" w:w="300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共享属性改善 low-shot</w:t>
            </w:r>
          </w:p>
        </w:tc>
        <w:tc>
          <w:tcPr>
            <w:tcW w:type="dxa" w:w="1417"/>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尚未检验</w:t>
            </w:r>
          </w:p>
        </w:tc>
        <w:tc>
          <w:tcPr>
            <w:tcW w:type="dxa" w:w="464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没有 shared-vs-independent group-low-shot identification experiment。</w:t>
            </w:r>
          </w:p>
        </w:tc>
      </w:tr>
    </w:tbl>
    <w:p>
      <w:pPr>
        <w:spacing w:after="20"/>
      </w:pPr>
    </w:p>
    <w:p>
      <w:pPr>
        <w:pStyle w:val="Heading1"/>
        <w:keepNext/>
      </w:pPr>
      <w:r>
        <w:t>5. Prior work 与 novelty 边界</w:t>
      </w:r>
    </w:p>
    <w:p>
      <w:pPr>
        <w:pStyle w:val="Heading2"/>
        <w:keepNext/>
      </w:pPr>
      <w:r>
        <w:t>5.1 呼吸音领域直接相关工作</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rHeight w:hRule="auto"/>
          <w:tblHeader w:val="true"/>
        </w:trPr>
        <w:tc>
          <w:tcPr>
            <w:tcW w:type="dxa" w:w="1531"/>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6"/>
              </w:rPr>
              <w:t>工作</w:t>
            </w:r>
          </w:p>
        </w:tc>
        <w:tc>
          <w:tcPr>
            <w:tcW w:type="dxa" w:w="2041"/>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6"/>
              </w:rPr>
              <w:t>设置</w:t>
            </w:r>
          </w:p>
        </w:tc>
        <w:tc>
          <w:tcPr>
            <w:tcW w:type="dxa" w:w="2721"/>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6"/>
              </w:rPr>
              <w:t>核心标签/机制</w:t>
            </w:r>
          </w:p>
        </w:tc>
        <w:tc>
          <w:tcPr>
            <w:tcW w:type="dxa" w:w="2778"/>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6"/>
              </w:rPr>
              <w:t>对本项目的 novelty 边界</w:t>
            </w:r>
          </w:p>
        </w:tc>
      </w:tr>
      <w:tr>
        <w:trPr>
          <w:cantSplit/>
          <w:trHeight w:hRule="auto"/>
        </w:trPr>
        <w:tc>
          <w:tcPr>
            <w:tcW w:type="dxa" w:w="15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PC-MCL [P1]</w:t>
            </w:r>
          </w:p>
        </w:tc>
        <w:tc>
          <w:tcPr>
            <w:tcW w:type="dxa" w:w="204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ICBHI 内部；multi-cycle</w:t>
            </w:r>
          </w:p>
        </w:tc>
        <w:tc>
          <w:tcPr>
            <w:tcW w:type="dxa" w:w="272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normal/crackle/wheeze multi-label；patient consistency；bias correction</w:t>
            </w:r>
          </w:p>
        </w:tc>
        <w:tc>
          <w:tcPr>
            <w:tcW w:type="dxa" w:w="277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证明属性式表示与 patient-consistent learning 已有先例；不处理多数据集 unknown labels。</w:t>
            </w:r>
          </w:p>
        </w:tc>
      </w:tr>
      <w:tr>
        <w:trPr>
          <w:cantSplit/>
          <w:trHeight w:hRule="auto"/>
        </w:trPr>
        <w:tc>
          <w:tcPr>
            <w:tcW w:type="dxa" w:w="15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Chua &amp; Cheng [P2]</w:t>
            </w:r>
          </w:p>
        </w:tc>
        <w:tc>
          <w:tcPr>
            <w:tcW w:type="dxa" w:w="204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ICBHI；multi-breath</w:t>
            </w:r>
          </w:p>
        </w:tc>
        <w:tc>
          <w:tcPr>
            <w:tcW w:type="dxa" w:w="272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flat4→两个 crackle/wheeze binary labels；multi-head attention</w:t>
            </w:r>
          </w:p>
        </w:tc>
        <w:tc>
          <w:tcPr>
            <w:tcW w:type="dxa" w:w="277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直接排除“首次 flat4 属性分解”；增益模型依赖且有限。</w:t>
            </w:r>
          </w:p>
        </w:tc>
      </w:tr>
      <w:tr>
        <w:trPr>
          <w:cantSplit/>
          <w:trHeight w:hRule="auto"/>
        </w:trPr>
        <w:tc>
          <w:tcPr>
            <w:tcW w:type="dxa" w:w="15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LungMix [P3]</w:t>
            </w:r>
          </w:p>
        </w:tc>
        <w:tc>
          <w:tcPr>
            <w:tcW w:type="dxa" w:w="204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ICBHI、SPRSound、HF；source DG/data mixing</w:t>
            </w:r>
          </w:p>
        </w:tc>
        <w:tc>
          <w:tcPr>
            <w:tcW w:type="dxa" w:w="272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bitwise-OR mixup；统一 flat4；Rhonchi/Stridor→wheeze</w:t>
            </w:r>
          </w:p>
        </w:tc>
        <w:tc>
          <w:tcPr>
            <w:tcW w:type="dxa" w:w="277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最直接多数据集先例；项目差异应是 conservative eligibility 与 native-task preservation。</w:t>
            </w:r>
          </w:p>
        </w:tc>
      </w:tr>
      <w:tr>
        <w:trPr>
          <w:cantSplit/>
          <w:trHeight w:hRule="auto"/>
        </w:trPr>
        <w:tc>
          <w:tcPr>
            <w:tcW w:type="dxa" w:w="15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OPERA [P4]</w:t>
            </w:r>
          </w:p>
        </w:tc>
        <w:tc>
          <w:tcPr>
            <w:tcW w:type="dxa" w:w="204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多个 respiratory datasets/tasks；pretraining + linear probe</w:t>
            </w:r>
          </w:p>
        </w:tc>
        <w:tc>
          <w:tcPr>
            <w:tcW w:type="dxa" w:w="272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统一表示 benchmark，不统一 supervised taxonomy</w:t>
            </w:r>
          </w:p>
        </w:tc>
        <w:tc>
          <w:tcPr>
            <w:tcW w:type="dxa" w:w="277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证明 respiratory foundation pretraining 已存在；应作为 clean encoder control。</w:t>
            </w:r>
          </w:p>
        </w:tc>
      </w:tr>
      <w:tr>
        <w:trPr>
          <w:cantSplit/>
          <w:trHeight w:hRule="auto"/>
        </w:trPr>
        <w:tc>
          <w:tcPr>
            <w:tcW w:type="dxa" w:w="15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SPRSound [P5]</w:t>
            </w:r>
          </w:p>
        </w:tc>
        <w:tc>
          <w:tcPr>
            <w:tcW w:type="dxa" w:w="204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SPRSound + ICBHI data fusion</w:t>
            </w:r>
          </w:p>
        </w:tc>
        <w:tc>
          <w:tcPr>
            <w:tcW w:type="dxa" w:w="272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事件/recording native tasks；兼容标签融合</w:t>
            </w:r>
          </w:p>
        </w:tc>
        <w:tc>
          <w:tcPr>
            <w:tcW w:type="dxa" w:w="277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排除“首次融合 ICBHI 与 SPRSound”。</w:t>
            </w:r>
          </w:p>
        </w:tc>
      </w:tr>
      <w:tr>
        <w:trPr>
          <w:cantSplit/>
          <w:trHeight w:hRule="auto"/>
        </w:trPr>
        <w:tc>
          <w:tcPr>
            <w:tcW w:type="dxa" w:w="15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QLung [P8]</w:t>
            </w:r>
          </w:p>
        </w:tc>
        <w:tc>
          <w:tcPr>
            <w:tcW w:type="dxa" w:w="204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ICBHI IND + SPR OOD</w:t>
            </w:r>
          </w:p>
        </w:tc>
        <w:tc>
          <w:tcPr>
            <w:tcW w:type="dxa" w:w="272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quality adaptive + class-frequency angular margin；激进 label mapping</w:t>
            </w:r>
          </w:p>
        </w:tc>
        <w:tc>
          <w:tcPr>
            <w:tcW w:type="dxa" w:w="277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直接覆盖 quality、imbalance、OOD；项目需报告 classwise tradeoff。</w:t>
            </w:r>
          </w:p>
        </w:tc>
      </w:tr>
      <w:tr>
        <w:trPr>
          <w:cantSplit/>
          <w:trHeight w:hRule="auto"/>
        </w:trPr>
        <w:tc>
          <w:tcPr>
            <w:tcW w:type="dxa" w:w="15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BTS-CARD [P9]</w:t>
            </w:r>
          </w:p>
        </w:tc>
        <w:tc>
          <w:tcPr>
            <w:tcW w:type="dxa" w:w="204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ICBHI IND + SPR OOD</w:t>
            </w:r>
          </w:p>
        </w:tc>
        <w:tc>
          <w:tcPr>
            <w:tcW w:type="dxa" w:w="272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counterfactual/adversarial metadata debiasing</w:t>
            </w:r>
          </w:p>
        </w:tc>
        <w:tc>
          <w:tcPr>
            <w:tcW w:type="dxa" w:w="277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说明 shortcut claim 需要机制性干预，不能由 dataset-ID probe 替代。</w:t>
            </w:r>
          </w:p>
        </w:tc>
      </w:tr>
    </w:tbl>
    <w:p>
      <w:pPr>
        <w:spacing w:after="20"/>
      </w:pPr>
    </w:p>
    <w:p>
      <w:pPr>
        <w:pStyle w:val="Heading2"/>
        <w:keepNext/>
      </w:pPr>
      <w:r>
        <w:t>5.2 Heterogeneous/partial-label 方法先例</w:t>
      </w:r>
    </w:p>
    <w:tbl>
      <w:tblPr>
        <w:tblStyle w:val="TableGrid"/>
        <w:tblW w:type="auto" w:w="0"/>
        <w:jc w:val="center"/>
        <w:tblLayout w:type="fixed"/>
        <w:tblLook w:firstColumn="1" w:firstRow="1" w:lastColumn="0" w:lastRow="0" w:noHBand="0" w:noVBand="1" w:val="04A0"/>
      </w:tblPr>
      <w:tblGrid>
        <w:gridCol w:w="3156"/>
        <w:gridCol w:w="3156"/>
        <w:gridCol w:w="3156"/>
      </w:tblGrid>
      <w:tr>
        <w:trPr>
          <w:trHeight w:hRule="auto"/>
          <w:tblHeader w:val="true"/>
        </w:trPr>
        <w:tc>
          <w:tcPr>
            <w:tcW w:type="dxa" w:w="2041"/>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工作</w:t>
            </w:r>
          </w:p>
        </w:tc>
        <w:tc>
          <w:tcPr>
            <w:tcW w:type="dxa" w:w="2381"/>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问题</w:t>
            </w:r>
          </w:p>
        </w:tc>
        <w:tc>
          <w:tcPr>
            <w:tcW w:type="dxa" w:w="4649"/>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与本项目的关系</w:t>
            </w:r>
          </w:p>
        </w:tc>
      </w:tr>
      <w:tr>
        <w:trPr>
          <w:cantSplit/>
          <w:trHeight w:hRule="auto"/>
        </w:trPr>
        <w:tc>
          <w:tcPr>
            <w:tcW w:type="dxa" w:w="204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Schutera et al. [P10]</w:t>
            </w:r>
          </w:p>
        </w:tc>
        <w:tc>
          <w:tcPr>
            <w:tcW w:type="dxa" w:w="238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heterogeneous sparse semantic labels</w:t>
            </w:r>
          </w:p>
        </w:tc>
        <w:tc>
          <w:tcPr>
            <w:tcW w:type="dxa" w:w="464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class-asymmetric objective + Dice；说明异构标签联合训练已有成熟先例。</w:t>
            </w:r>
          </w:p>
        </w:tc>
      </w:tr>
      <w:tr>
        <w:trPr>
          <w:cantSplit/>
          <w:trHeight w:hRule="auto"/>
        </w:trPr>
        <w:tc>
          <w:tcPr>
            <w:tcW w:type="dxa" w:w="204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Shi et al. [P11]</w:t>
            </w:r>
          </w:p>
        </w:tc>
        <w:tc>
          <w:tcPr>
            <w:tcW w:type="dxa" w:w="238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partially supervised multi-organ segmentation</w:t>
            </w:r>
          </w:p>
        </w:tc>
        <w:tc>
          <w:tcPr>
            <w:tcW w:type="dxa" w:w="464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marginal loss 对与观测粗标签兼容的细粒度状态求概率和；exclusion loss 注入排除关系。</w:t>
            </w:r>
          </w:p>
        </w:tc>
      </w:tr>
      <w:tr>
        <w:trPr>
          <w:cantSplit/>
          <w:trHeight w:hRule="auto"/>
        </w:trPr>
        <w:tc>
          <w:tcPr>
            <w:tcW w:type="dxa" w:w="204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Bevandić et al. [P12]</w:t>
            </w:r>
          </w:p>
        </w:tc>
        <w:tc>
          <w:tcPr>
            <w:tcW w:type="dxa" w:w="238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overlapping labels across domains</w:t>
            </w:r>
          </w:p>
        </w:tc>
        <w:tc>
          <w:tcPr>
            <w:tcW w:type="dxa" w:w="464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使用 probabilistic partial-label likelihood 处理不同 taxonomy 的重叠与不兼容。</w:t>
            </w:r>
          </w:p>
        </w:tc>
      </w:tr>
      <w:tr>
        <w:trPr>
          <w:cantSplit/>
          <w:trHeight w:hRule="auto"/>
        </w:trPr>
        <w:tc>
          <w:tcPr>
            <w:tcW w:type="dxa" w:w="204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Universal taxonomy [P13]</w:t>
            </w:r>
          </w:p>
        </w:tc>
        <w:tc>
          <w:tcPr>
            <w:tcW w:type="dxa" w:w="238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multi-domain semantic segmentation</w:t>
            </w:r>
          </w:p>
        </w:tc>
        <w:tc>
          <w:tcPr>
            <w:tcW w:type="dxa" w:w="464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识别 subset/superset，并把 superclass 作为 partial label。</w:t>
            </w:r>
          </w:p>
        </w:tc>
      </w:tr>
      <w:tr>
        <w:trPr>
          <w:cantSplit/>
          <w:trHeight w:hRule="auto"/>
        </w:trPr>
        <w:tc>
          <w:tcPr>
            <w:tcW w:type="dxa" w:w="204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The Missing Link [P14]</w:t>
            </w:r>
          </w:p>
        </w:tc>
        <w:tc>
          <w:tcPr>
            <w:tcW w:type="dxa" w:w="238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跨数据集标签关系</w:t>
            </w:r>
          </w:p>
        </w:tc>
        <w:tc>
          <w:tcPr>
            <w:tcW w:type="dxa" w:w="464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强调不能只按标签名称推断语义关系；annotation construction 与 protocol 决定兼容性。</w:t>
            </w:r>
          </w:p>
        </w:tc>
      </w:tr>
    </w:tbl>
    <w:p>
      <w:pPr>
        <w:spacing w:after="20"/>
      </w:pPr>
    </w:p>
    <w:p>
      <w:pPr>
        <w:pStyle w:val="Heading2"/>
        <w:keepNext/>
      </w:pPr>
      <w:r>
        <w:t>5.3 必须区分的多数据集设置</w:t>
      </w:r>
    </w:p>
    <w:tbl>
      <w:tblPr>
        <w:tblStyle w:val="TableGrid"/>
        <w:tblW w:type="auto" w:w="0"/>
        <w:jc w:val="center"/>
        <w:tblLayout w:type="fixed"/>
        <w:tblLook w:firstColumn="1" w:firstRow="1" w:lastColumn="0" w:lastRow="0" w:noHBand="0" w:noVBand="1" w:val="04A0"/>
      </w:tblPr>
      <w:tblGrid>
        <w:gridCol w:w="3156"/>
        <w:gridCol w:w="3156"/>
        <w:gridCol w:w="3156"/>
      </w:tblGrid>
      <w:tr>
        <w:trPr>
          <w:trHeight w:hRule="auto"/>
          <w:tblHeader w:val="true"/>
        </w:trPr>
        <w:tc>
          <w:tcPr>
            <w:tcW w:type="dxa" w:w="2324"/>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设置</w:t>
            </w:r>
          </w:p>
        </w:tc>
        <w:tc>
          <w:tcPr>
            <w:tcW w:type="dxa" w:w="3515"/>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定义</w:t>
            </w:r>
          </w:p>
        </w:tc>
        <w:tc>
          <w:tcPr>
            <w:tcW w:type="dxa" w:w="3231"/>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本项目中的边界</w:t>
            </w:r>
          </w:p>
        </w:tc>
      </w:tr>
      <w:tr>
        <w:trPr>
          <w:cantSplit/>
          <w:trHeight w:hRule="auto"/>
        </w:trPr>
        <w:tc>
          <w:tcPr>
            <w:tcW w:type="dxa" w:w="232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多数据集各自独立训练</w:t>
            </w:r>
          </w:p>
        </w:tc>
        <w:tc>
          <w:tcPr>
            <w:tcW w:type="dxa" w:w="351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同一论文在多个数据集分别训练/评估</w:t>
            </w:r>
          </w:p>
        </w:tc>
        <w:tc>
          <w:tcPr>
            <w:tcW w:type="dxa" w:w="32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不能称 joint multi-dataset learning</w:t>
            </w:r>
          </w:p>
        </w:tc>
      </w:tr>
      <w:tr>
        <w:trPr>
          <w:cantSplit/>
          <w:trHeight w:hRule="auto"/>
        </w:trPr>
        <w:tc>
          <w:tcPr>
            <w:tcW w:type="dxa" w:w="232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Pooled training</w:t>
            </w:r>
          </w:p>
        </w:tc>
        <w:tc>
          <w:tcPr>
            <w:tcW w:type="dxa" w:w="351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把多个数据集样本放入同一优化过程</w:t>
            </w:r>
          </w:p>
        </w:tc>
        <w:tc>
          <w:tcPr>
            <w:tcW w:type="dxa" w:w="32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需说明 sampling、taxonomy mapping 与 native heads</w:t>
            </w:r>
          </w:p>
        </w:tc>
      </w:tr>
      <w:tr>
        <w:trPr>
          <w:cantSplit/>
          <w:trHeight w:hRule="auto"/>
        </w:trPr>
        <w:tc>
          <w:tcPr>
            <w:tcW w:type="dxa" w:w="232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Source-only domain generalization</w:t>
            </w:r>
          </w:p>
        </w:tc>
        <w:tc>
          <w:tcPr>
            <w:tcW w:type="dxa" w:w="351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训练中不使用 target labels；target 只作最终评估</w:t>
            </w:r>
          </w:p>
        </w:tc>
        <w:tc>
          <w:tcPr>
            <w:tcW w:type="dxa" w:w="32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不能用 target test 调超参数或选模型</w:t>
            </w:r>
          </w:p>
        </w:tc>
      </w:tr>
      <w:tr>
        <w:trPr>
          <w:cantSplit/>
          <w:trHeight w:hRule="auto"/>
        </w:trPr>
        <w:tc>
          <w:tcPr>
            <w:tcW w:type="dxa" w:w="232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Target-supervised adaptation</w:t>
            </w:r>
          </w:p>
        </w:tc>
        <w:tc>
          <w:tcPr>
            <w:tcW w:type="dxa" w:w="351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使用 target train labels 训练 head/adapter/encoder</w:t>
            </w:r>
          </w:p>
        </w:tc>
        <w:tc>
          <w:tcPr>
            <w:tcW w:type="dxa" w:w="32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本项目 frozen target-head 属于此类</w:t>
            </w:r>
          </w:p>
        </w:tc>
      </w:tr>
      <w:tr>
        <w:trPr>
          <w:cantSplit/>
          <w:trHeight w:hRule="auto"/>
        </w:trPr>
        <w:tc>
          <w:tcPr>
            <w:tcW w:type="dxa" w:w="232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Shared-label training</w:t>
            </w:r>
          </w:p>
        </w:tc>
        <w:tc>
          <w:tcPr>
            <w:tcW w:type="dxa" w:w="351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多个数据集对同一个标签提供监督</w:t>
            </w:r>
          </w:p>
        </w:tc>
        <w:tc>
          <w:tcPr>
            <w:tcW w:type="dxa" w:w="32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需证明语义与观察机制兼容</w:t>
            </w:r>
          </w:p>
        </w:tc>
      </w:tr>
      <w:tr>
        <w:trPr>
          <w:cantSplit/>
          <w:trHeight w:hRule="auto"/>
        </w:trPr>
        <w:tc>
          <w:tcPr>
            <w:tcW w:type="dxa" w:w="232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Partial/unknown-label learning</w:t>
            </w:r>
          </w:p>
        </w:tc>
        <w:tc>
          <w:tcPr>
            <w:tcW w:type="dxa" w:w="351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观测只排除或允许部分 latent states</w:t>
            </w:r>
          </w:p>
        </w:tc>
        <w:tc>
          <w:tcPr>
            <w:tcW w:type="dxa" w:w="32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需要 observation model，而非 unknown→negative</w:t>
            </w:r>
          </w:p>
        </w:tc>
      </w:tr>
      <w:tr>
        <w:trPr>
          <w:cantSplit/>
          <w:trHeight w:hRule="auto"/>
        </w:trPr>
        <w:tc>
          <w:tcPr>
            <w:tcW w:type="dxa" w:w="232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Attribute modeling</w:t>
            </w:r>
          </w:p>
        </w:tc>
        <w:tc>
          <w:tcPr>
            <w:tcW w:type="dxa" w:w="351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把 flat class 分解成 atomic/overlapping concepts</w:t>
            </w:r>
          </w:p>
        </w:tc>
        <w:tc>
          <w:tcPr>
            <w:tcW w:type="dxa" w:w="32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已有呼吸音先例；本身不是 novelty</w:t>
            </w:r>
          </w:p>
        </w:tc>
      </w:tr>
      <w:tr>
        <w:trPr>
          <w:cantSplit/>
          <w:trHeight w:hRule="auto"/>
        </w:trPr>
        <w:tc>
          <w:tcPr>
            <w:tcW w:type="dxa" w:w="232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Flat-class reconstruction</w:t>
            </w:r>
          </w:p>
        </w:tc>
        <w:tc>
          <w:tcPr>
            <w:tcW w:type="dxa" w:w="351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由 attributes 构成 joint class</w:t>
            </w:r>
          </w:p>
        </w:tc>
        <w:tc>
          <w:tcPr>
            <w:tcW w:type="dxa" w:w="32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已有 label powerset/multi-label 先例；需条件化 completeness</w:t>
            </w:r>
          </w:p>
        </w:tc>
      </w:tr>
    </w:tbl>
    <w:p>
      <w:pPr>
        <w:spacing w:after="20"/>
      </w:pPr>
    </w:p>
    <w:p>
      <w:pPr>
        <w:pStyle w:val="Heading2"/>
        <w:keepNext/>
      </w:pPr>
      <w:r>
        <w:t>5.4 Novelty 风险判断</w:t>
      </w:r>
    </w:p>
    <w:tbl>
      <w:tblPr>
        <w:tblW w:type="auto" w:w="0"/>
        <w:jc w:val="center"/>
        <w:tblLayout w:type="fixed"/>
        <w:tblLook w:firstColumn="1" w:firstRow="1" w:lastColumn="0" w:lastRow="0" w:noHBand="0" w:noVBand="1" w:val="04A0"/>
      </w:tblPr>
      <w:tblGrid>
        <w:gridCol w:w="9468"/>
      </w:tblGrid>
      <w:tr>
        <w:trPr>
          <w:cantSplit/>
          <w:trHeight w:hRule="auto"/>
        </w:trPr>
        <w:tc>
          <w:tcPr>
            <w:tcW w:type="dxa" w:w="9184"/>
            <w:shd w:fill="FDEDEC"/>
            <w:tcMar>
              <w:top w:w="130" w:type="dxa"/>
              <w:start w:w="180" w:type="dxa"/>
              <w:bottom w:w="130" w:type="dxa"/>
              <w:end w:w="180" w:type="dxa"/>
            </w:tcMar>
            <w:tcBorders>
              <w:top w:val="nil"/>
              <w:bottom w:val="nil"/>
              <w:start w:val="single" w:sz="22" w:color="A93226"/>
              <w:end w:val="nil"/>
            </w:tcBorders>
          </w:tcPr>
          <w:p>
            <w:pPr>
              <w:keepLines/>
              <w:spacing w:after="80"/>
            </w:pPr>
            <w:r>
              <w:rPr>
                <w:rFonts w:ascii="Noto Sans CJK SC" w:hAnsi="Noto Sans CJK SC" w:eastAsia="Noto Sans CJK SC"/>
                <w:b/>
                <w:color w:val="A93226"/>
                <w:sz w:val="22"/>
              </w:rPr>
              <w:t>高风险 reviewer 解释</w:t>
            </w:r>
          </w:p>
          <w:p>
            <w:pPr>
              <w:spacing w:before="0" w:after="0" w:line="300" w:lineRule="auto"/>
              <w:jc w:val="both"/>
              <w:keepLines/>
              <w:widowControl w:val="1"/>
            </w:pPr>
            <w:r>
              <w:rPr>
                <w:rFonts w:ascii="Noto Serif CJK SC" w:hAnsi="Noto Serif CJK SC" w:eastAsia="Noto Serif CJK SC"/>
                <w:color w:val="111827"/>
                <w:sz w:val="20"/>
              </w:rPr>
              <w:t>“将 ICBHI flat4 拆成 crackle/wheeze，给多个数据集加 masked BCE 属性头，再用 joint head 做 marginal consistency”很可能被视为：普通 multi-task label decomposition、已有 partial-label/marginal objective 的呼吸音应用，或更谨慎的 label remapping。</w:t>
            </w:r>
          </w:p>
        </w:tc>
      </w:tr>
    </w:tbl>
    <w:p>
      <w:pPr>
        <w:spacing w:after="20"/>
      </w:pPr>
    </w:p>
    <w:p>
      <w:pPr>
        <w:spacing w:before="0" w:after="100" w:line="331" w:lineRule="auto"/>
        <w:ind w:firstLine="420"/>
        <w:jc w:val="both"/>
        <w:widowControl w:val="1"/>
      </w:pPr>
      <w:r>
        <w:rPr>
          <w:rFonts w:ascii="Noto Serif CJK SC" w:hAnsi="Noto Serif CJK SC" w:eastAsia="Noto Serif CJK SC"/>
          <w:color w:val="111827"/>
          <w:sz w:val="21"/>
        </w:rPr>
        <w:t>方法贡献要成立，核心必须从“共享标签”升级为：对不同 prediction unit 和 annotation completeness 建立显式 observation/eligibility model；使用 set-valued compatible-state likelihood 或等价 coherent objective；并通过 shared-vs-dataset-specific、label-exposure-matched 的 group-low-shot 实验识别跨数据集共享本身的增量价值。</w:t>
      </w:r>
    </w:p>
    <w:p>
      <w:pPr>
        <w:pStyle w:val="Heading1"/>
        <w:keepNext/>
      </w:pPr>
      <w:r>
        <w:t>6. 十二个核心科学问题的独立回答</w:t>
      </w:r>
    </w:p>
    <w:p>
      <w:pPr>
        <w:pStyle w:val="Heading2"/>
        <w:keepNext/>
      </w:pPr>
      <w:r>
        <w:t>6.1 这个方法真正解决哪个问题？</w:t>
      </w:r>
    </w:p>
    <w:p>
      <w:pPr>
        <w:spacing w:before="0" w:after="100" w:line="331" w:lineRule="auto"/>
        <w:ind w:firstLine="420"/>
        <w:jc w:val="both"/>
        <w:widowControl w:val="1"/>
      </w:pPr>
      <w:r>
        <w:rPr>
          <w:rFonts w:ascii="Noto Serif CJK SC" w:hAnsi="Noto Serif CJK SC" w:eastAsia="Noto Serif CJK SC"/>
          <w:color w:val="111827"/>
          <w:sz w:val="21"/>
        </w:rPr>
        <w:t>最准确的定位是 heterogeneous taxonomy、incomplete/non-closed-world labels 与 target-supervised group-low-shot adaptation 的交集。它只有在 source-only/leave-one-dataset-out 设计下才能声称 cross-dataset generalization；只有 rare-class 与 common-class guardrail 同时改善时，才能声称对 class imbalance 有实质贡献。</w:t>
      </w:r>
    </w:p>
    <w:p>
      <w:pPr>
        <w:pStyle w:val="Heading2"/>
        <w:keepNext/>
      </w:pPr>
      <w:r>
        <w:t>6.2 “共享属性帮助跨数据集低样本类别”是否有足够 motivation？</w:t>
      </w:r>
    </w:p>
    <w:p>
      <w:pPr>
        <w:spacing w:before="0" w:after="100" w:line="331" w:lineRule="auto"/>
        <w:ind w:firstLine="420"/>
        <w:jc w:val="both"/>
        <w:widowControl w:val="1"/>
      </w:pPr>
      <w:r>
        <w:rPr>
          <w:rFonts w:ascii="Noto Serif CJK SC" w:hAnsi="Noto Serif CJK SC" w:eastAsia="Noto Serif CJK SC"/>
          <w:color w:val="111827"/>
          <w:sz w:val="21"/>
        </w:rPr>
        <w:t>有足够 motivation 进入小规模证伪 gate，但不足以直接启动完整四数据集训练。支持动机的是 ICBHI/SPR 的语义交集与极低 rare support；削弱动机的是 shared-compatible-head 已为负、representation 优势依赖任务、target-head 使用完整 target labels，以及 dataset identity 高度可访问。</w:t>
      </w:r>
    </w:p>
    <w:p>
      <w:pPr>
        <w:pStyle w:val="Heading2"/>
        <w:keepNext/>
      </w:pPr>
      <w:r>
        <w:t>6.3 Frozen target-head 结果支持什么？</w:t>
      </w:r>
    </w:p>
    <w:p>
      <w:pPr>
        <w:spacing w:before="0" w:after="100" w:line="331" w:lineRule="auto"/>
        <w:ind w:firstLine="420"/>
        <w:jc w:val="both"/>
        <w:widowControl w:val="1"/>
      </w:pPr>
      <w:r>
        <w:rPr>
          <w:rFonts w:ascii="Noto Serif CJK SC" w:hAnsi="Noto Serif CJK SC" w:eastAsia="Noto Serif CJK SC"/>
          <w:color w:val="111827"/>
          <w:sz w:val="21"/>
        </w:rPr>
        <w:t>只支持 target-supervised linear separability of frozen representations。它没有操纵 shared attributes，没有 low-shot 条件，也没有 shared-vs-independent control，因而不能支持“共享属性改善低样本理解”。“理解”本身也不是可由当前分类实验直接操作化的变量。</w:t>
      </w:r>
    </w:p>
    <w:p>
      <w:pPr>
        <w:pStyle w:val="Heading2"/>
        <w:keepNext/>
      </w:pPr>
      <w:r>
        <w:t>6.4 从 attributes 重建 flat4 与普通 multi-task learning 有何机制差异？</w:t>
      </w:r>
    </w:p>
    <w:p>
      <w:pPr>
        <w:spacing w:before="0" w:after="100" w:line="331" w:lineRule="auto"/>
        <w:ind w:firstLine="420"/>
        <w:jc w:val="both"/>
        <w:widowControl w:val="1"/>
      </w:pPr>
      <w:r>
        <w:rPr>
          <w:rFonts w:ascii="Noto Serif CJK SC" w:hAnsi="Noto Serif CJK SC" w:eastAsia="Noto Serif CJK SC"/>
          <w:color w:val="111827"/>
          <w:sz w:val="21"/>
        </w:rPr>
        <w:t>按当前设计差异很小：两个 sigmoid heads、一个 softmax head、masked BCE 与边缘一致性仍属于常规 MTL。实质差异需要来自 latent-state observation model：native label 只限定一个兼容状态集合，而非先被强制映射为唯一 flat4 target。</w:t>
      </w:r>
    </w:p>
    <w:p>
      <w:pPr>
        <w:pStyle w:val="Heading2"/>
        <w:keepNext/>
      </w:pPr>
      <w:r>
        <w:t>6.5 explicit normal 是否必要？</w:t>
      </w:r>
    </w:p>
    <w:p>
      <w:pPr>
        <w:spacing w:before="0" w:after="100" w:line="331" w:lineRule="auto"/>
        <w:ind w:firstLine="420"/>
        <w:jc w:val="both"/>
        <w:widowControl w:val="1"/>
      </w:pPr>
      <w:r>
        <w:rPr>
          <w:rFonts w:ascii="Noto Serif CJK SC" w:hAnsi="Noto Serif CJK SC" w:eastAsia="Noto Serif CJK SC"/>
          <w:color w:val="111827"/>
          <w:sz w:val="21"/>
        </w:rPr>
        <w:t>作为 eligibility/completeness metadata 必要；作为共享声学预测头未必必要。建议改名 normal_certified/closed_world_normal，并只用于判定 joint target 是否可生成。否则它可能主要编码 annotation protocol 与 dataset identity。</w:t>
      </w:r>
    </w:p>
    <w:p>
      <w:pPr>
        <w:pStyle w:val="Heading2"/>
        <w:keepNext/>
      </w:pPr>
      <w:r>
        <w:t>6.6 如何防止 (0,0) 被误解释为 normal？</w:t>
      </w:r>
    </w:p>
    <w:p>
      <w:pPr>
        <w:spacing w:before="0" w:after="100" w:line="331" w:lineRule="auto"/>
        <w:ind w:firstLine="420"/>
        <w:jc w:val="both"/>
        <w:widowControl w:val="1"/>
      </w:pPr>
      <w:r>
        <w:rPr>
          <w:rFonts w:ascii="Noto Serif CJK SC" w:hAnsi="Noto Serif CJK SC" w:eastAsia="Noto Serif CJK SC"/>
          <w:color w:val="111827"/>
          <w:sz w:val="21"/>
        </w:rPr>
        <w:t>normal 必须额外满足 normal-certified、label-complete、quality-valid、无其他 abnormal native label 与 unit-compatible。Rhonchi、Stridor、Bronchial、Poor Quality 和 unannotated gaps 都应阻止 normal reconstruction；模型还需要容纳 outside-flat4/other-abnormal 的可能性。</w:t>
      </w:r>
    </w:p>
    <w:p>
      <w:pPr>
        <w:pStyle w:val="Heading2"/>
        <w:keepNext/>
      </w:pPr>
      <w:r>
        <w:t>6.7 Marginal consistency 应作用于哪些样本？</w:t>
      </w:r>
    </w:p>
    <w:p>
      <w:pPr>
        <w:spacing w:before="0" w:after="100" w:line="331" w:lineRule="auto"/>
        <w:ind w:firstLine="420"/>
        <w:jc w:val="both"/>
        <w:widowControl w:val="1"/>
      </w:pPr>
      <w:r>
        <w:rPr>
          <w:rFonts w:ascii="Noto Serif CJK SC" w:hAnsi="Noto Serif CJK SC" w:eastAsia="Noto Serif CJK SC"/>
          <w:color w:val="111827"/>
          <w:sz w:val="21"/>
        </w:rPr>
        <w:t>ICBHI 的完整 cycles；SPRSound 中 Normal、Fine/Coarse Crackle、Wheeze、W+C 且 quality-valid 的 events。不得用于 SPR Rhonchi、Stridor、Poor Quality、recording-level labels，也不得用于 HF 与第一阶段 KAUH。</w:t>
      </w:r>
    </w:p>
    <w:p>
      <w:pPr>
        <w:pStyle w:val="Heading2"/>
        <w:keepNext/>
      </w:pPr>
      <w:r>
        <w:t>6.8 HF_Lung 能否参与 shared attribute training？</w:t>
      </w:r>
    </w:p>
    <w:p>
      <w:pPr>
        <w:spacing w:before="0" w:after="100" w:line="331" w:lineRule="auto"/>
        <w:ind w:firstLine="420"/>
        <w:jc w:val="both"/>
        <w:widowControl w:val="1"/>
      </w:pPr>
      <w:r>
        <w:rPr>
          <w:rFonts w:ascii="Noto Serif CJK SC" w:hAnsi="Noto Serif CJK SC" w:eastAsia="Noto Serif CJK SC"/>
          <w:color w:val="111827"/>
          <w:sz w:val="21"/>
        </w:rPr>
        <w:t>可以，但第一阶段只建议 positive-only auxiliary：D→crackle-positive，Wheeze→wheeze-positive。不提供 normal、negative、flat4 或 consistency。PU learning 只有在 class prior 与标注选择假设可辩护时才应采用；不得默认。</w:t>
      </w:r>
    </w:p>
    <w:p>
      <w:pPr>
        <w:pStyle w:val="Heading2"/>
        <w:keepNext/>
      </w:pPr>
      <w:r>
        <w:t>6.9 KAUH 是否适合第一阶段？</w:t>
      </w:r>
    </w:p>
    <w:p>
      <w:pPr>
        <w:spacing w:before="0" w:after="100" w:line="331" w:lineRule="auto"/>
        <w:ind w:firstLine="420"/>
        <w:jc w:val="both"/>
        <w:widowControl w:val="1"/>
      </w:pPr>
      <w:r>
        <w:rPr>
          <w:rFonts w:ascii="Noto Serif CJK SC" w:hAnsi="Noto Serif CJK SC" w:eastAsia="Noto Serif CJK SC"/>
          <w:color w:val="111827"/>
          <w:sz w:val="21"/>
        </w:rPr>
        <w:t>不适合。recording-level semantics、B/D/E replicas、极低 patient support 与 unresolved raw strings 会引入过多混杂。第一阶段只做 native patient-grouped diagnostic。</w:t>
      </w:r>
    </w:p>
    <w:p>
      <w:pPr>
        <w:pStyle w:val="Heading2"/>
        <w:keepNext/>
      </w:pPr>
      <w:r>
        <w:t>6.10 设计能否真正改善 low-shot/tail learning？</w:t>
      </w:r>
    </w:p>
    <w:p>
      <w:pPr>
        <w:spacing w:before="0" w:after="100" w:line="331" w:lineRule="auto"/>
        <w:ind w:firstLine="420"/>
        <w:jc w:val="both"/>
        <w:widowControl w:val="1"/>
      </w:pPr>
      <w:r>
        <w:rPr>
          <w:rFonts w:ascii="Noto Serif CJK SC" w:hAnsi="Noto Serif CJK SC" w:eastAsia="Noto Serif CJK SC"/>
          <w:color w:val="111827"/>
          <w:sz w:val="21"/>
        </w:rPr>
        <w:t>未知。即使性能提升，也可能只来自更多标签、更多 updates、source acquisition fingerprints 或 regularization。只有 shared attributes 相对 label-exposure-matched independent attributes 仍有增益，才能归因于共享语义。</w:t>
      </w:r>
    </w:p>
    <w:p>
      <w:pPr>
        <w:pStyle w:val="Heading2"/>
        <w:keepNext/>
      </w:pPr>
      <w:r>
        <w:t>6.11 Reviewer 是否会把它视为简单 remapping/MTL？</w:t>
      </w:r>
    </w:p>
    <w:p>
      <w:pPr>
        <w:spacing w:before="0" w:after="100" w:line="331" w:lineRule="auto"/>
        <w:ind w:firstLine="420"/>
        <w:jc w:val="both"/>
        <w:widowControl w:val="1"/>
      </w:pPr>
      <w:r>
        <w:rPr>
          <w:rFonts w:ascii="Noto Serif CJK SC" w:hAnsi="Noto Serif CJK SC" w:eastAsia="Noto Serif CJK SC"/>
          <w:color w:val="111827"/>
          <w:sz w:val="21"/>
        </w:rPr>
        <w:t>当前版本风险很高。flat4 属性分解、多数据集融合、source DG、masked partial labels、marginal/exclusion loss 与 ontology hierarchy 均有先例。</w:t>
      </w:r>
    </w:p>
    <w:p>
      <w:pPr>
        <w:pStyle w:val="Heading2"/>
        <w:keepNext/>
      </w:pPr>
      <w:r>
        <w:t>6.12 为形成论文贡献，方法上必须增加什么？</w:t>
      </w:r>
    </w:p>
    <w:p>
      <w:pPr>
        <w:spacing w:before="0" w:after="100" w:line="331" w:lineRule="auto"/>
        <w:ind w:firstLine="420"/>
        <w:jc w:val="both"/>
        <w:widowControl w:val="1"/>
      </w:pPr>
      <w:r>
        <w:rPr>
          <w:rFonts w:ascii="Noto Serif CJK SC" w:hAnsi="Noto Serif CJK SC" w:eastAsia="Noto Serif CJK SC"/>
          <w:color w:val="111827"/>
          <w:sz w:val="21"/>
        </w:rPr>
        <w:t>至少需要：formal eligibility/completeness contract；prediction-unit-aware observation model；set-valued marginal likelihood 或等价 coherent partial-label objective；shared-vs-independent、group-low-shot identification experiment；mapping sensitivity 与 native-task guardrails。</w:t>
      </w:r>
    </w:p>
    <w:p>
      <w:pPr>
        <w:pStyle w:val="Heading1"/>
        <w:keepNext/>
      </w:pPr>
      <w:r>
        <w:t>7. 方法贡献成立所需的最低机制</w:t>
      </w:r>
    </w:p>
    <w:p>
      <w:pPr>
        <w:pStyle w:val="Heading2"/>
        <w:keepNext/>
      </w:pPr>
      <w:r>
        <w:t>7.1 为什么当前形式仍接近普通 MTL</w:t>
      </w:r>
    </w:p>
    <w:p>
      <w:pPr>
        <w:spacing w:before="0" w:after="100" w:line="331" w:lineRule="auto"/>
        <w:ind w:firstLine="420"/>
        <w:jc w:val="both"/>
        <w:widowControl w:val="1"/>
      </w:pPr>
      <w:r>
        <w:rPr>
          <w:rFonts w:ascii="Noto Serif CJK SC" w:hAnsi="Noto Serif CJK SC" w:eastAsia="Noto Serif CJK SC"/>
          <w:color w:val="111827"/>
          <w:sz w:val="21"/>
        </w:rPr>
        <w:t>候选模型包含 shared encoder、native heads、crackle/wheeze heads、ICBHI flat4 joint head 和 marginal consistency。若 native labels 先被手工映射成确定的 0/1，再分别使用 BCE 与 CE，模型并没有显式表示“观测标签只排除部分潜在状态”这一关键问题。因此，方法创新不能仅来自 head 数量或 loss 加权。</w:t>
      </w:r>
    </w:p>
    <w:p>
      <w:pPr>
        <w:pStyle w:val="Heading2"/>
        <w:keepNext/>
      </w:pPr>
      <w:r>
        <w:t>7.2 建议的 observation-model 形式</w:t>
      </w:r>
    </w:p>
    <w:p>
      <w:pPr>
        <w:spacing w:before="0" w:after="100" w:line="331" w:lineRule="auto"/>
        <w:ind w:firstLine="420"/>
        <w:jc w:val="both"/>
        <w:widowControl w:val="1"/>
      </w:pPr>
      <w:r>
        <w:rPr>
          <w:rFonts w:ascii="Noto Serif CJK SC" w:hAnsi="Noto Serif CJK SC" w:eastAsia="Noto Serif CJK SC"/>
          <w:color w:val="111827"/>
          <w:sz w:val="21"/>
        </w:rPr>
        <w:t>可将潜在 compatible state 记为 z，将数据集 d 的 native label y_d 映射为兼容状态集合 C_d(y_d)。完整标签对应单元素集合，partial label 对应多个可能状态，unknown 则不施加该约束。审查层面建议采用以下形式作为方法必要条件，而不是完整实现处方：</w:t>
      </w:r>
    </w:p>
    <w:tbl>
      <w:tblPr>
        <w:tblW w:type="auto" w:w="0"/>
        <w:jc w:val="center"/>
        <w:tblLayout w:type="fixed"/>
        <w:tblLook w:firstColumn="1" w:firstRow="1" w:lastColumn="0" w:lastRow="0" w:noHBand="0" w:noVBand="1" w:val="04A0"/>
      </w:tblPr>
      <w:tblGrid>
        <w:gridCol w:w="9468"/>
      </w:tblGrid>
      <w:tr>
        <w:trPr>
          <w:trHeight w:hRule="auto"/>
        </w:trPr>
        <w:tc>
          <w:tcPr>
            <w:tcW w:type="dxa" w:w="8787"/>
            <w:shd w:fill="F3F5F7"/>
            <w:tcMar>
              <w:top w:w="150" w:type="dxa"/>
              <w:start w:w="180" w:type="dxa"/>
              <w:bottom w:w="150" w:type="dxa"/>
              <w:end w:w="180" w:type="dxa"/>
            </w:tcMar>
            <w:tcBorders>
              <w:top w:val="single" w:sz="6" w:color="D9E1E8"/>
              <w:bottom w:val="single" w:sz="6" w:color="D9E1E8"/>
              <w:start w:val="single" w:sz="6" w:color="D9E1E8"/>
              <w:end w:val="single" w:sz="6" w:color="D9E1E8"/>
            </w:tcBorders>
          </w:tcPr>
          <w:p>
            <w:pPr>
              <w:spacing w:before="0" w:after="0" w:line="324" w:lineRule="auto"/>
              <w:jc w:val="center"/>
              <w:keepLines/>
              <w:widowControl w:val="1"/>
            </w:pPr>
            <w:r>
              <w:rPr>
                <w:rFonts w:ascii="Cambria Math" w:hAnsi="Cambria Math" w:eastAsia="Cambria Math"/>
                <w:color w:val="17324D"/>
                <w:sz w:val="21"/>
              </w:rPr>
              <w:t>L_obs(x, y_d) = -log  Σ_{z ∈ C_d(y_d)} p(z | x)</w:t>
            </w:r>
            <w:r>
              <w:br/>
            </w:r>
            <w:r>
              <w:rPr>
                <w:rFonts w:ascii="Cambria Math" w:hAnsi="Cambria Math" w:eastAsia="Cambria Math"/>
                <w:color w:val="17324D"/>
                <w:sz w:val="21"/>
              </w:rPr>
              <w:t>complete label: |C_d(y_d)| = 1    partial label: |C_d(y_d)| &gt; 1</w:t>
            </w:r>
            <w:r>
              <w:br/>
            </w:r>
            <w:r>
              <w:rPr>
                <w:rFonts w:ascii="Cambria Math" w:hAnsi="Cambria Math" w:eastAsia="Cambria Math"/>
                <w:color w:val="17324D"/>
                <w:sz w:val="21"/>
              </w:rPr>
              <w:t>unknown/incompatible: omit the corresponding observation term</w:t>
            </w:r>
          </w:p>
        </w:tc>
      </w:tr>
    </w:tbl>
    <w:p>
      <w:pPr>
        <w:spacing w:before="0" w:after="100" w:line="264" w:lineRule="auto"/>
        <w:jc w:val="center"/>
        <w:widowControl w:val="1"/>
      </w:pPr>
      <w:r>
        <w:rPr>
          <w:rFonts w:ascii="Noto Serif CJK SC" w:hAnsi="Noto Serif CJK SC" w:eastAsia="Noto Serif CJK SC"/>
          <w:i/>
          <w:color w:val="64748B"/>
          <w:sz w:val="17"/>
        </w:rPr>
        <w:t>set-valued compatible-state likelihood；与普通硬 remapping 的关键区别</w:t>
      </w:r>
    </w:p>
    <w:p>
      <w:pPr>
        <w:spacing w:before="0" w:after="100" w:line="331" w:lineRule="auto"/>
        <w:ind w:firstLine="420"/>
        <w:jc w:val="both"/>
        <w:widowControl w:val="1"/>
      </w:pPr>
      <w:r>
        <w:rPr>
          <w:rFonts w:ascii="Noto Serif CJK SC" w:hAnsi="Noto Serif CJK SC" w:eastAsia="Noto Serif CJK SC"/>
          <w:color w:val="111827"/>
          <w:sz w:val="21"/>
        </w:rPr>
        <w:t>这一形式与 marginal/exclusion loss、overlapping-label multi-domain learning 有明确方法学先例，因此项目不能把公式本身称为首次提出。[P11][P12] 其潜在贡献应来自 respiratory-specific observation contract、不同 prediction unit 的可观测性设计，以及严格 low-shot identification。</w:t>
      </w:r>
    </w:p>
    <w:p>
      <w:pPr>
        <w:pStyle w:val="Heading2"/>
        <w:keepNext/>
      </w:pPr>
      <w:r>
        <w:t>7.3 Prediction-unit-aware 语义</w:t>
      </w:r>
    </w:p>
    <w:p>
      <w:pPr>
        <w:spacing w:before="0" w:after="100" w:line="331" w:lineRule="auto"/>
        <w:ind w:firstLine="420"/>
        <w:jc w:val="both"/>
        <w:widowControl w:val="1"/>
      </w:pPr>
      <w:r>
        <w:rPr>
          <w:rFonts w:ascii="Noto Serif CJK SC" w:hAnsi="Noto Serif CJK SC" w:eastAsia="Noto Serif CJK SC"/>
          <w:color w:val="111827"/>
          <w:sz w:val="21"/>
        </w:rPr>
        <w:t>“has_crackle”在 cycle、event、interval 与 recording 上都可被解释为 existential presence，但它们不是同一个随机变量。cycle/event 的局部标签、HF 的 positive interval 与 KAUH 的 recording-level string 对时间覆盖和阴性证据具有不同含义。方法必须保留 unit-specific observation/aggregation，而不是把不同长度单位压缩后视为同质样本。</w:t>
      </w:r>
    </w:p>
    <w:p>
      <w:pPr>
        <w:pStyle w:val="Heading2"/>
        <w:keepNext/>
      </w:pPr>
      <w:r>
        <w:t>7.4 Joint head 与 consistency 的科学角色</w:t>
      </w:r>
    </w:p>
    <w:p>
      <w:pPr>
        <w:spacing w:before="0" w:after="100" w:line="331" w:lineRule="auto"/>
        <w:ind w:firstLine="420"/>
        <w:jc w:val="both"/>
        <w:widowControl w:val="1"/>
      </w:pPr>
      <w:r>
        <w:rPr>
          <w:rFonts w:ascii="Noto Serif CJK SC" w:hAnsi="Noto Serif CJK SC" w:eastAsia="Noto Serif CJK SC"/>
          <w:color w:val="111827"/>
          <w:sz w:val="21"/>
        </w:rPr>
        <w:t>joint flat4 head 的合理作用不是重复两个 binary heads，而是显式建模 crackle/wheeze co-occurrence interaction，并让完整标签样本提供 closed-state supervision。marginal consistency 只应在 joint target 完整且兼容时施加：</w:t>
      </w:r>
    </w:p>
    <w:tbl>
      <w:tblPr>
        <w:tblW w:type="auto" w:w="0"/>
        <w:jc w:val="center"/>
        <w:tblLayout w:type="fixed"/>
        <w:tblLook w:firstColumn="1" w:firstRow="1" w:lastColumn="0" w:lastRow="0" w:noHBand="0" w:noVBand="1" w:val="04A0"/>
      </w:tblPr>
      <w:tblGrid>
        <w:gridCol w:w="9468"/>
      </w:tblGrid>
      <w:tr>
        <w:trPr>
          <w:trHeight w:hRule="auto"/>
        </w:trPr>
        <w:tc>
          <w:tcPr>
            <w:tcW w:type="dxa" w:w="8787"/>
            <w:shd w:fill="F3F5F7"/>
            <w:tcMar>
              <w:top w:w="150" w:type="dxa"/>
              <w:start w:w="180" w:type="dxa"/>
              <w:bottom w:w="150" w:type="dxa"/>
              <w:end w:w="180" w:type="dxa"/>
            </w:tcMar>
            <w:tcBorders>
              <w:top w:val="single" w:sz="6" w:color="D9E1E8"/>
              <w:bottom w:val="single" w:sz="6" w:color="D9E1E8"/>
              <w:start w:val="single" w:sz="6" w:color="D9E1E8"/>
              <w:end w:val="single" w:sz="6" w:color="D9E1E8"/>
            </w:tcBorders>
          </w:tcPr>
          <w:p>
            <w:pPr>
              <w:spacing w:before="0" w:after="0" w:line="324" w:lineRule="auto"/>
              <w:jc w:val="center"/>
              <w:keepLines/>
              <w:widowControl w:val="1"/>
            </w:pPr>
            <w:r>
              <w:rPr>
                <w:rFonts w:ascii="Cambria Math" w:hAnsi="Cambria Math" w:eastAsia="Cambria Math"/>
                <w:color w:val="17324D"/>
                <w:sz w:val="21"/>
              </w:rPr>
              <w:t>p_attr(crackle) ≈ p_joint(Crackle) + p_joint(Both)</w:t>
            </w:r>
            <w:r>
              <w:br/>
            </w:r>
            <w:r>
              <w:rPr>
                <w:rFonts w:ascii="Cambria Math" w:hAnsi="Cambria Math" w:eastAsia="Cambria Math"/>
                <w:color w:val="17324D"/>
                <w:sz w:val="21"/>
              </w:rPr>
              <w:t>p_attr(wheeze)  ≈ p_joint(Wheeze)  + p_joint(Both)</w:t>
            </w:r>
          </w:p>
        </w:tc>
      </w:tr>
    </w:tbl>
    <w:p>
      <w:pPr>
        <w:spacing w:before="0" w:after="100" w:line="264" w:lineRule="auto"/>
        <w:jc w:val="center"/>
        <w:widowControl w:val="1"/>
      </w:pPr>
      <w:r>
        <w:rPr>
          <w:rFonts w:ascii="Noto Serif CJK SC" w:hAnsi="Noto Serif CJK SC" w:eastAsia="Noto Serif CJK SC"/>
          <w:i/>
          <w:color w:val="64748B"/>
          <w:sz w:val="17"/>
        </w:rPr>
        <w:t>条件：joint-eligible = 1；不得全局应用</w:t>
      </w:r>
    </w:p>
    <w:p>
      <w:pPr>
        <w:spacing w:before="0" w:after="100" w:line="331" w:lineRule="auto"/>
        <w:ind w:firstLine="420"/>
        <w:jc w:val="both"/>
        <w:widowControl w:val="1"/>
      </w:pPr>
      <w:r>
        <w:rPr>
          <w:rFonts w:ascii="Noto Serif CJK SC" w:hAnsi="Noto Serif CJK SC" w:eastAsia="Noto Serif CJK SC"/>
          <w:color w:val="111827"/>
          <w:sz w:val="21"/>
        </w:rPr>
        <w:t>是否需要 joint head 必须由 E（无 consistency）与 F（有 consistency）的受控比较决定。若它只改善内部 disagreement，却不改善 target-native rare classes，则不能作为主要贡献。</w:t>
      </w:r>
    </w:p>
    <w:p>
      <w:pPr>
        <w:pStyle w:val="Heading2"/>
        <w:keepNext/>
      </w:pPr>
      <w:r>
        <w:t>7.5 Phase-1 模型边界</w:t>
      </w:r>
    </w:p>
    <w:tbl>
      <w:tblPr>
        <w:tblStyle w:val="TableGrid"/>
        <w:tblW w:type="auto" w:w="0"/>
        <w:jc w:val="center"/>
        <w:tblLayout w:type="fixed"/>
        <w:tblLook w:firstColumn="1" w:firstRow="1" w:lastColumn="0" w:lastRow="0" w:noHBand="0" w:noVBand="1" w:val="04A0"/>
      </w:tblPr>
      <w:tblGrid>
        <w:gridCol w:w="4734"/>
        <w:gridCol w:w="4734"/>
      </w:tblGrid>
      <w:tr>
        <w:trPr>
          <w:trHeight w:hRule="auto"/>
          <w:tblHeader w:val="true"/>
        </w:trPr>
        <w:tc>
          <w:tcPr>
            <w:tcW w:type="dxa" w:w="2891"/>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模块</w:t>
            </w:r>
          </w:p>
        </w:tc>
        <w:tc>
          <w:tcPr>
            <w:tcW w:type="dxa" w:w="6180"/>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审查决定</w:t>
            </w:r>
          </w:p>
        </w:tc>
      </w:tr>
      <w:tr>
        <w:trPr>
          <w:cantSplit/>
          <w:trHeight w:hRule="auto"/>
        </w:trPr>
        <w:tc>
          <w:tcPr>
            <w:tcW w:type="dxa" w:w="289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Shared encoder/adapter</w:t>
            </w:r>
          </w:p>
        </w:tc>
        <w:tc>
          <w:tcPr>
            <w:tcW w:type="dxa" w:w="618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允许，但需 generic 与 ICBHI-task encoder 双控制。</w:t>
            </w:r>
          </w:p>
        </w:tc>
      </w:tr>
      <w:tr>
        <w:trPr>
          <w:cantSplit/>
          <w:trHeight w:hRule="auto"/>
        </w:trPr>
        <w:tc>
          <w:tcPr>
            <w:tcW w:type="dxa" w:w="289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Dataset-native heads</w:t>
            </w:r>
          </w:p>
        </w:tc>
        <w:tc>
          <w:tcPr>
            <w:tcW w:type="dxa" w:w="618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始终保留；是主任务与 guardrail。</w:t>
            </w:r>
          </w:p>
        </w:tc>
      </w:tr>
      <w:tr>
        <w:trPr>
          <w:cantSplit/>
          <w:trHeight w:hRule="auto"/>
        </w:trPr>
        <w:tc>
          <w:tcPr>
            <w:tcW w:type="dxa" w:w="289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Shared crackle/wheeze heads</w:t>
            </w:r>
          </w:p>
        </w:tc>
        <w:tc>
          <w:tcPr>
            <w:tcW w:type="dxa" w:w="618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核心待检验机制。</w:t>
            </w:r>
          </w:p>
        </w:tc>
      </w:tr>
      <w:tr>
        <w:trPr>
          <w:cantSplit/>
          <w:trHeight w:hRule="auto"/>
        </w:trPr>
        <w:tc>
          <w:tcPr>
            <w:tcW w:type="dxa" w:w="289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Dataset-specific crackle/wheeze heads</w:t>
            </w:r>
          </w:p>
        </w:tc>
        <w:tc>
          <w:tcPr>
            <w:tcW w:type="dxa" w:w="618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最关键 parameter-matched control。</w:t>
            </w:r>
          </w:p>
        </w:tc>
      </w:tr>
      <w:tr>
        <w:trPr>
          <w:cantSplit/>
          <w:trHeight w:hRule="auto"/>
        </w:trPr>
        <w:tc>
          <w:tcPr>
            <w:tcW w:type="dxa" w:w="289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Joint flat4 head</w:t>
            </w:r>
          </w:p>
        </w:tc>
        <w:tc>
          <w:tcPr>
            <w:tcW w:type="dxa" w:w="618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仅 ICBHI + SPR compatible events；第二阶段消融。</w:t>
            </w:r>
          </w:p>
        </w:tc>
      </w:tr>
      <w:tr>
        <w:trPr>
          <w:cantSplit/>
          <w:trHeight w:hRule="auto"/>
        </w:trPr>
        <w:tc>
          <w:tcPr>
            <w:tcW w:type="dxa" w:w="289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Marginal consistency</w:t>
            </w:r>
          </w:p>
        </w:tc>
        <w:tc>
          <w:tcPr>
            <w:tcW w:type="dxa" w:w="618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仅 joint-eligible samples；不得用于 HF/KAUH。</w:t>
            </w:r>
          </w:p>
        </w:tc>
      </w:tr>
      <w:tr>
        <w:trPr>
          <w:cantSplit/>
          <w:trHeight w:hRule="auto"/>
        </w:trPr>
        <w:tc>
          <w:tcPr>
            <w:tcW w:type="dxa" w:w="289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HF auxiliary</w:t>
            </w:r>
          </w:p>
        </w:tc>
        <w:tc>
          <w:tcPr>
            <w:tcW w:type="dxa" w:w="618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主假设通过后才加入；positive-only。</w:t>
            </w:r>
          </w:p>
        </w:tc>
      </w:tr>
      <w:tr>
        <w:trPr>
          <w:cantSplit/>
          <w:trHeight w:hRule="auto"/>
        </w:trPr>
        <w:tc>
          <w:tcPr>
            <w:tcW w:type="dxa" w:w="289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KAUH shared supervision</w:t>
            </w:r>
          </w:p>
        </w:tc>
        <w:tc>
          <w:tcPr>
            <w:tcW w:type="dxa" w:w="618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HOLD。</w:t>
            </w:r>
          </w:p>
        </w:tc>
      </w:tr>
      <w:tr>
        <w:trPr>
          <w:cantSplit/>
          <w:trHeight w:hRule="auto"/>
        </w:trPr>
        <w:tc>
          <w:tcPr>
            <w:tcW w:type="dxa" w:w="289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MoE/router/general-specific</w:t>
            </w:r>
          </w:p>
        </w:tc>
        <w:tc>
          <w:tcPr>
            <w:tcW w:type="dxa" w:w="618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HOLD；不进入第一证伪 gate。</w:t>
            </w:r>
          </w:p>
        </w:tc>
      </w:tr>
      <w:tr>
        <w:trPr>
          <w:cantSplit/>
          <w:trHeight w:hRule="auto"/>
        </w:trPr>
        <w:tc>
          <w:tcPr>
            <w:tcW w:type="dxa" w:w="289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New event-sensitive pooling</w:t>
            </w:r>
          </w:p>
        </w:tc>
        <w:tc>
          <w:tcPr>
            <w:tcW w:type="dxa" w:w="618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HOLD；已有负面 frozen-feature evidence。</w:t>
            </w:r>
          </w:p>
        </w:tc>
      </w:tr>
    </w:tbl>
    <w:p>
      <w:pPr>
        <w:spacing w:after="20"/>
      </w:pPr>
    </w:p>
    <w:p>
      <w:pPr>
        <w:pStyle w:val="Heading1"/>
        <w:keepNext/>
      </w:pPr>
      <w:r>
        <w:t>8. 实验矩阵、low-shot protocol 与最小证伪实验</w:t>
      </w:r>
    </w:p>
    <w:p>
      <w:pPr>
        <w:pStyle w:val="Heading2"/>
        <w:keepNext/>
      </w:pPr>
      <w:r>
        <w:t>8.1 对 A–K 参数匹配矩阵的审查</w:t>
      </w:r>
    </w:p>
    <w:tbl>
      <w:tblPr>
        <w:tblStyle w:val="TableGrid"/>
        <w:tblW w:type="auto" w:w="0"/>
        <w:jc w:val="center"/>
        <w:tblLayout w:type="fixed"/>
        <w:tblLook w:firstColumn="1" w:firstRow="1" w:lastColumn="0" w:lastRow="0" w:noHBand="0" w:noVBand="1" w:val="04A0"/>
      </w:tblPr>
      <w:tblGrid>
        <w:gridCol w:w="3156"/>
        <w:gridCol w:w="3156"/>
        <w:gridCol w:w="3156"/>
      </w:tblGrid>
      <w:tr>
        <w:trPr>
          <w:trHeight w:hRule="auto"/>
          <w:tblHeader w:val="true"/>
        </w:trPr>
        <w:tc>
          <w:tcPr>
            <w:tcW w:type="dxa" w:w="2835"/>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条件</w:t>
            </w:r>
          </w:p>
        </w:tc>
        <w:tc>
          <w:tcPr>
            <w:tcW w:type="dxa" w:w="1474"/>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结论</w:t>
            </w:r>
          </w:p>
        </w:tc>
        <w:tc>
          <w:tcPr>
            <w:tcW w:type="dxa" w:w="4762"/>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理由</w:t>
            </w:r>
          </w:p>
        </w:tc>
      </w:tr>
      <w:tr>
        <w:trPr>
          <w:cantSplit/>
          <w:trHeight w:hRule="auto"/>
        </w:trPr>
        <w:tc>
          <w:tcPr>
            <w:tcW w:type="dxa" w:w="28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A. Native heads only</w:t>
            </w:r>
          </w:p>
        </w:tc>
        <w:tc>
          <w:tcPr>
            <w:tcW w:type="dxa" w:w="147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必须</w:t>
            </w:r>
          </w:p>
        </w:tc>
        <w:tc>
          <w:tcPr>
            <w:tcW w:type="dxa" w:w="476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核心 baseline。</w:t>
            </w:r>
          </w:p>
        </w:tc>
      </w:tr>
      <w:tr>
        <w:trPr>
          <w:cantSplit/>
          <w:trHeight w:hRule="auto"/>
        </w:trPr>
        <w:tc>
          <w:tcPr>
            <w:tcW w:type="dxa" w:w="28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B. Existing shared compatible-class head</w:t>
            </w:r>
          </w:p>
        </w:tc>
        <w:tc>
          <w:tcPr>
            <w:tcW w:type="dxa" w:w="147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必须</w:t>
            </w:r>
          </w:p>
        </w:tc>
        <w:tc>
          <w:tcPr>
            <w:tcW w:type="dxa" w:w="476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已知 negative baseline；防止重新包装旧机制。</w:t>
            </w:r>
          </w:p>
        </w:tc>
      </w:tr>
      <w:tr>
        <w:trPr>
          <w:cantSplit/>
          <w:trHeight w:hRule="auto"/>
        </w:trPr>
        <w:tc>
          <w:tcPr>
            <w:tcW w:type="dxa" w:w="28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C. Attribute heads only</w:t>
            </w:r>
          </w:p>
        </w:tc>
        <w:tc>
          <w:tcPr>
            <w:tcW w:type="dxa" w:w="147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仅 diagnostic</w:t>
            </w:r>
          </w:p>
        </w:tc>
        <w:tc>
          <w:tcPr>
            <w:tcW w:type="dxa" w:w="476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移除 native task 会改变问题，不能作为主比较。</w:t>
            </w:r>
          </w:p>
        </w:tc>
      </w:tr>
      <w:tr>
        <w:trPr>
          <w:cantSplit/>
          <w:trHeight w:hRule="auto"/>
        </w:trPr>
        <w:tc>
          <w:tcPr>
            <w:tcW w:type="dxa" w:w="28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D. Joint flat4 only</w:t>
            </w:r>
          </w:p>
        </w:tc>
        <w:tc>
          <w:tcPr>
            <w:tcW w:type="dxa" w:w="147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仅 diagnostic</w:t>
            </w:r>
          </w:p>
        </w:tc>
        <w:tc>
          <w:tcPr>
            <w:tcW w:type="dxa" w:w="476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同样改变任务与 supervision surface。</w:t>
            </w:r>
          </w:p>
        </w:tc>
      </w:tr>
      <w:tr>
        <w:trPr>
          <w:cantSplit/>
          <w:trHeight w:hRule="auto"/>
        </w:trPr>
        <w:tc>
          <w:tcPr>
            <w:tcW w:type="dxa" w:w="28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E. Attribute + joint, no consistency</w:t>
            </w:r>
          </w:p>
        </w:tc>
        <w:tc>
          <w:tcPr>
            <w:tcW w:type="dxa" w:w="147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必须</w:t>
            </w:r>
          </w:p>
        </w:tc>
        <w:tc>
          <w:tcPr>
            <w:tcW w:type="dxa" w:w="476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隔离 joint head。</w:t>
            </w:r>
          </w:p>
        </w:tc>
      </w:tr>
      <w:tr>
        <w:trPr>
          <w:cantSplit/>
          <w:trHeight w:hRule="auto"/>
        </w:trPr>
        <w:tc>
          <w:tcPr>
            <w:tcW w:type="dxa" w:w="28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F. Attribute + joint + consistency</w:t>
            </w:r>
          </w:p>
        </w:tc>
        <w:tc>
          <w:tcPr>
            <w:tcW w:type="dxa" w:w="147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必须</w:t>
            </w:r>
          </w:p>
        </w:tc>
        <w:tc>
          <w:tcPr>
            <w:tcW w:type="dxa" w:w="476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隔离 consistency 增量。</w:t>
            </w:r>
          </w:p>
        </w:tc>
      </w:tr>
      <w:tr>
        <w:trPr>
          <w:cantSplit/>
          <w:trHeight w:hRule="auto"/>
        </w:trPr>
        <w:tc>
          <w:tcPr>
            <w:tcW w:type="dxa" w:w="28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G. Unknown→negative</w:t>
            </w:r>
          </w:p>
        </w:tc>
        <w:tc>
          <w:tcPr>
            <w:tcW w:type="dxa" w:w="147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必须的违规控制</w:t>
            </w:r>
          </w:p>
        </w:tc>
        <w:tc>
          <w:tcPr>
            <w:tcW w:type="dxa" w:w="476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验证 eligibility 的安全性；不得用于选择模型。</w:t>
            </w:r>
          </w:p>
        </w:tc>
      </w:tr>
      <w:tr>
        <w:trPr>
          <w:cantSplit/>
          <w:trHeight w:hRule="auto"/>
        </w:trPr>
        <w:tc>
          <w:tcPr>
            <w:tcW w:type="dxa" w:w="28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H. HF off/on</w:t>
            </w:r>
          </w:p>
        </w:tc>
        <w:tc>
          <w:tcPr>
            <w:tcW w:type="dxa" w:w="147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条件性必须</w:t>
            </w:r>
          </w:p>
        </w:tc>
        <w:tc>
          <w:tcPr>
            <w:tcW w:type="dxa" w:w="476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只有 positive-only contract 冻结后进行。</w:t>
            </w:r>
          </w:p>
        </w:tc>
      </w:tr>
      <w:tr>
        <w:trPr>
          <w:cantSplit/>
          <w:trHeight w:hRule="auto"/>
        </w:trPr>
        <w:tc>
          <w:tcPr>
            <w:tcW w:type="dxa" w:w="28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I. Target low-shot curves</w:t>
            </w:r>
          </w:p>
        </w:tc>
        <w:tc>
          <w:tcPr>
            <w:tcW w:type="dxa" w:w="147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绝对必须</w:t>
            </w:r>
          </w:p>
        </w:tc>
        <w:tc>
          <w:tcPr>
            <w:tcW w:type="dxa" w:w="476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整篇论文的核心识别。</w:t>
            </w:r>
          </w:p>
        </w:tc>
      </w:tr>
      <w:tr>
        <w:trPr>
          <w:cantSplit/>
          <w:trHeight w:hRule="auto"/>
        </w:trPr>
        <w:tc>
          <w:tcPr>
            <w:tcW w:type="dxa" w:w="28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J. Generic vs ICBHI-task encoder</w:t>
            </w:r>
          </w:p>
        </w:tc>
        <w:tc>
          <w:tcPr>
            <w:tcW w:type="dxa" w:w="147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必须</w:t>
            </w:r>
          </w:p>
        </w:tc>
        <w:tc>
          <w:tcPr>
            <w:tcW w:type="dxa" w:w="476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控制 source-task bias 与 test-selection caveat。</w:t>
            </w:r>
          </w:p>
        </w:tc>
      </w:tr>
      <w:tr>
        <w:trPr>
          <w:cantSplit/>
          <w:trHeight w:hRule="auto"/>
        </w:trPr>
        <w:tc>
          <w:tcPr>
            <w:tcW w:type="dxa" w:w="28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K. Dataset-specific vs shared attributes</w:t>
            </w:r>
          </w:p>
        </w:tc>
        <w:tc>
          <w:tcPr>
            <w:tcW w:type="dxa" w:w="147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最关键</w:t>
            </w:r>
          </w:p>
        </w:tc>
        <w:tc>
          <w:tcPr>
            <w:tcW w:type="dxa" w:w="476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直接识别“共享”本身的增量价值。</w:t>
            </w:r>
          </w:p>
        </w:tc>
      </w:tr>
    </w:tbl>
    <w:p>
      <w:pPr>
        <w:spacing w:after="20"/>
      </w:pPr>
    </w:p>
    <w:p>
      <w:pPr>
        <w:pStyle w:val="Heading2"/>
        <w:keepNext/>
      </w:pPr>
      <w:r>
        <w:t>8.2 必须增加的 L–P 控制</w:t>
      </w:r>
    </w:p>
    <w:tbl>
      <w:tblPr>
        <w:tblStyle w:val="TableGrid"/>
        <w:tblW w:type="auto" w:w="0"/>
        <w:jc w:val="center"/>
        <w:tblLayout w:type="fixed"/>
        <w:tblLook w:firstColumn="1" w:firstRow="1" w:lastColumn="0" w:lastRow="0" w:noHBand="0" w:noVBand="1" w:val="04A0"/>
      </w:tblPr>
      <w:tblGrid>
        <w:gridCol w:w="4734"/>
        <w:gridCol w:w="4734"/>
      </w:tblGrid>
      <w:tr>
        <w:trPr>
          <w:trHeight w:hRule="auto"/>
          <w:tblHeader w:val="true"/>
        </w:trPr>
        <w:tc>
          <w:tcPr>
            <w:tcW w:type="dxa" w:w="2835"/>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新增控制</w:t>
            </w:r>
          </w:p>
        </w:tc>
        <w:tc>
          <w:tcPr>
            <w:tcW w:type="dxa" w:w="6236"/>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目的</w:t>
            </w:r>
          </w:p>
        </w:tc>
      </w:tr>
      <w:tr>
        <w:trPr>
          <w:cantSplit/>
          <w:trHeight w:hRule="auto"/>
        </w:trPr>
        <w:tc>
          <w:tcPr>
            <w:tcW w:type="dxa" w:w="28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L. Label-exposure matched</w:t>
            </w:r>
          </w:p>
        </w:tc>
        <w:tc>
          <w:tcPr>
            <w:tcW w:type="dxa" w:w="6236"/>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共享与独立模型看到相同 attribute positives/negatives、datasets 与 optimizer updates。</w:t>
            </w:r>
          </w:p>
        </w:tc>
      </w:tr>
      <w:tr>
        <w:trPr>
          <w:cantSplit/>
          <w:trHeight w:hRule="auto"/>
        </w:trPr>
        <w:tc>
          <w:tcPr>
            <w:tcW w:type="dxa" w:w="28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M. Mapping sensitivity</w:t>
            </w:r>
          </w:p>
        </w:tc>
        <w:tc>
          <w:tcPr>
            <w:tcW w:type="dxa" w:w="6236"/>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conservative/aggressive mapping、unknown→negative、移除 Rhonchi/Stridor、仅 complete subset。</w:t>
            </w:r>
          </w:p>
        </w:tc>
      </w:tr>
      <w:tr>
        <w:trPr>
          <w:cantSplit/>
          <w:trHeight w:hRule="auto"/>
        </w:trPr>
        <w:tc>
          <w:tcPr>
            <w:tcW w:type="dxa" w:w="28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N. Transfer regime separation</w:t>
            </w:r>
          </w:p>
        </w:tc>
        <w:tc>
          <w:tcPr>
            <w:tcW w:type="dxa" w:w="6236"/>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zero-target/source-only、target-supervised low-shot、full target-head、full target training 分开。</w:t>
            </w:r>
          </w:p>
        </w:tc>
      </w:tr>
      <w:tr>
        <w:trPr>
          <w:cantSplit/>
          <w:trHeight w:hRule="auto"/>
        </w:trPr>
        <w:tc>
          <w:tcPr>
            <w:tcW w:type="dxa" w:w="28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O. Leave-one-source-dataset-out</w:t>
            </w:r>
          </w:p>
        </w:tc>
        <w:tc>
          <w:tcPr>
            <w:tcW w:type="dxa" w:w="6236"/>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判断增益是否由单一大数据集或 acquisition domain 驱动。</w:t>
            </w:r>
          </w:p>
        </w:tc>
      </w:tr>
      <w:tr>
        <w:trPr>
          <w:cantSplit/>
          <w:trHeight w:hRule="auto"/>
        </w:trPr>
        <w:tc>
          <w:tcPr>
            <w:tcW w:type="dxa" w:w="28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P. Unit-aware vs naïve</w:t>
            </w:r>
          </w:p>
        </w:tc>
        <w:tc>
          <w:tcPr>
            <w:tcW w:type="dxa" w:w="6236"/>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比较 prediction-unit-aware observation 与简单 pooled/remapped units。</w:t>
            </w:r>
          </w:p>
        </w:tc>
      </w:tr>
    </w:tbl>
    <w:p>
      <w:pPr>
        <w:spacing w:after="20"/>
      </w:pPr>
    </w:p>
    <w:p>
      <w:pPr>
        <w:pStyle w:val="Heading2"/>
        <w:keepNext/>
      </w:pPr>
      <w:r>
        <w:t>8.3 参数匹配要求</w:t>
      </w:r>
    </w:p>
    <w:p>
      <w:pPr>
        <w:pStyle w:val="ListBullet"/>
        <w:spacing w:before="0" w:after="50" w:line="307" w:lineRule="auto"/>
        <w:ind w:left="369" w:hanging="198"/>
        <w:widowControl w:val="1"/>
      </w:pPr>
      <w:r>
        <w:rPr>
          <w:rFonts w:ascii="Noto Serif CJK SC" w:hAnsi="Noto Serif CJK SC" w:eastAsia="Noto Serif CJK SC"/>
          <w:color w:val="111827"/>
          <w:sz w:val="20"/>
        </w:rPr>
        <w:t>相同 encoder initialization、trainable encoder/adapter capacity 与 active gradient path。</w:t>
      </w:r>
    </w:p>
    <w:p>
      <w:pPr>
        <w:pStyle w:val="ListBullet"/>
        <w:spacing w:before="0" w:after="50" w:line="307" w:lineRule="auto"/>
        <w:ind w:left="369" w:hanging="198"/>
        <w:widowControl w:val="1"/>
      </w:pPr>
      <w:r>
        <w:rPr>
          <w:rFonts w:ascii="Noto Serif CJK SC" w:hAnsi="Noto Serif CJK SC" w:eastAsia="Noto Serif CJK SC"/>
          <w:color w:val="111827"/>
          <w:sz w:val="20"/>
        </w:rPr>
        <w:t>相同 dataset sampling、class sampling、attribute label exposure 和 total optimizer updates。</w:t>
      </w:r>
    </w:p>
    <w:p>
      <w:pPr>
        <w:pStyle w:val="ListBullet"/>
        <w:spacing w:before="0" w:after="50" w:line="307" w:lineRule="auto"/>
        <w:ind w:left="369" w:hanging="198"/>
        <w:widowControl w:val="1"/>
      </w:pPr>
      <w:r>
        <w:rPr>
          <w:rFonts w:ascii="Noto Serif CJK SC" w:hAnsi="Noto Serif CJK SC" w:eastAsia="Noto Serif CJK SC"/>
          <w:color w:val="111827"/>
          <w:sz w:val="20"/>
        </w:rPr>
        <w:t>相同 optimizer、scheduler、augmentation、early stopping、threshold 与 checkpoint selection。</w:t>
      </w:r>
    </w:p>
    <w:p>
      <w:pPr>
        <w:pStyle w:val="ListBullet"/>
        <w:spacing w:before="0" w:after="50" w:line="307" w:lineRule="auto"/>
        <w:ind w:left="369" w:hanging="198"/>
        <w:widowControl w:val="1"/>
      </w:pPr>
      <w:r>
        <w:rPr>
          <w:rFonts w:ascii="Noto Serif CJK SC" w:hAnsi="Noto Serif CJK SC" w:eastAsia="Noto Serif CJK SC"/>
          <w:color w:val="111827"/>
          <w:sz w:val="20"/>
        </w:rPr>
        <w:t>相同 group split、low-shot group draws 与 optimization seed set。</w:t>
      </w:r>
    </w:p>
    <w:p>
      <w:pPr>
        <w:pStyle w:val="ListBullet"/>
        <w:spacing w:before="0" w:after="50" w:line="307" w:lineRule="auto"/>
        <w:ind w:left="369" w:hanging="198"/>
        <w:widowControl w:val="1"/>
      </w:pPr>
      <w:r>
        <w:rPr>
          <w:rFonts w:ascii="Noto Serif CJK SC" w:hAnsi="Noto Serif CJK SC" w:eastAsia="Noto Serif CJK SC"/>
          <w:color w:val="111827"/>
          <w:sz w:val="20"/>
        </w:rPr>
        <w:t>不能用不参与有效计算的 dummy parameters 伪装 parameter matching。</w:t>
      </w:r>
    </w:p>
    <w:p>
      <w:pPr>
        <w:pStyle w:val="Heading2"/>
        <w:keepNext/>
      </w:pPr>
      <w:r>
        <w:t>8.4 Low-shot 抽样协议</w:t>
      </w:r>
    </w:p>
    <w:p>
      <w:pPr>
        <w:spacing w:before="0" w:after="100" w:line="331" w:lineRule="auto"/>
        <w:ind w:firstLine="420"/>
        <w:jc w:val="both"/>
        <w:widowControl w:val="1"/>
      </w:pPr>
      <w:r>
        <w:rPr>
          <w:rFonts w:ascii="Noto Serif CJK SC" w:hAnsi="Noto Serif CJK SC" w:eastAsia="Noto Serif CJK SC"/>
          <w:color w:val="111827"/>
          <w:sz w:val="21"/>
        </w:rPr>
        <w:t>low-shot 必须按 patient/group 抽样，不能按 event/cycle 随机抽样。建议同时报告总 labeled-group shots 与 attribute-positive group shots。较大 shot set 必须包含较小 shot set，形成 nested design。</w:t>
      </w:r>
    </w:p>
    <w:tbl>
      <w:tblPr>
        <w:tblStyle w:val="TableGrid"/>
        <w:tblW w:type="auto" w:w="0"/>
        <w:jc w:val="center"/>
        <w:tblLayout w:type="fixed"/>
        <w:tblLook w:firstColumn="1" w:firstRow="1" w:lastColumn="0" w:lastRow="0" w:noHBand="0" w:noVBand="1" w:val="04A0"/>
      </w:tblPr>
      <w:tblGrid>
        <w:gridCol w:w="3156"/>
        <w:gridCol w:w="3156"/>
        <w:gridCol w:w="3156"/>
      </w:tblGrid>
      <w:tr>
        <w:trPr>
          <w:trHeight w:hRule="auto"/>
          <w:tblHeader w:val="true"/>
        </w:trPr>
        <w:tc>
          <w:tcPr>
            <w:tcW w:type="dxa" w:w="2381"/>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维度</w:t>
            </w:r>
          </w:p>
        </w:tc>
        <w:tc>
          <w:tcPr>
            <w:tcW w:type="dxa" w:w="2835"/>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建议</w:t>
            </w:r>
          </w:p>
        </w:tc>
        <w:tc>
          <w:tcPr>
            <w:tcW w:type="dxa" w:w="3855"/>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解释</w:t>
            </w:r>
          </w:p>
        </w:tc>
      </w:tr>
      <w:tr>
        <w:trPr>
          <w:cantSplit/>
          <w:trHeight w:hRule="auto"/>
        </w:trPr>
        <w:tc>
          <w:tcPr>
            <w:tcW w:type="dxa" w:w="238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总 labeled groups</w:t>
            </w:r>
          </w:p>
        </w:tc>
        <w:tc>
          <w:tcPr>
            <w:tcW w:type="dxa" w:w="28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4, 8, 16, 32, 64, full</w:t>
            </w:r>
          </w:p>
        </w:tc>
        <w:tc>
          <w:tcPr>
            <w:tcW w:type="dxa" w:w="385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反映实际标注患者/组数量。</w:t>
            </w:r>
          </w:p>
        </w:tc>
      </w:tr>
      <w:tr>
        <w:trPr>
          <w:cantSplit/>
          <w:trHeight w:hRule="auto"/>
        </w:trPr>
        <w:tc>
          <w:tcPr>
            <w:tcW w:type="dxa" w:w="238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crackle-positive groups</w:t>
            </w:r>
          </w:p>
        </w:tc>
        <w:tc>
          <w:tcPr>
            <w:tcW w:type="dxa" w:w="28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1, 2, 4, 8, 16</w:t>
            </w:r>
          </w:p>
        </w:tc>
        <w:tc>
          <w:tcPr>
            <w:tcW w:type="dxa" w:w="385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避免“有患者但无 crackle evidence”的伪 low-shot。</w:t>
            </w:r>
          </w:p>
        </w:tc>
      </w:tr>
      <w:tr>
        <w:trPr>
          <w:cantSplit/>
          <w:trHeight w:hRule="auto"/>
        </w:trPr>
        <w:tc>
          <w:tcPr>
            <w:tcW w:type="dxa" w:w="238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wheeze-positive groups</w:t>
            </w:r>
          </w:p>
        </w:tc>
        <w:tc>
          <w:tcPr>
            <w:tcW w:type="dxa" w:w="28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1, 2, 4, 8, 16</w:t>
            </w:r>
          </w:p>
        </w:tc>
        <w:tc>
          <w:tcPr>
            <w:tcW w:type="dxa" w:w="385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同上。</w:t>
            </w:r>
          </w:p>
        </w:tc>
      </w:tr>
      <w:tr>
        <w:trPr>
          <w:cantSplit/>
          <w:trHeight w:hRule="auto"/>
        </w:trPr>
        <w:tc>
          <w:tcPr>
            <w:tcW w:type="dxa" w:w="238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最小重复</w:t>
            </w:r>
          </w:p>
        </w:tc>
        <w:tc>
          <w:tcPr>
            <w:tcW w:type="dxa" w:w="28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5 group draws × 3 optimization seeds</w:t>
            </w:r>
          </w:p>
        </w:tc>
        <w:tc>
          <w:tcPr>
            <w:tcW w:type="dxa" w:w="385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每个 condition/shot 至少 15 runs。</w:t>
            </w:r>
          </w:p>
        </w:tc>
      </w:tr>
      <w:tr>
        <w:trPr>
          <w:cantSplit/>
          <w:trHeight w:hRule="auto"/>
        </w:trPr>
        <w:tc>
          <w:tcPr>
            <w:tcW w:type="dxa" w:w="238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推荐重复</w:t>
            </w:r>
          </w:p>
        </w:tc>
        <w:tc>
          <w:tcPr>
            <w:tcW w:type="dxa" w:w="28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10 group draws × 3 optimization seeds</w:t>
            </w:r>
          </w:p>
        </w:tc>
        <w:tc>
          <w:tcPr>
            <w:tcW w:type="dxa" w:w="385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用于较稳定 hierarchical uncertainty。</w:t>
            </w:r>
          </w:p>
        </w:tc>
      </w:tr>
    </w:tbl>
    <w:p>
      <w:pPr>
        <w:spacing w:after="20"/>
      </w:pPr>
    </w:p>
    <w:p>
      <w:pPr>
        <w:pStyle w:val="Heading2"/>
        <w:keepNext/>
      </w:pPr>
      <w:r>
        <w:t>8.5 最小、最有证伪力的实验</w:t>
      </w:r>
    </w:p>
    <w:tbl>
      <w:tblPr>
        <w:tblW w:type="auto" w:w="0"/>
        <w:jc w:val="center"/>
        <w:tblLayout w:type="fixed"/>
        <w:tblLook w:firstColumn="1" w:firstRow="1" w:lastColumn="0" w:lastRow="0" w:noHBand="0" w:noVBand="1" w:val="04A0"/>
      </w:tblPr>
      <w:tblGrid>
        <w:gridCol w:w="9468"/>
      </w:tblGrid>
      <w:tr>
        <w:trPr>
          <w:cantSplit/>
          <w:trHeight w:hRule="auto"/>
        </w:trPr>
        <w:tc>
          <w:tcPr>
            <w:tcW w:type="dxa" w:w="9184"/>
            <w:shd w:fill="EAF6EF"/>
            <w:tcMar>
              <w:top w:w="130" w:type="dxa"/>
              <w:start w:w="180" w:type="dxa"/>
              <w:bottom w:w="130" w:type="dxa"/>
              <w:end w:w="180" w:type="dxa"/>
            </w:tcMar>
            <w:tcBorders>
              <w:top w:val="nil"/>
              <w:bottom w:val="nil"/>
              <w:start w:val="single" w:sz="22" w:color="26734D"/>
              <w:end w:val="nil"/>
            </w:tcBorders>
          </w:tcPr>
          <w:p>
            <w:pPr>
              <w:keepLines/>
              <w:spacing w:after="80"/>
            </w:pPr>
            <w:r>
              <w:rPr>
                <w:rFonts w:ascii="Noto Sans CJK SC" w:hAnsi="Noto Sans CJK SC" w:eastAsia="Noto Sans CJK SC"/>
                <w:b/>
                <w:color w:val="26734D"/>
                <w:sz w:val="22"/>
              </w:rPr>
              <w:t>最小实验</w:t>
            </w:r>
          </w:p>
          <w:p>
            <w:pPr>
              <w:spacing w:before="0" w:after="0" w:line="300" w:lineRule="auto"/>
              <w:jc w:val="both"/>
              <w:keepLines/>
              <w:widowControl w:val="1"/>
            </w:pPr>
            <w:r>
              <w:rPr>
                <w:rFonts w:ascii="Noto Serif CJK SC" w:hAnsi="Noto Serif CJK SC" w:eastAsia="Noto Serif CJK SC"/>
                <w:color w:val="111827"/>
                <w:sz w:val="20"/>
              </w:rPr>
              <w:t>只使用 ICBHI cycles 与 SPRSound events，做 reciprocal target-supervised group-low-shot adaptation：full ICBHI source → low-shot SPR target；full SPR source → low-shot ICBHI target。使用同一 clean generic pretrained encoder、同一小型 adapter 与 native heads。</w:t>
            </w:r>
          </w:p>
        </w:tc>
      </w:tr>
    </w:tbl>
    <w:p>
      <w:pPr>
        <w:spacing w:after="20"/>
      </w:pPr>
    </w:p>
    <w:tbl>
      <w:tblPr>
        <w:tblStyle w:val="TableGrid"/>
        <w:tblW w:type="auto" w:w="0"/>
        <w:jc w:val="center"/>
        <w:tblLayout w:type="fixed"/>
        <w:tblLook w:firstColumn="1" w:firstRow="1" w:lastColumn="0" w:lastRow="0" w:noHBand="0" w:noVBand="1" w:val="04A0"/>
      </w:tblPr>
      <w:tblGrid>
        <w:gridCol w:w="3156"/>
        <w:gridCol w:w="3156"/>
        <w:gridCol w:w="3156"/>
      </w:tblGrid>
      <w:tr>
        <w:trPr>
          <w:trHeight w:hRule="auto"/>
          <w:tblHeader w:val="true"/>
        </w:trPr>
        <w:tc>
          <w:tcPr>
            <w:tcW w:type="dxa" w:w="1134"/>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条件</w:t>
            </w:r>
          </w:p>
        </w:tc>
        <w:tc>
          <w:tcPr>
            <w:tcW w:type="dxa" w:w="2835"/>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模型</w:t>
            </w:r>
          </w:p>
        </w:tc>
        <w:tc>
          <w:tcPr>
            <w:tcW w:type="dxa" w:w="5102"/>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目的</w:t>
            </w:r>
          </w:p>
        </w:tc>
      </w:tr>
      <w:tr>
        <w:trPr>
          <w:cantSplit/>
          <w:trHeight w:hRule="auto"/>
        </w:trPr>
        <w:tc>
          <w:tcPr>
            <w:tcW w:type="dxa" w:w="113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M0</w:t>
            </w:r>
          </w:p>
        </w:tc>
        <w:tc>
          <w:tcPr>
            <w:tcW w:type="dxa" w:w="28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Native-only</w:t>
            </w:r>
          </w:p>
        </w:tc>
        <w:tc>
          <w:tcPr>
            <w:tcW w:type="dxa" w:w="510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无额外 attribute supervision。</w:t>
            </w:r>
          </w:p>
        </w:tc>
      </w:tr>
      <w:tr>
        <w:trPr>
          <w:cantSplit/>
          <w:trHeight w:hRule="auto"/>
        </w:trPr>
        <w:tc>
          <w:tcPr>
            <w:tcW w:type="dxa" w:w="113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M1</w:t>
            </w:r>
          </w:p>
        </w:tc>
        <w:tc>
          <w:tcPr>
            <w:tcW w:type="dxa" w:w="28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Dataset-specific attributes</w:t>
            </w:r>
          </w:p>
        </w:tc>
        <w:tc>
          <w:tcPr>
            <w:tcW w:type="dxa" w:w="510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ICBHI 与 SPR 各自拥有 crackle/wheeze heads；参数和标签暴露与 M2 匹配。</w:t>
            </w:r>
          </w:p>
        </w:tc>
      </w:tr>
      <w:tr>
        <w:trPr>
          <w:cantSplit/>
          <w:trHeight w:hRule="auto"/>
        </w:trPr>
        <w:tc>
          <w:tcPr>
            <w:tcW w:type="dxa" w:w="113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M2</w:t>
            </w:r>
          </w:p>
        </w:tc>
        <w:tc>
          <w:tcPr>
            <w:tcW w:type="dxa" w:w="28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Shared attributes</w:t>
            </w:r>
          </w:p>
        </w:tc>
        <w:tc>
          <w:tcPr>
            <w:tcW w:type="dxa" w:w="510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一个共享 crackle head + 一个共享 wheeze head；只对 eligible labels 计算 loss。</w:t>
            </w:r>
          </w:p>
        </w:tc>
      </w:tr>
      <w:tr>
        <w:trPr>
          <w:cantSplit/>
          <w:trHeight w:hRule="auto"/>
        </w:trPr>
        <w:tc>
          <w:tcPr>
            <w:tcW w:type="dxa" w:w="113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M3</w:t>
            </w:r>
          </w:p>
        </w:tc>
        <w:tc>
          <w:tcPr>
            <w:tcW w:type="dxa" w:w="28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Shared + unknown→negative</w:t>
            </w:r>
          </w:p>
        </w:tc>
        <w:tc>
          <w:tcPr>
            <w:tcW w:type="dxa" w:w="510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故意错误的 safety control，用于量化 false-negative harm。</w:t>
            </w:r>
          </w:p>
        </w:tc>
      </w:tr>
    </w:tbl>
    <w:p>
      <w:pPr>
        <w:spacing w:after="20"/>
      </w:pPr>
    </w:p>
    <w:p>
      <w:pPr>
        <w:spacing w:before="0" w:after="100" w:line="331" w:lineRule="auto"/>
        <w:ind w:firstLine="420"/>
        <w:jc w:val="both"/>
        <w:widowControl w:val="1"/>
      </w:pPr>
      <w:r>
        <w:rPr>
          <w:rFonts w:ascii="Noto Serif CJK SC" w:hAnsi="Noto Serif CJK SC" w:eastAsia="Noto Serif CJK SC"/>
          <w:color w:val="111827"/>
          <w:sz w:val="21"/>
        </w:rPr>
        <w:t>最小 gate 中不加入 HF、KAUH、joint head、consistency、MoE、router 或新 pooling。该实验直接操纵唯一关键变量：attribute heads 是否跨数据集共享。若 M2 不能稳定优于 M1，则核心“共享”假设应判定为未获支持，而不是通过叠加复杂模块来挽救。</w:t>
      </w:r>
    </w:p>
    <w:p>
      <w:pPr>
        <w:pStyle w:val="Heading2"/>
        <w:keepNext/>
      </w:pPr>
      <w:r>
        <w:t>8.6 最小实验的证伪标准</w:t>
      </w:r>
    </w:p>
    <w:p>
      <w:pPr>
        <w:pStyle w:val="ListBullet"/>
        <w:spacing w:before="0" w:after="50" w:line="307" w:lineRule="auto"/>
        <w:ind w:left="369" w:hanging="198"/>
        <w:widowControl w:val="1"/>
      </w:pPr>
      <w:r>
        <w:rPr>
          <w:rFonts w:ascii="Noto Serif CJK SC" w:hAnsi="Noto Serif CJK SC" w:eastAsia="Noto Serif CJK SC"/>
          <w:color w:val="111827"/>
          <w:sz w:val="20"/>
        </w:rPr>
        <w:t>shared 相对 dataset-specific attributes 的 attribute macro-AUPRC/AULC 增益小于 0.02 absolute；</w:t>
      </w:r>
    </w:p>
    <w:p>
      <w:pPr>
        <w:pStyle w:val="ListBullet"/>
        <w:spacing w:before="0" w:after="50" w:line="307" w:lineRule="auto"/>
        <w:ind w:left="369" w:hanging="198"/>
        <w:widowControl w:val="1"/>
      </w:pPr>
      <w:r>
        <w:rPr>
          <w:rFonts w:ascii="Noto Serif CJK SC" w:hAnsi="Noto Serif CJK SC" w:eastAsia="Noto Serif CJK SC"/>
          <w:color w:val="111827"/>
          <w:sz w:val="20"/>
        </w:rPr>
        <w:t>hierarchical-bootstrap 95% CI 跨 0；</w:t>
      </w:r>
    </w:p>
    <w:p>
      <w:pPr>
        <w:pStyle w:val="ListBullet"/>
        <w:spacing w:before="0" w:after="50" w:line="307" w:lineRule="auto"/>
        <w:ind w:left="369" w:hanging="198"/>
        <w:widowControl w:val="1"/>
      </w:pPr>
      <w:r>
        <w:rPr>
          <w:rFonts w:ascii="Noto Serif CJK SC" w:hAnsi="Noto Serif CJK SC" w:eastAsia="Noto Serif CJK SC"/>
          <w:color w:val="111827"/>
          <w:sz w:val="20"/>
        </w:rPr>
        <w:t>增益只在一个 source→target 方向成立；</w:t>
      </w:r>
    </w:p>
    <w:p>
      <w:pPr>
        <w:pStyle w:val="ListBullet"/>
        <w:spacing w:before="0" w:after="50" w:line="307" w:lineRule="auto"/>
        <w:ind w:left="369" w:hanging="198"/>
        <w:widowControl w:val="1"/>
      </w:pPr>
      <w:r>
        <w:rPr>
          <w:rFonts w:ascii="Noto Serif CJK SC" w:hAnsi="Noto Serif CJK SC" w:eastAsia="Noto Serif CJK SC"/>
          <w:color w:val="111827"/>
          <w:sz w:val="20"/>
        </w:rPr>
        <w:t>只改善 attribute probe，而不改善 native rare-class endpoint；</w:t>
      </w:r>
    </w:p>
    <w:p>
      <w:pPr>
        <w:pStyle w:val="ListBullet"/>
        <w:spacing w:before="0" w:after="50" w:line="307" w:lineRule="auto"/>
        <w:ind w:left="369" w:hanging="198"/>
        <w:widowControl w:val="1"/>
      </w:pPr>
      <w:r>
        <w:rPr>
          <w:rFonts w:ascii="Noto Serif CJK SC" w:hAnsi="Noto Serif CJK SC" w:eastAsia="Noto Serif CJK SC"/>
          <w:color w:val="111827"/>
          <w:sz w:val="20"/>
        </w:rPr>
        <w:t>normal/common specificity 或 native primary metric 超过 guardrail 回退；</w:t>
      </w:r>
    </w:p>
    <w:p>
      <w:pPr>
        <w:pStyle w:val="ListBullet"/>
        <w:spacing w:before="0" w:after="50" w:line="307" w:lineRule="auto"/>
        <w:ind w:left="369" w:hanging="198"/>
        <w:widowControl w:val="1"/>
      </w:pPr>
      <w:r>
        <w:rPr>
          <w:rFonts w:ascii="Noto Serif CJK SC" w:hAnsi="Noto Serif CJK SC" w:eastAsia="Noto Serif CJK SC"/>
          <w:color w:val="111827"/>
          <w:sz w:val="20"/>
        </w:rPr>
        <w:t>结果只在 ICBHI-task encoder 或 aggressive mapping 下成立。</w:t>
      </w:r>
    </w:p>
    <w:p>
      <w:pPr>
        <w:pStyle w:val="Heading1"/>
        <w:keepNext/>
      </w:pPr>
      <w:r>
        <w:t>9. 指标、guardrails、materiality 与 go/no-go rule</w:t>
      </w:r>
    </w:p>
    <w:p>
      <w:pPr>
        <w:pStyle w:val="Heading2"/>
        <w:keepNext/>
      </w:pPr>
      <w:r>
        <w:t>9.1 Co-primary endpoints</w:t>
      </w:r>
    </w:p>
    <w:tbl>
      <w:tblPr>
        <w:tblStyle w:val="TableGrid"/>
        <w:tblW w:type="auto" w:w="0"/>
        <w:jc w:val="center"/>
        <w:tblLayout w:type="fixed"/>
        <w:tblLook w:firstColumn="1" w:firstRow="1" w:lastColumn="0" w:lastRow="0" w:noHBand="0" w:noVBand="1" w:val="04A0"/>
      </w:tblPr>
      <w:tblGrid>
        <w:gridCol w:w="4734"/>
        <w:gridCol w:w="4734"/>
      </w:tblGrid>
      <w:tr>
        <w:trPr>
          <w:trHeight w:hRule="auto"/>
          <w:tblHeader w:val="true"/>
        </w:trPr>
        <w:tc>
          <w:tcPr>
            <w:tcW w:type="dxa" w:w="3005"/>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Primary endpoint</w:t>
            </w:r>
          </w:p>
        </w:tc>
        <w:tc>
          <w:tcPr>
            <w:tcW w:type="dxa" w:w="6066"/>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理由与定义</w:t>
            </w:r>
          </w:p>
        </w:tc>
      </w:tr>
      <w:tr>
        <w:trPr>
          <w:cantSplit/>
          <w:trHeight w:hRule="auto"/>
        </w:trPr>
        <w:tc>
          <w:tcPr>
            <w:tcW w:type="dxa" w:w="300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Target attribute macro-AUPRC</w:t>
            </w:r>
          </w:p>
        </w:tc>
        <w:tc>
          <w:tcPr>
            <w:tcW w:type="dxa" w:w="6066"/>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分别计算 crackle/wheeze AUPRC，并取 macro；适合严重不平衡且不依赖固定 threshold。</w:t>
            </w:r>
          </w:p>
        </w:tc>
      </w:tr>
      <w:tr>
        <w:trPr>
          <w:cantSplit/>
          <w:trHeight w:hRule="auto"/>
        </w:trPr>
        <w:tc>
          <w:tcPr>
            <w:tcW w:type="dxa" w:w="300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Area under low-shot learning curve</w:t>
            </w:r>
          </w:p>
        </w:tc>
        <w:tc>
          <w:tcPr>
            <w:tcW w:type="dxa" w:w="6066"/>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在预注册 shot levels 上汇总 sample efficiency，而非只挑一个 shot。</w:t>
            </w:r>
          </w:p>
        </w:tc>
      </w:tr>
      <w:tr>
        <w:trPr>
          <w:cantSplit/>
          <w:trHeight w:hRule="auto"/>
        </w:trPr>
        <w:tc>
          <w:tcPr>
            <w:tcW w:type="dxa" w:w="300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Target-native compatible-tail performance</w:t>
            </w:r>
          </w:p>
        </w:tc>
        <w:tc>
          <w:tcPr>
            <w:tcW w:type="dxa" w:w="6066"/>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ICBHI crackle/wheeze/both one-vs-rest AUPRC、flat4 macro F1/UAR；SPR fine/coarse crackle、wheeze、W+C 的 macro-AUPRC/F1。</w:t>
            </w:r>
          </w:p>
        </w:tc>
      </w:tr>
    </w:tbl>
    <w:p>
      <w:pPr>
        <w:spacing w:after="20"/>
      </w:pPr>
    </w:p>
    <w:p>
      <w:pPr>
        <w:pStyle w:val="Heading2"/>
        <w:keepNext/>
      </w:pPr>
      <w:r>
        <w:t>9.2 Secondary 与 diagnostic 指标</w:t>
      </w:r>
    </w:p>
    <w:tbl>
      <w:tblPr>
        <w:tblStyle w:val="TableGrid"/>
        <w:tblW w:type="auto" w:w="0"/>
        <w:jc w:val="center"/>
        <w:tblLayout w:type="fixed"/>
        <w:tblLook w:firstColumn="1" w:firstRow="1" w:lastColumn="0" w:lastRow="0" w:noHBand="0" w:noVBand="1" w:val="04A0"/>
      </w:tblPr>
      <w:tblGrid>
        <w:gridCol w:w="4734"/>
        <w:gridCol w:w="4734"/>
      </w:tblGrid>
      <w:tr>
        <w:trPr>
          <w:trHeight w:hRule="auto"/>
          <w:tblHeader w:val="true"/>
        </w:trPr>
        <w:tc>
          <w:tcPr>
            <w:tcW w:type="dxa" w:w="2268"/>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层级</w:t>
            </w:r>
          </w:p>
        </w:tc>
        <w:tc>
          <w:tcPr>
            <w:tcW w:type="dxa" w:w="6803"/>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指标</w:t>
            </w:r>
          </w:p>
        </w:tc>
      </w:tr>
      <w:tr>
        <w:trPr>
          <w:cantSplit/>
          <w:trHeight w:hRule="auto"/>
        </w:trPr>
        <w:tc>
          <w:tcPr>
            <w:tcW w:type="dxa" w:w="226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Key secondary</w:t>
            </w:r>
          </w:p>
        </w:tc>
        <w:tc>
          <w:tcPr>
            <w:tcW w:type="dxa" w:w="6803"/>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Both recall；per-attribute recall/specificity；ICBHI Sp/Se/Score；SPRSound native binary/seven metrics；Brier/ECE；common-class performance。</w:t>
            </w:r>
          </w:p>
        </w:tc>
      </w:tr>
      <w:tr>
        <w:trPr>
          <w:cantSplit/>
          <w:trHeight w:hRule="auto"/>
        </w:trPr>
        <w:tc>
          <w:tcPr>
            <w:tcW w:type="dxa" w:w="226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Coverage/support</w:t>
            </w:r>
          </w:p>
        </w:tc>
        <w:tc>
          <w:tcPr>
            <w:tcW w:type="dxa" w:w="6803"/>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sample support、patient/group support、positive-group support、eligible coverage、unknown coverage、quality-excluded coverage。</w:t>
            </w:r>
          </w:p>
        </w:tc>
      </w:tr>
      <w:tr>
        <w:trPr>
          <w:cantSplit/>
          <w:trHeight w:hRule="auto"/>
        </w:trPr>
        <w:tc>
          <w:tcPr>
            <w:tcW w:type="dxa" w:w="226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Diagnostic only</w:t>
            </w:r>
          </w:p>
        </w:tc>
        <w:tc>
          <w:tcPr>
            <w:tcW w:type="dxa" w:w="6803"/>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attribute–joint disagreement、dataset-ID accuracy、HF predicted-positive prevalence、HF all-positive diagnostic、device/acquisition probes、KAUH tiny-class per-class result。</w:t>
            </w:r>
          </w:p>
        </w:tc>
      </w:tr>
    </w:tbl>
    <w:p>
      <w:pPr>
        <w:spacing w:after="20"/>
      </w:pPr>
    </w:p>
    <w:p>
      <w:pPr>
        <w:spacing w:before="0" w:after="100" w:line="331" w:lineRule="auto"/>
        <w:ind w:firstLine="420"/>
        <w:jc w:val="both"/>
        <w:widowControl w:val="1"/>
      </w:pPr>
      <w:r>
        <w:rPr>
          <w:rFonts w:ascii="Noto Serif CJK SC" w:hAnsi="Noto Serif CJK SC" w:eastAsia="Noto Serif CJK SC"/>
          <w:color w:val="111827"/>
          <w:sz w:val="21"/>
        </w:rPr>
        <w:t>aggregate Score 不能单独作为 primary endpoint。不同任务的 raw Score 不能直接相减并称为 degradation；每个数据集必须使用 native metric definition，并同时报告 rare/common class behavior。</w:t>
      </w:r>
    </w:p>
    <w:p>
      <w:pPr>
        <w:pStyle w:val="Heading2"/>
        <w:keepNext/>
      </w:pPr>
      <w:r>
        <w:t>9.3 统计与不确定性</w:t>
      </w:r>
    </w:p>
    <w:p>
      <w:pPr>
        <w:pStyle w:val="ListBullet"/>
        <w:spacing w:before="0" w:after="50" w:line="307" w:lineRule="auto"/>
        <w:ind w:left="369" w:hanging="198"/>
        <w:widowControl w:val="1"/>
      </w:pPr>
      <w:r>
        <w:rPr>
          <w:rFonts w:ascii="Noto Serif CJK SC" w:hAnsi="Noto Serif CJK SC" w:eastAsia="Noto Serif CJK SC"/>
          <w:color w:val="111827"/>
          <w:sz w:val="20"/>
        </w:rPr>
        <w:t>置信区间按 patient/group hierarchical bootstrap 计算，不能把 events/cycles 当作独立样本。</w:t>
      </w:r>
    </w:p>
    <w:p>
      <w:pPr>
        <w:pStyle w:val="ListBullet"/>
        <w:spacing w:before="0" w:after="50" w:line="307" w:lineRule="auto"/>
        <w:ind w:left="369" w:hanging="198"/>
        <w:widowControl w:val="1"/>
      </w:pPr>
      <w:r>
        <w:rPr>
          <w:rFonts w:ascii="Noto Serif CJK SC" w:hAnsi="Noto Serif CJK SC" w:eastAsia="Noto Serif CJK SC"/>
          <w:color w:val="111827"/>
          <w:sz w:val="20"/>
        </w:rPr>
        <w:t>区分 group-draw variance 与 optimization-seed variance。</w:t>
      </w:r>
    </w:p>
    <w:p>
      <w:pPr>
        <w:pStyle w:val="ListBullet"/>
        <w:spacing w:before="0" w:after="50" w:line="307" w:lineRule="auto"/>
        <w:ind w:left="369" w:hanging="198"/>
        <w:widowControl w:val="1"/>
      </w:pPr>
      <w:r>
        <w:rPr>
          <w:rFonts w:ascii="Noto Serif CJK SC" w:hAnsi="Noto Serif CJK SC" w:eastAsia="Noto Serif CJK SC"/>
          <w:color w:val="111827"/>
          <w:sz w:val="20"/>
        </w:rPr>
        <w:t>SPRSound inter 固定为 unseen-patient outer test；intra 只作 repeated-subject diagnostic。</w:t>
      </w:r>
    </w:p>
    <w:p>
      <w:pPr>
        <w:pStyle w:val="ListBullet"/>
        <w:spacing w:before="0" w:after="50" w:line="307" w:lineRule="auto"/>
        <w:ind w:left="369" w:hanging="198"/>
        <w:widowControl w:val="1"/>
      </w:pPr>
      <w:r>
        <w:rPr>
          <w:rFonts w:ascii="Noto Serif CJK SC" w:hAnsi="Noto Serif CJK SC" w:eastAsia="Noto Serif CJK SC"/>
          <w:color w:val="111827"/>
          <w:sz w:val="20"/>
        </w:rPr>
        <w:t>ICBHI 使用严格 patient-disjoint outer manifest；官方 recording split 不自动等于 patient-disjoint。</w:t>
      </w:r>
    </w:p>
    <w:p>
      <w:pPr>
        <w:pStyle w:val="ListBullet"/>
        <w:spacing w:before="0" w:after="50" w:line="307" w:lineRule="auto"/>
        <w:ind w:left="369" w:hanging="198"/>
        <w:widowControl w:val="1"/>
      </w:pPr>
      <w:r>
        <w:rPr>
          <w:rFonts w:ascii="Noto Serif CJK SC" w:hAnsi="Noto Serif CJK SC" w:eastAsia="Noto Serif CJK SC"/>
          <w:color w:val="111827"/>
          <w:sz w:val="20"/>
        </w:rPr>
        <w:t>极低 support 类必须同时报告 group support；support 为 0 或 1 时不得形成稳定 recall claim。</w:t>
      </w:r>
    </w:p>
    <w:p>
      <w:pPr>
        <w:pStyle w:val="Heading2"/>
        <w:keepNext/>
      </w:pPr>
      <w:r>
        <w:t>9.4 Guardrails</w:t>
      </w:r>
    </w:p>
    <w:tbl>
      <w:tblPr>
        <w:tblStyle w:val="TableGrid"/>
        <w:tblW w:type="auto" w:w="0"/>
        <w:jc w:val="center"/>
        <w:tblLayout w:type="fixed"/>
        <w:tblLook w:firstColumn="1" w:firstRow="1" w:lastColumn="0" w:lastRow="0" w:noHBand="0" w:noVBand="1" w:val="04A0"/>
      </w:tblPr>
      <w:tblGrid>
        <w:gridCol w:w="4734"/>
        <w:gridCol w:w="4734"/>
      </w:tblGrid>
      <w:tr>
        <w:trPr>
          <w:trHeight w:hRule="auto"/>
          <w:tblHeader w:val="true"/>
        </w:trPr>
        <w:tc>
          <w:tcPr>
            <w:tcW w:type="dxa" w:w="2494"/>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Guardrail</w:t>
            </w:r>
          </w:p>
        </w:tc>
        <w:tc>
          <w:tcPr>
            <w:tcW w:type="dxa" w:w="6576"/>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规则</w:t>
            </w:r>
          </w:p>
        </w:tc>
      </w:tr>
      <w:tr>
        <w:trPr>
          <w:cantSplit/>
          <w:trHeight w:hRule="auto"/>
        </w:trPr>
        <w:tc>
          <w:tcPr>
            <w:tcW w:type="dxa" w:w="249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Outer-test isolation</w:t>
            </w:r>
          </w:p>
        </w:tc>
        <w:tc>
          <w:tcPr>
            <w:tcW w:type="dxa" w:w="6576"/>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outer test 不得选择 epoch、threshold、attribute set、mapping、encoder、consistency weight 或 HF loss weight。</w:t>
            </w:r>
          </w:p>
        </w:tc>
      </w:tr>
      <w:tr>
        <w:trPr>
          <w:cantSplit/>
          <w:trHeight w:hRule="auto"/>
        </w:trPr>
        <w:tc>
          <w:tcPr>
            <w:tcW w:type="dxa" w:w="249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Common-class guardrail</w:t>
            </w:r>
          </w:p>
        </w:tc>
        <w:tc>
          <w:tcPr>
            <w:tcW w:type="dxa" w:w="6576"/>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normal/common specificity 下降不超过 1–2 个绝对百分点；推荐 1 个百分点。</w:t>
            </w:r>
          </w:p>
        </w:tc>
      </w:tr>
      <w:tr>
        <w:trPr>
          <w:cantSplit/>
          <w:trHeight w:hRule="auto"/>
        </w:trPr>
        <w:tc>
          <w:tcPr>
            <w:tcW w:type="dxa" w:w="249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Native-task guardrail</w:t>
            </w:r>
          </w:p>
        </w:tc>
        <w:tc>
          <w:tcPr>
            <w:tcW w:type="dxa" w:w="6576"/>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任一 target-native primary metric 回退不超过 0.02 absolute。</w:t>
            </w:r>
          </w:p>
        </w:tc>
      </w:tr>
      <w:tr>
        <w:trPr>
          <w:cantSplit/>
          <w:trHeight w:hRule="auto"/>
        </w:trPr>
        <w:tc>
          <w:tcPr>
            <w:tcW w:type="dxa" w:w="249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HF collapse guardrail</w:t>
            </w:r>
          </w:p>
        </w:tc>
        <w:tc>
          <w:tcPr>
            <w:tcW w:type="dxa" w:w="6576"/>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HF-on 必须通过 predicted-positive prevalence、specificity、calibration 与 no-all-positive checks。</w:t>
            </w:r>
          </w:p>
        </w:tc>
      </w:tr>
      <w:tr>
        <w:trPr>
          <w:cantSplit/>
          <w:trHeight w:hRule="auto"/>
        </w:trPr>
        <w:tc>
          <w:tcPr>
            <w:tcW w:type="dxa" w:w="249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Transfer reporting</w:t>
            </w:r>
          </w:p>
        </w:tc>
        <w:tc>
          <w:tcPr>
            <w:tcW w:type="dxa" w:w="6576"/>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zero-target/source-only、target-supervised low-shot、full target adaptation 必须分开。</w:t>
            </w:r>
          </w:p>
        </w:tc>
      </w:tr>
      <w:tr>
        <w:trPr>
          <w:cantSplit/>
          <w:trHeight w:hRule="auto"/>
        </w:trPr>
        <w:tc>
          <w:tcPr>
            <w:tcW w:type="dxa" w:w="249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Mapping integrity</w:t>
            </w:r>
          </w:p>
        </w:tc>
        <w:tc>
          <w:tcPr>
            <w:tcW w:type="dxa" w:w="6576"/>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unknown→negative 只作为违规控制，不参与模型选择。</w:t>
            </w:r>
          </w:p>
        </w:tc>
      </w:tr>
    </w:tbl>
    <w:p>
      <w:pPr>
        <w:spacing w:after="20"/>
      </w:pPr>
    </w:p>
    <w:p>
      <w:pPr>
        <w:pStyle w:val="Heading2"/>
        <w:keepNext/>
      </w:pPr>
      <w:r>
        <w:t>9.5 Practical materiality threshold</w:t>
      </w:r>
    </w:p>
    <w:p>
      <w:pPr>
        <w:spacing w:before="0" w:after="100" w:line="331" w:lineRule="auto"/>
        <w:ind w:firstLine="420"/>
        <w:jc w:val="both"/>
        <w:widowControl w:val="1"/>
      </w:pPr>
      <w:r>
        <w:rPr>
          <w:rFonts w:ascii="Noto Serif CJK SC" w:hAnsi="Noto Serif CJK SC" w:eastAsia="Noto Serif CJK SC"/>
          <w:color w:val="111827"/>
          <w:sz w:val="21"/>
        </w:rPr>
        <w:t>以下阈值应在 pilot variance 可见后正式冻结；它们是项目级 practical thresholds，而非领域通用定律：</w:t>
      </w:r>
    </w:p>
    <w:p>
      <w:pPr>
        <w:pStyle w:val="ListBullet"/>
        <w:spacing w:before="0" w:after="50" w:line="307" w:lineRule="auto"/>
        <w:ind w:left="369" w:hanging="198"/>
        <w:widowControl w:val="1"/>
      </w:pPr>
      <w:r>
        <w:rPr>
          <w:rFonts w:ascii="Noto Serif CJK SC" w:hAnsi="Noto Serif CJK SC" w:eastAsia="Noto Serif CJK SC"/>
          <w:color w:val="111827"/>
          <w:sz w:val="20"/>
        </w:rPr>
        <w:t>shared 相对 parameter-matched independent attributes：attribute macro-AUPRC 或 AULC 至少 +0.02 absolute；</w:t>
      </w:r>
    </w:p>
    <w:p>
      <w:pPr>
        <w:pStyle w:val="ListBullet"/>
        <w:spacing w:before="0" w:after="50" w:line="307" w:lineRule="auto"/>
        <w:ind w:left="369" w:hanging="198"/>
        <w:widowControl w:val="1"/>
      </w:pPr>
      <w:r>
        <w:rPr>
          <w:rFonts w:ascii="Noto Serif CJK SC" w:hAnsi="Noto Serif CJK SC" w:eastAsia="Noto Serif CJK SC"/>
          <w:color w:val="111827"/>
          <w:sz w:val="20"/>
        </w:rPr>
        <w:t>hierarchical-bootstrap 95% CI 下界大于 0；</w:t>
      </w:r>
    </w:p>
    <w:p>
      <w:pPr>
        <w:pStyle w:val="ListBullet"/>
        <w:spacing w:before="0" w:after="50" w:line="307" w:lineRule="auto"/>
        <w:ind w:left="369" w:hanging="198"/>
        <w:widowControl w:val="1"/>
      </w:pPr>
      <w:r>
        <w:rPr>
          <w:rFonts w:ascii="Noto Serif CJK SC" w:hAnsi="Noto Serif CJK SC" w:eastAsia="Noto Serif CJK SC"/>
          <w:color w:val="111827"/>
          <w:sz w:val="20"/>
        </w:rPr>
        <w:t>rare-class recall 在固定 common-class guardrail 下至少 +0.05 absolute；</w:t>
      </w:r>
    </w:p>
    <w:p>
      <w:pPr>
        <w:pStyle w:val="ListBullet"/>
        <w:spacing w:before="0" w:after="50" w:line="307" w:lineRule="auto"/>
        <w:ind w:left="369" w:hanging="198"/>
        <w:widowControl w:val="1"/>
      </w:pPr>
      <w:r>
        <w:rPr>
          <w:rFonts w:ascii="Noto Serif CJK SC" w:hAnsi="Noto Serif CJK SC" w:eastAsia="Noto Serif CJK SC"/>
          <w:color w:val="111827"/>
          <w:sz w:val="20"/>
        </w:rPr>
        <w:t>至少两个 target directions/datasets 同方向；</w:t>
      </w:r>
    </w:p>
    <w:p>
      <w:pPr>
        <w:pStyle w:val="ListBullet"/>
        <w:spacing w:before="0" w:after="50" w:line="307" w:lineRule="auto"/>
        <w:ind w:left="369" w:hanging="198"/>
        <w:widowControl w:val="1"/>
      </w:pPr>
      <w:r>
        <w:rPr>
          <w:rFonts w:ascii="Noto Serif CJK SC" w:hAnsi="Noto Serif CJK SC" w:eastAsia="Noto Serif CJK SC"/>
          <w:color w:val="111827"/>
          <w:sz w:val="20"/>
        </w:rPr>
        <w:t>任何 native primary regression 不超过 0.02；</w:t>
      </w:r>
    </w:p>
    <w:p>
      <w:pPr>
        <w:pStyle w:val="ListBullet"/>
        <w:spacing w:before="0" w:after="50" w:line="307" w:lineRule="auto"/>
        <w:ind w:left="369" w:hanging="198"/>
        <w:widowControl w:val="1"/>
      </w:pPr>
      <w:r>
        <w:rPr>
          <w:rFonts w:ascii="Noto Serif CJK SC" w:hAnsi="Noto Serif CJK SC" w:eastAsia="Noto Serif CJK SC"/>
          <w:color w:val="111827"/>
          <w:sz w:val="20"/>
        </w:rPr>
        <w:t>specificity 下降不超过 0.01–0.02。</w:t>
      </w:r>
    </w:p>
    <w:p>
      <w:pPr>
        <w:pStyle w:val="Heading2"/>
        <w:keepNext/>
      </w:pPr>
      <w:r>
        <w:t>9.6 Go / No-Go rule</w:t>
      </w:r>
    </w:p>
    <w:tbl>
      <w:tblPr>
        <w:tblStyle w:val="TableGrid"/>
        <w:tblW w:type="auto" w:w="0"/>
        <w:jc w:val="center"/>
        <w:tblLayout w:type="fixed"/>
        <w:tblLook w:firstColumn="1" w:firstRow="1" w:lastColumn="0" w:lastRow="0" w:noHBand="0" w:noVBand="1" w:val="04A0"/>
      </w:tblPr>
      <w:tblGrid>
        <w:gridCol w:w="4734"/>
        <w:gridCol w:w="4734"/>
      </w:tblGrid>
      <w:tr>
        <w:trPr>
          <w:trHeight w:hRule="auto"/>
          <w:tblHeader w:val="true"/>
        </w:trPr>
        <w:tc>
          <w:tcPr>
            <w:tcW w:type="dxa" w:w="1361"/>
            <w:shd w:fill="2A7F82"/>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决策</w:t>
            </w:r>
          </w:p>
        </w:tc>
        <w:tc>
          <w:tcPr>
            <w:tcW w:type="dxa" w:w="7710"/>
            <w:shd w:fill="2A7F82"/>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8"/>
              </w:rPr>
              <w:t>条件</w:t>
            </w:r>
          </w:p>
        </w:tc>
      </w:tr>
      <w:tr>
        <w:trPr>
          <w:cantSplit/>
          <w:trHeight w:hRule="auto"/>
        </w:trPr>
        <w:tc>
          <w:tcPr>
            <w:tcW w:type="dxa" w:w="136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GO</w:t>
            </w:r>
          </w:p>
        </w:tc>
        <w:tc>
          <w:tcPr>
            <w:tcW w:type="dxa" w:w="771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shared attributes 显著且 materially 优于 dataset-specific attributes；low-shot curve 稳定；native rare-class 同步改善；common guardrail 通过；结果不只依赖 ICBHI-task encoder；至少两个方向；conservative mapping 下成立。</w:t>
            </w:r>
          </w:p>
        </w:tc>
      </w:tr>
      <w:tr>
        <w:trPr>
          <w:cantSplit/>
          <w:trHeight w:hRule="auto"/>
        </w:trPr>
        <w:tc>
          <w:tcPr>
            <w:tcW w:type="dxa" w:w="136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8"/>
              </w:rPr>
              <w:t>NO-GO</w:t>
            </w:r>
          </w:p>
        </w:tc>
        <w:tc>
          <w:tcPr>
            <w:tcW w:type="dxa" w:w="771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8"/>
              </w:rPr>
              <w:t>shared 与 independent 无差异；只相对 native-only 有增益；只改善 probe 不改善 native task；依赖 specificity 大幅下降；只在 aggressive mapping、单一 seed、单一方向或 HF positive collapse 下成立。</w:t>
            </w:r>
          </w:p>
        </w:tc>
      </w:tr>
    </w:tbl>
    <w:p>
      <w:pPr>
        <w:spacing w:after="20"/>
      </w:pPr>
    </w:p>
    <w:p>
      <w:pPr>
        <w:pStyle w:val="Heading1"/>
        <w:keepNext/>
      </w:pPr>
      <w:r>
        <w:t>10. Claim boundary、framing 与最终决策</w:t>
      </w:r>
    </w:p>
    <w:p>
      <w:pPr>
        <w:pStyle w:val="Heading2"/>
        <w:keepNext/>
      </w:pPr>
      <w:r>
        <w:t>10.1 不得声称的内容</w:t>
      </w:r>
    </w:p>
    <w:tbl>
      <w:tblPr>
        <w:tblStyle w:val="TableGrid"/>
        <w:tblW w:type="auto" w:w="0"/>
        <w:jc w:val="center"/>
        <w:tblLayout w:type="fixed"/>
        <w:tblLook w:firstColumn="1" w:firstRow="1" w:lastColumn="0" w:lastRow="0" w:noHBand="0" w:noVBand="1" w:val="04A0"/>
      </w:tblPr>
      <w:tblGrid>
        <w:gridCol w:w="4734"/>
        <w:gridCol w:w="4734"/>
      </w:tblGrid>
      <w:tr>
        <w:trPr>
          <w:trHeight w:hRule="auto"/>
          <w:tblHeader w:val="true"/>
        </w:trPr>
        <w:tc>
          <w:tcPr>
            <w:tcW w:type="dxa" w:w="3231"/>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禁止 claim</w:t>
            </w:r>
          </w:p>
        </w:tc>
        <w:tc>
          <w:tcPr>
            <w:tcW w:type="dxa" w:w="5839"/>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原因</w:t>
            </w:r>
          </w:p>
        </w:tc>
      </w:tr>
      <w:tr>
        <w:trPr>
          <w:cantSplit/>
          <w:trHeight w:hRule="auto"/>
        </w:trPr>
        <w:tc>
          <w:tcPr>
            <w:tcW w:type="dxa" w:w="32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首次 crackle/wheeze multi-label</w:t>
            </w:r>
          </w:p>
        </w:tc>
        <w:tc>
          <w:tcPr>
            <w:tcW w:type="dxa" w:w="583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PC-MCL 与 Chua/Cheng 等已有直接先例。</w:t>
            </w:r>
          </w:p>
        </w:tc>
      </w:tr>
      <w:tr>
        <w:trPr>
          <w:cantSplit/>
          <w:trHeight w:hRule="auto"/>
        </w:trPr>
        <w:tc>
          <w:tcPr>
            <w:tcW w:type="dxa" w:w="32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首次从属性重建 flat4</w:t>
            </w:r>
          </w:p>
        </w:tc>
        <w:tc>
          <w:tcPr>
            <w:tcW w:type="dxa" w:w="583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label powerset、multi-label 与 ICBHI 2-bit 语义已有先例。</w:t>
            </w:r>
          </w:p>
        </w:tc>
      </w:tr>
      <w:tr>
        <w:trPr>
          <w:cantSplit/>
          <w:trHeight w:hRule="auto"/>
        </w:trPr>
        <w:tc>
          <w:tcPr>
            <w:tcW w:type="dxa" w:w="32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首次融合多个 respiratory datasets</w:t>
            </w:r>
          </w:p>
        </w:tc>
        <w:tc>
          <w:tcPr>
            <w:tcW w:type="dxa" w:w="583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SPRSound data fusion、LungMix、OPERA 等已存在。</w:t>
            </w:r>
          </w:p>
        </w:tc>
      </w:tr>
      <w:tr>
        <w:trPr>
          <w:cantSplit/>
          <w:trHeight w:hRule="auto"/>
        </w:trPr>
        <w:tc>
          <w:tcPr>
            <w:tcW w:type="dxa" w:w="32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首次 cross-dataset respiratory classification</w:t>
            </w:r>
          </w:p>
        </w:tc>
        <w:tc>
          <w:tcPr>
            <w:tcW w:type="dxa" w:w="583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已有多项 IND/OOD 与 DG 工作。</w:t>
            </w:r>
          </w:p>
        </w:tc>
      </w:tr>
      <w:tr>
        <w:trPr>
          <w:cantSplit/>
          <w:trHeight w:hRule="auto"/>
        </w:trPr>
        <w:tc>
          <w:tcPr>
            <w:tcW w:type="dxa" w:w="32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target-head 高分证明 pathology</w:t>
            </w:r>
          </w:p>
        </w:tc>
        <w:tc>
          <w:tcPr>
            <w:tcW w:type="dxa" w:w="583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只能证明 target-supervised separability。</w:t>
            </w:r>
          </w:p>
        </w:tc>
      </w:tr>
      <w:tr>
        <w:trPr>
          <w:cantSplit/>
          <w:trHeight w:hRule="auto"/>
        </w:trPr>
        <w:tc>
          <w:tcPr>
            <w:tcW w:type="dxa" w:w="32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dataset ID 可分证明模型依赖 shortcut</w:t>
            </w:r>
          </w:p>
        </w:tc>
        <w:tc>
          <w:tcPr>
            <w:tcW w:type="dxa" w:w="583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只能证明 domain information accessible。</w:t>
            </w:r>
          </w:p>
        </w:tc>
      </w:tr>
      <w:tr>
        <w:trPr>
          <w:cantSplit/>
          <w:trHeight w:hRule="auto"/>
        </w:trPr>
        <w:tc>
          <w:tcPr>
            <w:tcW w:type="dxa" w:w="32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aggregate Score 提升等于解决 class imbalance</w:t>
            </w:r>
          </w:p>
        </w:tc>
        <w:tc>
          <w:tcPr>
            <w:tcW w:type="dxa" w:w="583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可能掩盖 rare-class failure 或 specificity tradeoff。</w:t>
            </w:r>
          </w:p>
        </w:tc>
      </w:tr>
      <w:tr>
        <w:trPr>
          <w:cantSplit/>
          <w:trHeight w:hRule="auto"/>
        </w:trPr>
        <w:tc>
          <w:tcPr>
            <w:tcW w:type="dxa" w:w="32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单次实验证明 low-shot generalization</w:t>
            </w:r>
          </w:p>
        </w:tc>
        <w:tc>
          <w:tcPr>
            <w:tcW w:type="dxa" w:w="583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需要 group draws、seeds、learning curves 与 outer-test isolation。</w:t>
            </w:r>
          </w:p>
        </w:tc>
      </w:tr>
    </w:tbl>
    <w:p>
      <w:pPr>
        <w:spacing w:after="20"/>
      </w:pPr>
    </w:p>
    <w:p>
      <w:pPr>
        <w:pStyle w:val="Heading2"/>
        <w:keepNext/>
      </w:pPr>
      <w:r>
        <w:t>10.2 Framing 修订</w:t>
      </w:r>
    </w:p>
    <w:p>
      <w:pPr>
        <w:spacing w:before="0" w:after="100" w:line="331" w:lineRule="auto"/>
        <w:ind w:firstLine="420"/>
        <w:jc w:val="both"/>
        <w:widowControl w:val="1"/>
      </w:pPr>
      <w:r>
        <w:rPr>
          <w:rFonts w:ascii="Noto Serif CJK SC" w:hAnsi="Noto Serif CJK SC" w:eastAsia="Noto Serif CJK SC"/>
          <w:color w:val="111827"/>
          <w:sz w:val="21"/>
        </w:rPr>
        <w:t>原候选 framing——“Eligibility-aware shared respiratory attribute learning across heterogeneous dataset-native tasks, evaluated for group-based low-shot transfer and rare-class behavior”——方向基本正确，但仍可能让 reviewer 误以为四个数据集都为共享属性提供了等价监督，也没有明确 low-shot 是 target-supervised adaptation。</w:t>
      </w:r>
    </w:p>
    <w:tbl>
      <w:tblPr>
        <w:tblW w:type="auto" w:w="0"/>
        <w:jc w:val="center"/>
        <w:tblLayout w:type="fixed"/>
        <w:tblLook w:firstColumn="1" w:firstRow="1" w:lastColumn="0" w:lastRow="0" w:noHBand="0" w:noVBand="1" w:val="04A0"/>
      </w:tblPr>
      <w:tblGrid>
        <w:gridCol w:w="9468"/>
      </w:tblGrid>
      <w:tr>
        <w:trPr>
          <w:cantSplit/>
          <w:trHeight w:hRule="auto"/>
        </w:trPr>
        <w:tc>
          <w:tcPr>
            <w:tcW w:type="dxa" w:w="9184"/>
            <w:shd w:fill="EAF2F8"/>
            <w:tcMar>
              <w:top w:w="130" w:type="dxa"/>
              <w:start w:w="180" w:type="dxa"/>
              <w:bottom w:w="130" w:type="dxa"/>
              <w:end w:w="180" w:type="dxa"/>
            </w:tcMar>
            <w:tcBorders>
              <w:top w:val="nil"/>
              <w:bottom w:val="nil"/>
              <w:start w:val="single" w:sz="22" w:color="22577A"/>
              <w:end w:val="nil"/>
            </w:tcBorders>
          </w:tcPr>
          <w:p>
            <w:pPr>
              <w:keepLines/>
              <w:spacing w:after="80"/>
            </w:pPr>
            <w:r>
              <w:rPr>
                <w:rFonts w:ascii="Noto Sans CJK SC" w:hAnsi="Noto Sans CJK SC" w:eastAsia="Noto Sans CJK SC"/>
                <w:b/>
                <w:color w:val="22577A"/>
                <w:sz w:val="22"/>
              </w:rPr>
              <w:t>推荐主 framing</w:t>
            </w:r>
          </w:p>
          <w:p>
            <w:pPr>
              <w:spacing w:before="0" w:after="0" w:line="300" w:lineRule="auto"/>
              <w:jc w:val="both"/>
              <w:keepLines/>
              <w:widowControl w:val="1"/>
            </w:pPr>
            <w:r>
              <w:rPr>
                <w:rFonts w:ascii="Noto Serif CJK SC" w:hAnsi="Noto Serif CJK SC" w:eastAsia="Noto Serif CJK SC"/>
                <w:color w:val="111827"/>
                <w:sz w:val="20"/>
              </w:rPr>
              <w:t>Eligibility-aware respiratory attribute sharing under partially compatible native taxonomies and incomplete labels, evaluated with patient/group-disjoint target-supervised low-shot adaptation while preserving dataset-native tasks.</w:t>
            </w:r>
          </w:p>
        </w:tc>
      </w:tr>
    </w:tbl>
    <w:p>
      <w:pPr>
        <w:spacing w:after="20"/>
      </w:pPr>
    </w:p>
    <w:tbl>
      <w:tblPr>
        <w:tblW w:type="auto" w:w="0"/>
        <w:jc w:val="center"/>
        <w:tblLayout w:type="fixed"/>
        <w:tblLook w:firstColumn="1" w:firstRow="1" w:lastColumn="0" w:lastRow="0" w:noHBand="0" w:noVBand="1" w:val="04A0"/>
      </w:tblPr>
      <w:tblGrid>
        <w:gridCol w:w="9468"/>
      </w:tblGrid>
      <w:tr>
        <w:trPr>
          <w:cantSplit/>
          <w:trHeight w:hRule="auto"/>
        </w:trPr>
        <w:tc>
          <w:tcPr>
            <w:tcW w:type="dxa" w:w="9184"/>
            <w:shd w:fill="E9F5F4"/>
            <w:tcMar>
              <w:top w:w="130" w:type="dxa"/>
              <w:start w:w="180" w:type="dxa"/>
              <w:bottom w:w="130" w:type="dxa"/>
              <w:end w:w="180" w:type="dxa"/>
            </w:tcMar>
            <w:tcBorders>
              <w:top w:val="nil"/>
              <w:bottom w:val="nil"/>
              <w:start w:val="single" w:sz="22" w:color="2A7F82"/>
              <w:end w:val="nil"/>
            </w:tcBorders>
          </w:tcPr>
          <w:p>
            <w:pPr>
              <w:keepLines/>
              <w:spacing w:after="80"/>
            </w:pPr>
            <w:r>
              <w:rPr>
                <w:rFonts w:ascii="Noto Sans CJK SC" w:hAnsi="Noto Sans CJK SC" w:eastAsia="Noto Sans CJK SC"/>
                <w:b/>
                <w:color w:val="2A7F82"/>
                <w:sz w:val="22"/>
              </w:rPr>
              <w:t>推荐 Phase-1 framing</w:t>
            </w:r>
          </w:p>
          <w:p>
            <w:pPr>
              <w:spacing w:before="0" w:after="0" w:line="300" w:lineRule="auto"/>
              <w:jc w:val="both"/>
              <w:keepLines/>
              <w:widowControl w:val="1"/>
            </w:pPr>
            <w:r>
              <w:rPr>
                <w:rFonts w:ascii="Noto Serif CJK SC" w:hAnsi="Noto Serif CJK SC" w:eastAsia="Noto Serif CJK SC"/>
                <w:color w:val="111827"/>
                <w:sz w:val="20"/>
              </w:rPr>
              <w:t>Eligibility-aware crackle/wheeze attribute sharing between cycle- and event-level respiratory sound tasks, evaluated under patient-disjoint target-supervised low-shot adaptation.</w:t>
            </w:r>
          </w:p>
        </w:tc>
      </w:tr>
    </w:tbl>
    <w:p>
      <w:pPr>
        <w:spacing w:after="20"/>
      </w:pPr>
    </w:p>
    <w:p>
      <w:pPr>
        <w:spacing w:before="0" w:after="100" w:line="331" w:lineRule="auto"/>
        <w:ind w:firstLine="420"/>
        <w:jc w:val="both"/>
        <w:widowControl w:val="1"/>
      </w:pPr>
      <w:r>
        <w:rPr>
          <w:rFonts w:ascii="Noto Serif CJK SC" w:hAnsi="Noto Serif CJK SC" w:eastAsia="Noto Serif CJK SC"/>
          <w:color w:val="111827"/>
          <w:sz w:val="21"/>
        </w:rPr>
        <w:t>结果性 claim 应使用“target performance”“low-shot adaptation”或“rare-class behavior”，而不是“understanding”。只有在 shared 相对 independent control 获得稳定增益后，才可写为：shared eligible attribute supervision improves group-low-shot target performance relative to parameter-matched dataset-specific attribute supervision, while preserving dataset-native common-class performance。</w:t>
      </w:r>
    </w:p>
    <w:p>
      <w:pPr>
        <w:pStyle w:val="Heading2"/>
        <w:keepNext/>
      </w:pPr>
      <w:r>
        <w:t>10.3 最终四个问题的明确回答</w:t>
      </w:r>
    </w:p>
    <w:tbl>
      <w:tblPr>
        <w:tblStyle w:val="TableGrid"/>
        <w:tblW w:type="auto" w:w="0"/>
        <w:jc w:val="center"/>
        <w:tblLayout w:type="fixed"/>
        <w:tblLook w:firstColumn="1" w:firstRow="1" w:lastColumn="0" w:lastRow="0" w:noHBand="0" w:noVBand="1" w:val="04A0"/>
      </w:tblPr>
      <w:tblGrid>
        <w:gridCol w:w="4734"/>
        <w:gridCol w:w="4734"/>
      </w:tblGrid>
      <w:tr>
        <w:trPr>
          <w:trHeight w:hRule="auto"/>
          <w:tblHeader w:val="true"/>
        </w:trPr>
        <w:tc>
          <w:tcPr>
            <w:tcW w:type="dxa" w:w="2494"/>
            <w:shd w:fill="22577A"/>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问题</w:t>
            </w:r>
          </w:p>
        </w:tc>
        <w:tc>
          <w:tcPr>
            <w:tcW w:type="dxa" w:w="6576"/>
            <w:shd w:fill="22577A"/>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7"/>
              </w:rPr>
              <w:t>审查结论</w:t>
            </w:r>
          </w:p>
        </w:tc>
      </w:tr>
      <w:tr>
        <w:trPr>
          <w:cantSplit/>
          <w:trHeight w:hRule="auto"/>
        </w:trPr>
        <w:tc>
          <w:tcPr>
            <w:tcW w:type="dxa" w:w="249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1. 是否值得进入 Model Design？</w:t>
            </w:r>
          </w:p>
        </w:tc>
        <w:tc>
          <w:tcPr>
            <w:tcW w:type="dxa" w:w="6576"/>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有条件值得。只进入 ICBHI–SPRSound、group-low-shot、shared-vs-dataset-specific attributes 的狭窄证伪 gate；当前不进入四数据集完整训练、MoE/router、general-specific residual 或新 pooling sweep。</w:t>
            </w:r>
          </w:p>
        </w:tc>
      </w:tr>
      <w:tr>
        <w:trPr>
          <w:cantSplit/>
          <w:trHeight w:hRule="auto"/>
        </w:trPr>
        <w:tc>
          <w:tcPr>
            <w:tcW w:type="dxa" w:w="249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2. 完整训练前必须冻结什么？</w:t>
            </w:r>
          </w:p>
        </w:tc>
        <w:tc>
          <w:tcPr>
            <w:tcW w:type="dxa" w:w="6576"/>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研究问题、Phase-1 datasets、attribute definitions、normal 角色、0/1/unknown/incompatible mapping、flat4/consistency eligibility、Rhonchi/Stridor/PQ policy、HF positive-only、KAUH exclusion、严格 group manifests、shot sets、shared-vs-independent control、encoder controls、primary endpoints、guardrails、materiality、selection prohibition 与 capacity/label/update matching。</w:t>
            </w:r>
          </w:p>
        </w:tc>
      </w:tr>
      <w:tr>
        <w:trPr>
          <w:cantSplit/>
          <w:trHeight w:hRule="auto"/>
        </w:trPr>
        <w:tc>
          <w:tcPr>
            <w:tcW w:type="dxa" w:w="249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3. 最小证伪实验是什么？</w:t>
            </w:r>
          </w:p>
        </w:tc>
        <w:tc>
          <w:tcPr>
            <w:tcW w:type="dxa" w:w="6576"/>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ICBHI↔SPRSound reciprocal patient/group-low-shot，比较 shared attribute heads 与 parameter-matched dataset-specific attribute heads；不加入 HF、KAUH、joint consistency 或复杂架构。</w:t>
            </w:r>
          </w:p>
        </w:tc>
      </w:tr>
      <w:tr>
        <w:trPr>
          <w:cantSplit/>
          <w:trHeight w:hRule="auto"/>
        </w:trPr>
        <w:tc>
          <w:tcPr>
            <w:tcW w:type="dxa" w:w="249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7"/>
              </w:rPr>
              <w:t>4. 若失败还能保留什么？</w:t>
            </w:r>
          </w:p>
        </w:tc>
        <w:tc>
          <w:tcPr>
            <w:tcW w:type="dxa" w:w="6576"/>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7"/>
              </w:rPr>
              <w:t>四数据集 native-unit/label-completeness contract；leakage-safe group-low-shot benchmark；naïve sharing、unknown-as-negative、global balancing 与 simple pooling 的系统负面结果；representation/task-dependency audit。前提是公开 splits、mappings、predictions、metrics、seeds 与 verifier receipts。</w:t>
            </w:r>
          </w:p>
        </w:tc>
      </w:tr>
    </w:tbl>
    <w:p>
      <w:pPr>
        <w:spacing w:after="20"/>
      </w:pPr>
    </w:p>
    <w:p>
      <w:pPr>
        <w:pStyle w:val="Heading2"/>
        <w:keepNext/>
      </w:pPr>
      <w:r>
        <w:t>10.4 最终裁决</w:t>
      </w:r>
    </w:p>
    <w:tbl>
      <w:tblPr>
        <w:tblW w:type="auto" w:w="0"/>
        <w:jc w:val="center"/>
        <w:tblLayout w:type="fixed"/>
        <w:tblLook w:firstColumn="1" w:firstRow="1" w:lastColumn="0" w:lastRow="0" w:noHBand="0" w:noVBand="1" w:val="04A0"/>
      </w:tblPr>
      <w:tblGrid>
        <w:gridCol w:w="9468"/>
      </w:tblGrid>
      <w:tr>
        <w:trPr>
          <w:cantSplit/>
          <w:trHeight w:hRule="auto"/>
        </w:trPr>
        <w:tc>
          <w:tcPr>
            <w:tcW w:type="dxa" w:w="9184"/>
            <w:shd w:fill="EAF6EF"/>
            <w:tcMar>
              <w:top w:w="130" w:type="dxa"/>
              <w:start w:w="180" w:type="dxa"/>
              <w:bottom w:w="130" w:type="dxa"/>
              <w:end w:w="180" w:type="dxa"/>
            </w:tcMar>
            <w:tcBorders>
              <w:top w:val="nil"/>
              <w:bottom w:val="nil"/>
              <w:start w:val="single" w:sz="22" w:color="26734D"/>
              <w:end w:val="nil"/>
            </w:tcBorders>
          </w:tcPr>
          <w:p>
            <w:pPr>
              <w:keepLines/>
              <w:spacing w:after="80"/>
            </w:pPr>
            <w:r>
              <w:rPr>
                <w:rFonts w:ascii="Noto Sans CJK SC" w:hAnsi="Noto Sans CJK SC" w:eastAsia="Noto Sans CJK SC"/>
                <w:b/>
                <w:color w:val="26734D"/>
                <w:sz w:val="22"/>
              </w:rPr>
              <w:t>CONDITIONAL GO</w:t>
            </w:r>
          </w:p>
          <w:p>
            <w:pPr>
              <w:spacing w:before="0" w:after="0" w:line="300" w:lineRule="auto"/>
              <w:jc w:val="both"/>
              <w:keepLines/>
              <w:widowControl w:val="1"/>
            </w:pPr>
            <w:r>
              <w:rPr>
                <w:rFonts w:ascii="Noto Serif CJK SC" w:hAnsi="Noto Serif CJK SC" w:eastAsia="Noto Serif CJK SC"/>
                <w:color w:val="111827"/>
                <w:sz w:val="20"/>
              </w:rPr>
              <w:t>进入一个小规模、低成本、预注册的 Model Design falsification gate。</w:t>
            </w:r>
          </w:p>
        </w:tc>
      </w:tr>
    </w:tbl>
    <w:p>
      <w:pPr>
        <w:spacing w:after="20"/>
      </w:pPr>
    </w:p>
    <w:tbl>
      <w:tblPr>
        <w:tblW w:type="auto" w:w="0"/>
        <w:jc w:val="center"/>
        <w:tblLayout w:type="fixed"/>
        <w:tblLook w:firstColumn="1" w:firstRow="1" w:lastColumn="0" w:lastRow="0" w:noHBand="0" w:noVBand="1" w:val="04A0"/>
      </w:tblPr>
      <w:tblGrid>
        <w:gridCol w:w="9468"/>
      </w:tblGrid>
      <w:tr>
        <w:trPr>
          <w:cantSplit/>
          <w:trHeight w:hRule="auto"/>
        </w:trPr>
        <w:tc>
          <w:tcPr>
            <w:tcW w:type="dxa" w:w="9184"/>
            <w:shd w:fill="FDEDEC"/>
            <w:tcMar>
              <w:top w:w="130" w:type="dxa"/>
              <w:start w:w="180" w:type="dxa"/>
              <w:bottom w:w="130" w:type="dxa"/>
              <w:end w:w="180" w:type="dxa"/>
            </w:tcMar>
            <w:tcBorders>
              <w:top w:val="nil"/>
              <w:bottom w:val="nil"/>
              <w:start w:val="single" w:sz="22" w:color="A93226"/>
              <w:end w:val="nil"/>
            </w:tcBorders>
          </w:tcPr>
          <w:p>
            <w:pPr>
              <w:keepLines/>
              <w:spacing w:after="80"/>
            </w:pPr>
            <w:r>
              <w:rPr>
                <w:rFonts w:ascii="Noto Sans CJK SC" w:hAnsi="Noto Sans CJK SC" w:eastAsia="Noto Sans CJK SC"/>
                <w:b/>
                <w:color w:val="A93226"/>
                <w:sz w:val="22"/>
              </w:rPr>
              <w:t>NO-GO</w:t>
            </w:r>
          </w:p>
          <w:p>
            <w:pPr>
              <w:spacing w:before="0" w:after="0" w:line="300" w:lineRule="auto"/>
              <w:jc w:val="both"/>
              <w:keepLines/>
              <w:widowControl w:val="1"/>
            </w:pPr>
            <w:r>
              <w:rPr>
                <w:rFonts w:ascii="Noto Serif CJK SC" w:hAnsi="Noto Serif CJK SC" w:eastAsia="Noto Serif CJK SC"/>
                <w:color w:val="111827"/>
                <w:sz w:val="20"/>
              </w:rPr>
              <w:t>在该 gate 通过前，不进入四数据集 end-to-end full training，不扩展 HF/KAUH shared supervision，不叠加 MoE/router/general-specific decomposition，也不通过新的 loss 或 pooling sweep 回避 shared-vs-independent 的核心检验。</w:t>
            </w:r>
          </w:p>
        </w:tc>
      </w:tr>
    </w:tbl>
    <w:p>
      <w:pPr>
        <w:spacing w:after="20"/>
      </w:pPr>
    </w:p>
    <w:p>
      <w:pPr>
        <w:spacing w:before="0" w:after="100" w:line="331" w:lineRule="auto"/>
        <w:ind w:firstLine="420"/>
        <w:jc w:val="both"/>
        <w:widowControl w:val="1"/>
      </w:pPr>
      <w:r>
        <w:rPr>
          <w:rFonts w:ascii="Noto Serif CJK SC" w:hAnsi="Noto Serif CJK SC" w:eastAsia="Noto Serif CJK SC"/>
          <w:color w:val="111827"/>
          <w:sz w:val="21"/>
        </w:rPr>
        <w:t>该裁决不是对研究方向的否定，而是对 claim–evidence alignment 的要求。当前项目已经积累了有价值的负面机制检查；下一步最优策略不是增加系统复杂度，而是用一个最小且具有高证伪力的实验回答：跨数据集共享属性本身，是否比相同监督量下的数据集独立属性学习更有效。</w:t>
      </w:r>
    </w:p>
    <w:p>
      <w:pPr>
        <w:pStyle w:val="Heading1"/>
        <w:keepNext/>
      </w:pPr>
      <w:r>
        <w:t>附录 A：建议的 Phase-1 标签与 eligibility 矩阵</w:t>
      </w:r>
    </w:p>
    <w:tbl>
      <w:tblPr>
        <w:tblStyle w:val="TableGrid"/>
        <w:tblW w:type="auto" w:w="0"/>
        <w:jc w:val="center"/>
        <w:tblLayout w:type="fixed"/>
        <w:tblLook w:firstColumn="1" w:firstRow="1" w:lastColumn="0" w:lastRow="0" w:noHBand="0" w:noVBand="1" w:val="04A0"/>
      </w:tblPr>
      <w:tblGrid>
        <w:gridCol w:w="1183"/>
        <w:gridCol w:w="1183"/>
        <w:gridCol w:w="1183"/>
        <w:gridCol w:w="1183"/>
        <w:gridCol w:w="1183"/>
        <w:gridCol w:w="1183"/>
        <w:gridCol w:w="1183"/>
        <w:gridCol w:w="1183"/>
      </w:tblGrid>
      <w:tr>
        <w:trPr>
          <w:trHeight w:hRule="auto"/>
          <w:tblHeader w:val="true"/>
        </w:trPr>
        <w:tc>
          <w:tcPr>
            <w:tcW w:type="dxa" w:w="1531"/>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4"/>
              </w:rPr>
              <w:t>Native label</w:t>
            </w:r>
          </w:p>
        </w:tc>
        <w:tc>
          <w:tcPr>
            <w:tcW w:type="dxa" w:w="879"/>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4"/>
              </w:rPr>
              <w:t>Unit</w:t>
            </w:r>
          </w:p>
        </w:tc>
        <w:tc>
          <w:tcPr>
            <w:tcW w:type="dxa" w:w="822"/>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4"/>
              </w:rPr>
              <w:t>Crackle</w:t>
            </w:r>
          </w:p>
        </w:tc>
        <w:tc>
          <w:tcPr>
            <w:tcW w:type="dxa" w:w="822"/>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4"/>
              </w:rPr>
              <w:t>Wheeze</w:t>
            </w:r>
          </w:p>
        </w:tc>
        <w:tc>
          <w:tcPr>
            <w:tcW w:type="dxa" w:w="935"/>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4"/>
              </w:rPr>
              <w:t>Normal cert.</w:t>
            </w:r>
          </w:p>
        </w:tc>
        <w:tc>
          <w:tcPr>
            <w:tcW w:type="dxa" w:w="510"/>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4"/>
              </w:rPr>
              <w:t>Joint</w:t>
            </w:r>
          </w:p>
        </w:tc>
        <w:tc>
          <w:tcPr>
            <w:tcW w:type="dxa" w:w="709"/>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4"/>
              </w:rPr>
              <w:t>Consistency</w:t>
            </w:r>
          </w:p>
        </w:tc>
        <w:tc>
          <w:tcPr>
            <w:tcW w:type="dxa" w:w="2863"/>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4"/>
              </w:rPr>
              <w:t>备注</w:t>
            </w:r>
          </w:p>
        </w:tc>
      </w:tr>
      <w:tr>
        <w:trPr>
          <w:cantSplit/>
          <w:trHeight w:hRule="auto"/>
        </w:trPr>
        <w:tc>
          <w:tcPr>
            <w:tcW w:type="dxa" w:w="15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4"/>
              </w:rPr>
              <w:t>ICBHI Normal</w:t>
            </w:r>
          </w:p>
        </w:tc>
        <w:tc>
          <w:tcPr>
            <w:tcW w:type="dxa" w:w="87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cycle</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9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1</w:t>
            </w:r>
          </w:p>
        </w:tc>
        <w:tc>
          <w:tcPr>
            <w:tcW w:type="dxa" w:w="51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70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2863"/>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完整 closed-world</w:t>
            </w:r>
          </w:p>
        </w:tc>
      </w:tr>
      <w:tr>
        <w:trPr>
          <w:cantSplit/>
          <w:trHeight w:hRule="auto"/>
        </w:trPr>
        <w:tc>
          <w:tcPr>
            <w:tcW w:type="dxa" w:w="15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4"/>
              </w:rPr>
              <w:t>ICBHI Crackle</w:t>
            </w:r>
          </w:p>
        </w:tc>
        <w:tc>
          <w:tcPr>
            <w:tcW w:type="dxa" w:w="87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cycle</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1</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9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51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70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2863"/>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完整 closed-world</w:t>
            </w:r>
          </w:p>
        </w:tc>
      </w:tr>
      <w:tr>
        <w:trPr>
          <w:cantSplit/>
          <w:trHeight w:hRule="auto"/>
        </w:trPr>
        <w:tc>
          <w:tcPr>
            <w:tcW w:type="dxa" w:w="15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4"/>
              </w:rPr>
              <w:t>ICBHI Wheeze</w:t>
            </w:r>
          </w:p>
        </w:tc>
        <w:tc>
          <w:tcPr>
            <w:tcW w:type="dxa" w:w="87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cycle</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1</w:t>
            </w:r>
          </w:p>
        </w:tc>
        <w:tc>
          <w:tcPr>
            <w:tcW w:type="dxa" w:w="9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51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70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2863"/>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完整 closed-world</w:t>
            </w:r>
          </w:p>
        </w:tc>
      </w:tr>
      <w:tr>
        <w:trPr>
          <w:cantSplit/>
          <w:trHeight w:hRule="auto"/>
        </w:trPr>
        <w:tc>
          <w:tcPr>
            <w:tcW w:type="dxa" w:w="15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4"/>
              </w:rPr>
              <w:t>ICBHI Both</w:t>
            </w:r>
          </w:p>
        </w:tc>
        <w:tc>
          <w:tcPr>
            <w:tcW w:type="dxa" w:w="87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cycle</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1</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1</w:t>
            </w:r>
          </w:p>
        </w:tc>
        <w:tc>
          <w:tcPr>
            <w:tcW w:type="dxa" w:w="9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51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70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2863"/>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完整 closed-world</w:t>
            </w:r>
          </w:p>
        </w:tc>
      </w:tr>
      <w:tr>
        <w:trPr>
          <w:cantSplit/>
          <w:trHeight w:hRule="auto"/>
        </w:trPr>
        <w:tc>
          <w:tcPr>
            <w:tcW w:type="dxa" w:w="15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4"/>
              </w:rPr>
              <w:t>SPR Normal</w:t>
            </w:r>
          </w:p>
        </w:tc>
        <w:tc>
          <w:tcPr>
            <w:tcW w:type="dxa" w:w="87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event</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9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1</w:t>
            </w:r>
          </w:p>
        </w:tc>
        <w:tc>
          <w:tcPr>
            <w:tcW w:type="dxa" w:w="51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70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2863"/>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排除 quality-invalid</w:t>
            </w:r>
          </w:p>
        </w:tc>
      </w:tr>
      <w:tr>
        <w:trPr>
          <w:cantSplit/>
          <w:trHeight w:hRule="auto"/>
        </w:trPr>
        <w:tc>
          <w:tcPr>
            <w:tcW w:type="dxa" w:w="15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4"/>
              </w:rPr>
              <w:t>SPR Fine Crackle</w:t>
            </w:r>
          </w:p>
        </w:tc>
        <w:tc>
          <w:tcPr>
            <w:tcW w:type="dxa" w:w="87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event</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1</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9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51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70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2863"/>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compatible</w:t>
            </w:r>
          </w:p>
        </w:tc>
      </w:tr>
      <w:tr>
        <w:trPr>
          <w:cantSplit/>
          <w:trHeight w:hRule="auto"/>
        </w:trPr>
        <w:tc>
          <w:tcPr>
            <w:tcW w:type="dxa" w:w="15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4"/>
              </w:rPr>
              <w:t>SPR Coarse Crackle</w:t>
            </w:r>
          </w:p>
        </w:tc>
        <w:tc>
          <w:tcPr>
            <w:tcW w:type="dxa" w:w="87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event</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1</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9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51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70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2863"/>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compatible；support 极低需报告</w:t>
            </w:r>
          </w:p>
        </w:tc>
      </w:tr>
      <w:tr>
        <w:trPr>
          <w:cantSplit/>
          <w:trHeight w:hRule="auto"/>
        </w:trPr>
        <w:tc>
          <w:tcPr>
            <w:tcW w:type="dxa" w:w="15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4"/>
              </w:rPr>
              <w:t>SPR Wheeze</w:t>
            </w:r>
          </w:p>
        </w:tc>
        <w:tc>
          <w:tcPr>
            <w:tcW w:type="dxa" w:w="87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event</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1</w:t>
            </w:r>
          </w:p>
        </w:tc>
        <w:tc>
          <w:tcPr>
            <w:tcW w:type="dxa" w:w="9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51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70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2863"/>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compatible</w:t>
            </w:r>
          </w:p>
        </w:tc>
      </w:tr>
      <w:tr>
        <w:trPr>
          <w:cantSplit/>
          <w:trHeight w:hRule="auto"/>
        </w:trPr>
        <w:tc>
          <w:tcPr>
            <w:tcW w:type="dxa" w:w="15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4"/>
              </w:rPr>
              <w:t>SPR W+C</w:t>
            </w:r>
          </w:p>
        </w:tc>
        <w:tc>
          <w:tcPr>
            <w:tcW w:type="dxa" w:w="87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event</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1</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1</w:t>
            </w:r>
          </w:p>
        </w:tc>
        <w:tc>
          <w:tcPr>
            <w:tcW w:type="dxa" w:w="9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51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70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是</w:t>
            </w:r>
          </w:p>
        </w:tc>
        <w:tc>
          <w:tcPr>
            <w:tcW w:type="dxa" w:w="2863"/>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compatible；support 极低需报告</w:t>
            </w:r>
          </w:p>
        </w:tc>
      </w:tr>
      <w:tr>
        <w:trPr>
          <w:cantSplit/>
          <w:trHeight w:hRule="auto"/>
        </w:trPr>
        <w:tc>
          <w:tcPr>
            <w:tcW w:type="dxa" w:w="15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4"/>
              </w:rPr>
              <w:t>SPR Rhonchi</w:t>
            </w:r>
          </w:p>
        </w:tc>
        <w:tc>
          <w:tcPr>
            <w:tcW w:type="dxa" w:w="87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event</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unknown*</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unknown*</w:t>
            </w:r>
          </w:p>
        </w:tc>
        <w:tc>
          <w:tcPr>
            <w:tcW w:type="dxa" w:w="9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51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否</w:t>
            </w:r>
          </w:p>
        </w:tc>
        <w:tc>
          <w:tcPr>
            <w:tcW w:type="dxa" w:w="70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否</w:t>
            </w:r>
          </w:p>
        </w:tc>
        <w:tc>
          <w:tcPr>
            <w:tcW w:type="dxa" w:w="2863"/>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native abnormal；不重建 normal</w:t>
            </w:r>
          </w:p>
        </w:tc>
      </w:tr>
      <w:tr>
        <w:trPr>
          <w:cantSplit/>
          <w:trHeight w:hRule="auto"/>
        </w:trPr>
        <w:tc>
          <w:tcPr>
            <w:tcW w:type="dxa" w:w="15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4"/>
              </w:rPr>
              <w:t>SPR Stridor</w:t>
            </w:r>
          </w:p>
        </w:tc>
        <w:tc>
          <w:tcPr>
            <w:tcW w:type="dxa" w:w="87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event</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unknown*</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unknown*</w:t>
            </w:r>
          </w:p>
        </w:tc>
        <w:tc>
          <w:tcPr>
            <w:tcW w:type="dxa" w:w="9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0</w:t>
            </w:r>
          </w:p>
        </w:tc>
        <w:tc>
          <w:tcPr>
            <w:tcW w:type="dxa" w:w="51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否</w:t>
            </w:r>
          </w:p>
        </w:tc>
        <w:tc>
          <w:tcPr>
            <w:tcW w:type="dxa" w:w="70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否</w:t>
            </w:r>
          </w:p>
        </w:tc>
        <w:tc>
          <w:tcPr>
            <w:tcW w:type="dxa" w:w="2863"/>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native abnormal；不重建 normal</w:t>
            </w:r>
          </w:p>
        </w:tc>
      </w:tr>
      <w:tr>
        <w:trPr>
          <w:cantSplit/>
          <w:trHeight w:hRule="auto"/>
        </w:trPr>
        <w:tc>
          <w:tcPr>
            <w:tcW w:type="dxa" w:w="15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4"/>
              </w:rPr>
              <w:t>SPR Poor Quality</w:t>
            </w:r>
          </w:p>
        </w:tc>
        <w:tc>
          <w:tcPr>
            <w:tcW w:type="dxa" w:w="87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recording/quality</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unknown</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unknown</w:t>
            </w:r>
          </w:p>
        </w:tc>
        <w:tc>
          <w:tcPr>
            <w:tcW w:type="dxa" w:w="9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unknown</w:t>
            </w:r>
          </w:p>
        </w:tc>
        <w:tc>
          <w:tcPr>
            <w:tcW w:type="dxa" w:w="51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否</w:t>
            </w:r>
          </w:p>
        </w:tc>
        <w:tc>
          <w:tcPr>
            <w:tcW w:type="dxa" w:w="70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否</w:t>
            </w:r>
          </w:p>
        </w:tc>
        <w:tc>
          <w:tcPr>
            <w:tcW w:type="dxa" w:w="2863"/>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quality class</w:t>
            </w:r>
          </w:p>
        </w:tc>
      </w:tr>
      <w:tr>
        <w:trPr>
          <w:cantSplit/>
          <w:trHeight w:hRule="auto"/>
        </w:trPr>
        <w:tc>
          <w:tcPr>
            <w:tcW w:type="dxa" w:w="15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4"/>
              </w:rPr>
              <w:t>HF D interval</w:t>
            </w:r>
          </w:p>
        </w:tc>
        <w:tc>
          <w:tcPr>
            <w:tcW w:type="dxa" w:w="87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interval</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1</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unknown</w:t>
            </w:r>
          </w:p>
        </w:tc>
        <w:tc>
          <w:tcPr>
            <w:tcW w:type="dxa" w:w="9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unknown</w:t>
            </w:r>
          </w:p>
        </w:tc>
        <w:tc>
          <w:tcPr>
            <w:tcW w:type="dxa" w:w="51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否</w:t>
            </w:r>
          </w:p>
        </w:tc>
        <w:tc>
          <w:tcPr>
            <w:tcW w:type="dxa" w:w="70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否</w:t>
            </w:r>
          </w:p>
        </w:tc>
        <w:tc>
          <w:tcPr>
            <w:tcW w:type="dxa" w:w="2863"/>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positive-only crackle</w:t>
            </w:r>
          </w:p>
        </w:tc>
      </w:tr>
      <w:tr>
        <w:trPr>
          <w:cantSplit/>
          <w:trHeight w:hRule="auto"/>
        </w:trPr>
        <w:tc>
          <w:tcPr>
            <w:tcW w:type="dxa" w:w="15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4"/>
              </w:rPr>
              <w:t>HF Wheeze interval</w:t>
            </w:r>
          </w:p>
        </w:tc>
        <w:tc>
          <w:tcPr>
            <w:tcW w:type="dxa" w:w="87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interval</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unknown</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1</w:t>
            </w:r>
          </w:p>
        </w:tc>
        <w:tc>
          <w:tcPr>
            <w:tcW w:type="dxa" w:w="9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unknown</w:t>
            </w:r>
          </w:p>
        </w:tc>
        <w:tc>
          <w:tcPr>
            <w:tcW w:type="dxa" w:w="51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否</w:t>
            </w:r>
          </w:p>
        </w:tc>
        <w:tc>
          <w:tcPr>
            <w:tcW w:type="dxa" w:w="70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否</w:t>
            </w:r>
          </w:p>
        </w:tc>
        <w:tc>
          <w:tcPr>
            <w:tcW w:type="dxa" w:w="2863"/>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positive-only wheeze</w:t>
            </w:r>
          </w:p>
        </w:tc>
      </w:tr>
      <w:tr>
        <w:trPr>
          <w:cantSplit/>
          <w:trHeight w:hRule="auto"/>
        </w:trPr>
        <w:tc>
          <w:tcPr>
            <w:tcW w:type="dxa" w:w="153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4"/>
              </w:rPr>
              <w:t>HF gap/empty</w:t>
            </w:r>
          </w:p>
        </w:tc>
        <w:tc>
          <w:tcPr>
            <w:tcW w:type="dxa" w:w="87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interval/recording</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unknown</w:t>
            </w:r>
          </w:p>
        </w:tc>
        <w:tc>
          <w:tcPr>
            <w:tcW w:type="dxa" w:w="822"/>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unknown</w:t>
            </w:r>
          </w:p>
        </w:tc>
        <w:tc>
          <w:tcPr>
            <w:tcW w:type="dxa" w:w="935"/>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unknown</w:t>
            </w:r>
          </w:p>
        </w:tc>
        <w:tc>
          <w:tcPr>
            <w:tcW w:type="dxa" w:w="510"/>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否</w:t>
            </w:r>
          </w:p>
        </w:tc>
        <w:tc>
          <w:tcPr>
            <w:tcW w:type="dxa" w:w="709"/>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否</w:t>
            </w:r>
          </w:p>
        </w:tc>
        <w:tc>
          <w:tcPr>
            <w:tcW w:type="dxa" w:w="2863"/>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不得当 negative/normal</w:t>
            </w:r>
          </w:p>
        </w:tc>
      </w:tr>
      <w:tr>
        <w:trPr>
          <w:cantSplit/>
          <w:trHeight w:hRule="auto"/>
        </w:trPr>
        <w:tc>
          <w:tcPr>
            <w:tcW w:type="dxa" w:w="153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4"/>
              </w:rPr>
              <w:t>KAUH N/C/W strings</w:t>
            </w:r>
          </w:p>
        </w:tc>
        <w:tc>
          <w:tcPr>
            <w:tcW w:type="dxa" w:w="87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recording</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blocked</w:t>
            </w:r>
          </w:p>
        </w:tc>
        <w:tc>
          <w:tcPr>
            <w:tcW w:type="dxa" w:w="822"/>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blocked</w:t>
            </w:r>
          </w:p>
        </w:tc>
        <w:tc>
          <w:tcPr>
            <w:tcW w:type="dxa" w:w="935"/>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blocked</w:t>
            </w:r>
          </w:p>
        </w:tc>
        <w:tc>
          <w:tcPr>
            <w:tcW w:type="dxa" w:w="510"/>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否</w:t>
            </w:r>
          </w:p>
        </w:tc>
        <w:tc>
          <w:tcPr>
            <w:tcW w:type="dxa" w:w="709"/>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否</w:t>
            </w:r>
          </w:p>
        </w:tc>
        <w:tc>
          <w:tcPr>
            <w:tcW w:type="dxa" w:w="2863"/>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4"/>
              </w:rPr>
              <w:t>Phase-1 native-only；待语义审批</w:t>
            </w:r>
          </w:p>
        </w:tc>
      </w:tr>
    </w:tbl>
    <w:p>
      <w:pPr>
        <w:spacing w:after="20"/>
      </w:pPr>
    </w:p>
    <w:p>
      <w:pPr>
        <w:spacing w:before="0" w:after="100" w:line="331" w:lineRule="auto"/>
        <w:jc w:val="both"/>
        <w:widowControl w:val="1"/>
      </w:pPr>
      <w:r>
        <w:rPr>
          <w:rFonts w:ascii="Noto Serif CJK SC" w:hAnsi="Noto Serif CJK SC" w:eastAsia="Noto Serif CJK SC"/>
          <w:color w:val="111827"/>
          <w:sz w:val="21"/>
        </w:rPr>
        <w:t>* Rhonchi/Stridor 是否可把 crackle/wheeze 置为明确 0，取决于正式 annotation protocol 是否证明标签集 exhaustive 且 mutually exclusive；在该证明之前保持 unknown 更安全。无论如何，它们都不进入 narrow flat4 joint target。</w:t>
      </w:r>
    </w:p>
    <w:p>
      <w:pPr>
        <w:pStyle w:val="Heading1"/>
        <w:keepNext/>
      </w:pPr>
      <w:r>
        <w:t>附录 B：项目内部证据注册表</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rHeight w:hRule="auto"/>
          <w:tblHeader w:val="true"/>
        </w:trPr>
        <w:tc>
          <w:tcPr>
            <w:tcW w:type="dxa" w:w="2381"/>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6"/>
              </w:rPr>
              <w:t>实验</w:t>
            </w:r>
          </w:p>
        </w:tc>
        <w:tc>
          <w:tcPr>
            <w:tcW w:type="dxa" w:w="2154"/>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6"/>
              </w:rPr>
              <w:t>证据等级</w:t>
            </w:r>
          </w:p>
        </w:tc>
        <w:tc>
          <w:tcPr>
            <w:tcW w:type="dxa" w:w="2608"/>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6"/>
              </w:rPr>
              <w:t>可见信息</w:t>
            </w:r>
          </w:p>
        </w:tc>
        <w:tc>
          <w:tcPr>
            <w:tcW w:type="dxa" w:w="1928"/>
            <w:shd w:fill="17324D"/>
            <w:tcMar>
              <w:top w:w="100" w:type="dxa"/>
              <w:start w:w="85" w:type="dxa"/>
              <w:bottom w:w="100" w:type="dxa"/>
              <w:end w:w="85" w:type="dxa"/>
            </w:tcMar>
            <w:vAlign w:val="center"/>
          </w:tcPr>
          <w:p>
            <w:pPr>
              <w:spacing w:before="0" w:after="0" w:line="252" w:lineRule="auto"/>
              <w:jc w:val="center"/>
              <w:keepLines/>
              <w:widowControl w:val="1"/>
            </w:pPr>
            <w:r>
              <w:rPr>
                <w:rFonts w:ascii="Noto Sans CJK SC" w:hAnsi="Noto Sans CJK SC" w:eastAsia="Noto Sans CJK SC"/>
                <w:b/>
                <w:color w:val="FFFFFF"/>
                <w:sz w:val="16"/>
              </w:rPr>
              <w:t>允许结论</w:t>
            </w:r>
          </w:p>
        </w:tc>
      </w:tr>
      <w:tr>
        <w:trPr>
          <w:cantSplit/>
          <w:trHeight w:hRule="auto"/>
        </w:trPr>
        <w:tc>
          <w:tcPr>
            <w:tcW w:type="dxa" w:w="238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ICBHI→SPR frozen source transfer</w:t>
            </w:r>
          </w:p>
        </w:tc>
        <w:tc>
          <w:tcPr>
            <w:tcW w:type="dxa" w:w="215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project-reported evidence</w:t>
            </w:r>
          </w:p>
        </w:tc>
        <w:tc>
          <w:tcPr>
            <w:tcW w:type="dxa" w:w="260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59.38 / 55.82 / 59.98；source test-selection caveat</w:t>
            </w:r>
          </w:p>
        </w:tc>
        <w:tc>
          <w:tcPr>
            <w:tcW w:type="dxa" w:w="192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只作 exploratory zero-target transfer。</w:t>
            </w:r>
          </w:p>
        </w:tc>
      </w:tr>
      <w:tr>
        <w:trPr>
          <w:cantSplit/>
          <w:trHeight w:hRule="auto"/>
        </w:trPr>
        <w:tc>
          <w:tcPr>
            <w:tcW w:type="dxa" w:w="238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Frozen encoder + SPR target heads</w:t>
            </w:r>
          </w:p>
        </w:tc>
        <w:tc>
          <w:tcPr>
            <w:tcW w:type="dxa" w:w="215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project-reported evidence</w:t>
            </w:r>
          </w:p>
        </w:tc>
        <w:tc>
          <w:tcPr>
            <w:tcW w:type="dxa" w:w="260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binary 84.25–90.58；使用 target labels</w:t>
            </w:r>
          </w:p>
        </w:tc>
        <w:tc>
          <w:tcPr>
            <w:tcW w:type="dxa" w:w="192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只支持 target-supervised separability。</w:t>
            </w:r>
          </w:p>
        </w:tc>
      </w:tr>
      <w:tr>
        <w:trPr>
          <w:cantSplit/>
          <w:trHeight w:hRule="auto"/>
        </w:trPr>
        <w:tc>
          <w:tcPr>
            <w:tcW w:type="dxa" w:w="238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Representation attribution</w:t>
            </w:r>
          </w:p>
        </w:tc>
        <w:tc>
          <w:tcPr>
            <w:tcW w:type="dxa" w:w="215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receipt-backed project result</w:t>
            </w:r>
          </w:p>
        </w:tc>
        <w:tc>
          <w:tcPr>
            <w:tcW w:type="dxa" w:w="260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PAFA 与 AudioSet 优势因 task 而异</w:t>
            </w:r>
          </w:p>
        </w:tc>
        <w:tc>
          <w:tcPr>
            <w:tcW w:type="dxa" w:w="192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无 universal best backbone。</w:t>
            </w:r>
          </w:p>
        </w:tc>
      </w:tr>
      <w:tr>
        <w:trPr>
          <w:cantSplit/>
          <w:trHeight w:hRule="auto"/>
        </w:trPr>
        <w:tc>
          <w:tcPr>
            <w:tcW w:type="dxa" w:w="238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Shared-compatible head H1/H2</w:t>
            </w:r>
          </w:p>
        </w:tc>
        <w:tc>
          <w:tcPr>
            <w:tcW w:type="dxa" w:w="215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receipt-backed project result</w:t>
            </w:r>
          </w:p>
        </w:tc>
        <w:tc>
          <w:tcPr>
            <w:tcW w:type="dxa" w:w="260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parameter matched；material count 0</w:t>
            </w:r>
          </w:p>
        </w:tc>
        <w:tc>
          <w:tcPr>
            <w:tcW w:type="dxa" w:w="192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直接负面；新属性线必须超越。</w:t>
            </w:r>
          </w:p>
        </w:tc>
      </w:tr>
      <w:tr>
        <w:trPr>
          <w:cantSplit/>
          <w:trHeight w:hRule="auto"/>
        </w:trPr>
        <w:tc>
          <w:tcPr>
            <w:tcW w:type="dxa" w:w="238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Support-aware cRT</w:t>
            </w:r>
          </w:p>
        </w:tc>
        <w:tc>
          <w:tcPr>
            <w:tcW w:type="dxa" w:w="215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receipt-backed project result</w:t>
            </w:r>
          </w:p>
        </w:tc>
        <w:tc>
          <w:tcPr>
            <w:tcW w:type="dxa" w:w="260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HF 局部 gain；多任务 guardrail fail</w:t>
            </w:r>
          </w:p>
        </w:tc>
        <w:tc>
          <w:tcPr>
            <w:tcW w:type="dxa" w:w="192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全局 balancing 不成立。</w:t>
            </w:r>
          </w:p>
        </w:tc>
      </w:tr>
      <w:tr>
        <w:trPr>
          <w:cantSplit/>
          <w:trHeight w:hRule="auto"/>
        </w:trPr>
        <w:tc>
          <w:tcPr>
            <w:tcW w:type="dxa" w:w="238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Shortcut diagnostic</w:t>
            </w:r>
          </w:p>
        </w:tc>
        <w:tc>
          <w:tcPr>
            <w:tcW w:type="dxa" w:w="215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receipt-backed project result</w:t>
            </w:r>
          </w:p>
        </w:tc>
        <w:tc>
          <w:tcPr>
            <w:tcW w:type="dxa" w:w="260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dataset-ID 0.988–0.995；error votes 0/2</w:t>
            </w:r>
          </w:p>
        </w:tc>
        <w:tc>
          <w:tcPr>
            <w:tcW w:type="dxa" w:w="192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不允许 causal shortcut claim。</w:t>
            </w:r>
          </w:p>
        </w:tc>
      </w:tr>
      <w:tr>
        <w:trPr>
          <w:cantSplit/>
          <w:trHeight w:hRule="auto"/>
        </w:trPr>
        <w:tc>
          <w:tcPr>
            <w:tcW w:type="dxa" w:w="238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Event-sensitive pooling</w:t>
            </w:r>
          </w:p>
        </w:tc>
        <w:tc>
          <w:tcPr>
            <w:tcW w:type="dxa" w:w="215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receipt-backed project result</w:t>
            </w:r>
          </w:p>
        </w:tc>
        <w:tc>
          <w:tcPr>
            <w:tcW w:type="dxa" w:w="260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六 native tasks material count 0</w:t>
            </w:r>
          </w:p>
        </w:tc>
        <w:tc>
          <w:tcPr>
            <w:tcW w:type="dxa" w:w="192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不扩 pooling sweep。</w:t>
            </w:r>
          </w:p>
        </w:tc>
      </w:tr>
      <w:tr>
        <w:trPr>
          <w:cantSplit/>
          <w:trHeight w:hRule="auto"/>
        </w:trPr>
        <w:tc>
          <w:tcPr>
            <w:tcW w:type="dxa" w:w="2381"/>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D0–D3 legacy</w:t>
            </w:r>
          </w:p>
        </w:tc>
        <w:tc>
          <w:tcPr>
            <w:tcW w:type="dxa" w:w="2154"/>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pre-fix exploratory</w:t>
            </w:r>
          </w:p>
        </w:tc>
        <w:tc>
          <w:tcPr>
            <w:tcW w:type="dxa" w:w="260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HF grouping parser 缺陷</w:t>
            </w:r>
          </w:p>
        </w:tc>
        <w:tc>
          <w:tcPr>
            <w:tcW w:type="dxa" w:w="1928"/>
            <w:shd w:fill="F8FAFC"/>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不得作为 accepted split evidence。</w:t>
            </w:r>
          </w:p>
        </w:tc>
      </w:tr>
      <w:tr>
        <w:trPr>
          <w:cantSplit/>
          <w:trHeight w:hRule="auto"/>
        </w:trPr>
        <w:tc>
          <w:tcPr>
            <w:tcW w:type="dxa" w:w="2381"/>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color w:val="111827"/>
                <w:sz w:val="16"/>
              </w:rPr>
              <w:t>General/specific residual</w:t>
            </w:r>
          </w:p>
        </w:tc>
        <w:tc>
          <w:tcPr>
            <w:tcW w:type="dxa" w:w="2154"/>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无可确认结果</w:t>
            </w:r>
          </w:p>
        </w:tc>
        <w:tc>
          <w:tcPr>
            <w:tcW w:type="dxa" w:w="260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仅 candidate/HOLD</w:t>
            </w:r>
          </w:p>
        </w:tc>
        <w:tc>
          <w:tcPr>
            <w:tcW w:type="dxa" w:w="1928"/>
            <w:shd w:fill="FFFFFF"/>
            <w:tcMar>
              <w:top w:w="80" w:type="dxa"/>
              <w:start w:w="85" w:type="dxa"/>
              <w:bottom w:w="80" w:type="dxa"/>
              <w:end w:w="85" w:type="dxa"/>
            </w:tcMar>
            <w:vAlign w:val="center"/>
          </w:tcPr>
          <w:p>
            <w:pPr>
              <w:spacing w:before="0" w:after="0" w:line="269" w:lineRule="auto"/>
              <w:jc w:val="left"/>
              <w:keepLines/>
              <w:widowControl w:val="1"/>
            </w:pPr>
            <w:r>
              <w:rPr>
                <w:rFonts w:ascii="Noto Serif CJK SC" w:hAnsi="Noto Serif CJK SC" w:eastAsia="Noto Serif CJK SC"/>
                <w:b w:val="0"/>
                <w:color w:val="111827"/>
                <w:sz w:val="16"/>
              </w:rPr>
              <w:t>不得写成已完成。</w:t>
            </w:r>
          </w:p>
        </w:tc>
      </w:tr>
    </w:tbl>
    <w:p>
      <w:pPr>
        <w:spacing w:after="20"/>
      </w:pPr>
    </w:p>
    <w:p>
      <w:pPr>
        <w:pStyle w:val="Heading1"/>
        <w:keepNext/>
      </w:pPr>
      <w:r>
        <w:t>参考资料与可点击链接</w:t>
      </w:r>
    </w:p>
    <w:p>
      <w:pPr>
        <w:pStyle w:val="Heading2"/>
        <w:keepNext/>
      </w:pPr>
      <w:r>
        <w:t>Notion 内部来源</w:t>
      </w:r>
    </w:p>
    <w:p>
      <w:pPr>
        <w:spacing w:before="0" w:after="60" w:line="283" w:lineRule="auto"/>
        <w:ind w:left="312" w:hanging="312"/>
        <w:widowControl w:val="1"/>
      </w:pPr>
      <w:r>
        <w:rPr>
          <w:rFonts w:ascii="Noto Sans CJK SC" w:hAnsi="Noto Sans CJK SC" w:eastAsia="Noto Sans CJK SC"/>
          <w:b/>
          <w:color w:val="17324D"/>
          <w:sz w:val="18"/>
        </w:rPr>
        <w:t xml:space="preserve">[N1] </w:t>
      </w:r>
      <w:r>
        <w:rPr>
          <w:rFonts w:ascii="Noto Serif CJK SC" w:hAnsi="Noto Serif CJK SC" w:eastAsia="Noto Serif CJK SC"/>
          <w:b/>
          <w:color w:val="111827"/>
          <w:sz w:val="18"/>
        </w:rPr>
        <w:t>2026-07-29</w:t>
      </w:r>
      <w:r>
        <w:rPr>
          <w:rFonts w:ascii="Noto Serif CJK SC" w:hAnsi="Noto Serif CJK SC" w:eastAsia="Noto Serif CJK SC"/>
          <w:color w:val="46515C"/>
          <w:sz w:val="18"/>
        </w:rPr>
        <w:t xml:space="preserve">。四数据集合同、最新 frozen-feature baseline 与 shared attributes proposal。 </w:t>
      </w:r>
      <w:hyperlink r:id="rId11">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[N2] </w:t>
      </w:r>
      <w:r>
        <w:rPr>
          <w:rFonts w:ascii="Noto Serif CJK SC" w:hAnsi="Noto Serif CJK SC" w:eastAsia="Noto Serif CJK SC"/>
          <w:b/>
          <w:color w:val="111827"/>
          <w:sz w:val="18"/>
        </w:rPr>
        <w:t>2026-07-30 Meeting Report（中文审阅稿）</w:t>
      </w:r>
      <w:r>
        <w:rPr>
          <w:rFonts w:ascii="Noto Serif CJK SC" w:hAnsi="Noto Serif CJK SC" w:eastAsia="Noto Serif CJK SC"/>
          <w:color w:val="46515C"/>
          <w:sz w:val="18"/>
        </w:rPr>
        <w:t xml:space="preserve">。最新中文会议报告。 </w:t>
      </w:r>
      <w:hyperlink r:id="rId12">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[N3] </w:t>
      </w:r>
      <w:r>
        <w:rPr>
          <w:rFonts w:ascii="Noto Serif CJK SC" w:hAnsi="Noto Serif CJK SC" w:eastAsia="Noto Serif CJK SC"/>
          <w:b/>
          <w:color w:val="111827"/>
          <w:sz w:val="18"/>
        </w:rPr>
        <w:t>2026-07-27 Working Plan</w:t>
      </w:r>
      <w:r>
        <w:rPr>
          <w:rFonts w:ascii="Noto Serif CJK SC" w:hAnsi="Noto Serif CJK SC" w:eastAsia="Noto Serif CJK SC"/>
          <w:color w:val="46515C"/>
          <w:sz w:val="18"/>
        </w:rPr>
        <w:t xml:space="preserve">。evidence closure、representation attribution、H1/H2、D0–D3 caveat。 </w:t>
      </w:r>
      <w:hyperlink r:id="rId13">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[N4] </w:t>
      </w:r>
      <w:r>
        <w:rPr>
          <w:rFonts w:ascii="Noto Serif CJK SC" w:hAnsi="Noto Serif CJK SC" w:eastAsia="Noto Serif CJK SC"/>
          <w:b/>
          <w:color w:val="111827"/>
          <w:sz w:val="18"/>
        </w:rPr>
        <w:t>2026-07-24</w:t>
      </w:r>
      <w:r>
        <w:rPr>
          <w:rFonts w:ascii="Noto Serif CJK SC" w:hAnsi="Noto Serif CJK SC" w:eastAsia="Noto Serif CJK SC"/>
          <w:color w:val="46515C"/>
          <w:sz w:val="18"/>
        </w:rPr>
        <w:t xml:space="preserve">。ICBHI→SPRSound transfer 与 frozen target-head adaptation。 </w:t>
      </w:r>
      <w:hyperlink r:id="rId14">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[N5] </w:t>
      </w:r>
      <w:r>
        <w:rPr>
          <w:rFonts w:ascii="Noto Serif CJK SC" w:hAnsi="Noto Serif CJK SC" w:eastAsia="Noto Serif CJK SC"/>
          <w:b/>
          <w:color w:val="111827"/>
          <w:sz w:val="18"/>
        </w:rPr>
        <w:t>End-to-End Pipeline 逐框文字规格（讨论稿 v0）</w:t>
      </w:r>
      <w:r>
        <w:rPr>
          <w:rFonts w:ascii="Noto Serif CJK SC" w:hAnsi="Noto Serif CJK SC" w:eastAsia="Noto Serif CJK SC"/>
          <w:color w:val="46515C"/>
          <w:sz w:val="18"/>
        </w:rPr>
        <w:t xml:space="preserve">。证据注册表、候选模块状态与 prohibited claims。 </w:t>
      </w:r>
      <w:hyperlink r:id="rId15">
        <w:r>
          <w:rPr>
            <w:rFonts w:ascii="Noto Sans CJK SC" w:hAnsi="Noto Sans CJK SC" w:eastAsia="Noto Sans CJK SC"/>
            <w:color w:val="0563C1"/>
            <w:u w:val="single"/>
            <w:sz w:val="18"/>
            <w:szCs w:val="18"/>
          </w:rPr>
          <w:t>可点击链接</w:t>
        </w:r>
      </w:hyperlink>
    </w:p>
    <w:p>
      <w:pPr>
        <w:pStyle w:val="Heading2"/>
        <w:keepNext/>
      </w:pPr>
      <w:r>
        <w:t>公开 primary / author sources</w:t>
      </w:r>
    </w:p>
    <w:p>
      <w:pPr>
        <w:spacing w:before="0" w:after="60" w:line="283" w:lineRule="auto"/>
        <w:ind w:left="312" w:hanging="312"/>
        <w:widowControl w:val="1"/>
      </w:pPr>
      <w:r>
        <w:rPr>
          <w:rFonts w:ascii="Noto Sans CJK SC" w:hAnsi="Noto Sans CJK SC" w:eastAsia="Noto Sans CJK SC"/>
          <w:b/>
          <w:color w:val="17324D"/>
          <w:sz w:val="18"/>
        </w:rPr>
        <w:t xml:space="preserve">[P1] </w:t>
      </w:r>
      <w:r>
        <w:rPr>
          <w:rFonts w:ascii="Noto Serif CJK SC" w:hAnsi="Noto Serif CJK SC" w:eastAsia="Noto Serif CJK SC"/>
          <w:b/>
          <w:color w:val="111827"/>
          <w:sz w:val="18"/>
        </w:rPr>
        <w:t>PC-MCL: Patient-Consistent Multi-Cycle Learning with Multi-label Bias Correction for Respiratory Sound Classification</w:t>
      </w:r>
      <w:r>
        <w:rPr>
          <w:rFonts w:ascii="Noto Serif CJK SC" w:hAnsi="Noto Serif CJK SC" w:eastAsia="Noto Serif CJK SC"/>
          <w:color w:val="46515C"/>
          <w:sz w:val="18"/>
        </w:rPr>
        <w:t xml:space="preserve">。arXiv:2601.17080, 2026。 </w:t>
      </w:r>
      <w:hyperlink r:id="rId16">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[P2] </w:t>
      </w:r>
      <w:r>
        <w:rPr>
          <w:rFonts w:ascii="Noto Serif CJK SC" w:hAnsi="Noto Serif CJK SC" w:eastAsia="Noto Serif CJK SC"/>
          <w:b/>
          <w:color w:val="111827"/>
          <w:sz w:val="18"/>
        </w:rPr>
        <w:t>Towards Enhanced Classification of Abnormal Lung Sound in Multi-breath: A Lightweight Multi-label and Multi-head Attention Classification Method</w:t>
      </w:r>
      <w:r>
        <w:rPr>
          <w:rFonts w:ascii="Noto Serif CJK SC" w:hAnsi="Noto Serif CJK SC" w:eastAsia="Noto Serif CJK SC"/>
          <w:color w:val="46515C"/>
          <w:sz w:val="18"/>
        </w:rPr>
        <w:t xml:space="preserve">。arXiv:2407.10828, 2024。 </w:t>
      </w:r>
      <w:hyperlink r:id="rId17">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[P3] </w:t>
      </w:r>
      <w:r>
        <w:rPr>
          <w:rFonts w:ascii="Noto Serif CJK SC" w:hAnsi="Noto Serif CJK SC" w:eastAsia="Noto Serif CJK SC"/>
          <w:b/>
          <w:color w:val="111827"/>
          <w:sz w:val="18"/>
        </w:rPr>
        <w:t>LungMix: A Mixup-Based Strategy for Generalization in Respiratory Sound Classification</w:t>
      </w:r>
      <w:r>
        <w:rPr>
          <w:rFonts w:ascii="Noto Serif CJK SC" w:hAnsi="Noto Serif CJK SC" w:eastAsia="Noto Serif CJK SC"/>
          <w:color w:val="46515C"/>
          <w:sz w:val="18"/>
        </w:rPr>
        <w:t xml:space="preserve">。arXiv:2501.00064。 </w:t>
      </w:r>
      <w:hyperlink r:id="rId18">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[P4] </w:t>
      </w:r>
      <w:r>
        <w:rPr>
          <w:rFonts w:ascii="Noto Serif CJK SC" w:hAnsi="Noto Serif CJK SC" w:eastAsia="Noto Serif CJK SC"/>
          <w:b/>
          <w:color w:val="111827"/>
          <w:sz w:val="18"/>
        </w:rPr>
        <w:t>OPERA: Towards Open Respiratory Acoustic Foundation Models: Pretraining and Benchmarking</w:t>
      </w:r>
      <w:r>
        <w:rPr>
          <w:rFonts w:ascii="Noto Serif CJK SC" w:hAnsi="Noto Serif CJK SC" w:eastAsia="Noto Serif CJK SC"/>
          <w:color w:val="46515C"/>
          <w:sz w:val="18"/>
        </w:rPr>
        <w:t xml:space="preserve">。NeurIPS 2024 / arXiv:2406.16148；作者仓库见链接页。 </w:t>
      </w:r>
      <w:hyperlink r:id="rId19">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[P5] </w:t>
      </w:r>
      <w:r>
        <w:rPr>
          <w:rFonts w:ascii="Noto Serif CJK SC" w:hAnsi="Noto Serif CJK SC" w:eastAsia="Noto Serif CJK SC"/>
          <w:b/>
          <w:color w:val="111827"/>
          <w:sz w:val="18"/>
        </w:rPr>
        <w:t>SPRSound: Open-Source SJTU Paediatric Respiratory Sound Database</w:t>
      </w:r>
      <w:r>
        <w:rPr>
          <w:rFonts w:ascii="Noto Serif CJK SC" w:hAnsi="Noto Serif CJK SC" w:eastAsia="Noto Serif CJK SC"/>
          <w:color w:val="46515C"/>
          <w:sz w:val="18"/>
        </w:rPr>
        <w:t xml:space="preserve">。IEEE Transactions on Biomedical Circuits and Systems 16(5), 2022, DOI 10.1109/TBCAS.2022.3204910。 </w:t>
      </w:r>
      <w:hyperlink r:id="rId20">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[P6] </w:t>
      </w:r>
      <w:r>
        <w:rPr>
          <w:rFonts w:ascii="Noto Serif CJK SC" w:hAnsi="Noto Serif CJK SC" w:eastAsia="Noto Serif CJK SC"/>
          <w:b/>
          <w:color w:val="111827"/>
          <w:sz w:val="18"/>
        </w:rPr>
        <w:t>HF_Lung_V1 / Deep learning-enabled auscultation system for screening potential pulmonary diseases</w:t>
      </w:r>
      <w:r>
        <w:rPr>
          <w:rFonts w:ascii="Noto Serif CJK SC" w:hAnsi="Noto Serif CJK SC" w:eastAsia="Noto Serif CJK SC"/>
          <w:color w:val="46515C"/>
          <w:sz w:val="18"/>
        </w:rPr>
        <w:t xml:space="preserve">。PLOS ONE 2021；官方数据仓库包含标签统计与说明。 </w:t>
      </w:r>
      <w:hyperlink r:id="rId21">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[P7] </w:t>
      </w:r>
      <w:r>
        <w:rPr>
          <w:rFonts w:ascii="Noto Serif CJK SC" w:hAnsi="Noto Serif CJK SC" w:eastAsia="Noto Serif CJK SC"/>
          <w:b/>
          <w:color w:val="111827"/>
          <w:sz w:val="18"/>
        </w:rPr>
        <w:t>A dataset of lung sounds recorded from the chest wall using an electronic stethoscope</w:t>
      </w:r>
      <w:r>
        <w:rPr>
          <w:rFonts w:ascii="Noto Serif CJK SC" w:hAnsi="Noto Serif CJK SC" w:eastAsia="Noto Serif CJK SC"/>
          <w:color w:val="46515C"/>
          <w:sz w:val="18"/>
        </w:rPr>
        <w:t xml:space="preserve">。Mendeley Data v3, DOI 10.17632/jwyy9np4gv.3。 </w:t>
      </w:r>
      <w:hyperlink r:id="rId22">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[P8] </w:t>
      </w:r>
      <w:r>
        <w:rPr>
          <w:rFonts w:ascii="Noto Serif CJK SC" w:hAnsi="Noto Serif CJK SC" w:eastAsia="Noto Serif CJK SC"/>
          <w:b/>
          <w:color w:val="111827"/>
          <w:sz w:val="18"/>
        </w:rPr>
        <w:t>QLung: Quality Adaptive Angular Margin Learning for Respiratory Sound Classification</w:t>
      </w:r>
      <w:r>
        <w:rPr>
          <w:rFonts w:ascii="Noto Serif CJK SC" w:hAnsi="Noto Serif CJK SC" w:eastAsia="Noto Serif CJK SC"/>
          <w:color w:val="46515C"/>
          <w:sz w:val="18"/>
        </w:rPr>
        <w:t xml:space="preserve">。arXiv:2606.11915；作者仓库由论文页面提供。 </w:t>
      </w:r>
      <w:hyperlink r:id="rId23">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[P9] </w:t>
      </w:r>
      <w:r>
        <w:rPr>
          <w:rFonts w:ascii="Noto Serif CJK SC" w:hAnsi="Noto Serif CJK SC" w:eastAsia="Noto Serif CJK SC"/>
          <w:b/>
          <w:color w:val="111827"/>
          <w:sz w:val="18"/>
        </w:rPr>
        <w:t>BTS-CARD: Counterfactual Adversarial Debiasing for Out-of-Distribution Respiratory Sound Classification</w:t>
      </w:r>
      <w:r>
        <w:rPr>
          <w:rFonts w:ascii="Noto Serif CJK SC" w:hAnsi="Noto Serif CJK SC" w:eastAsia="Noto Serif CJK SC"/>
          <w:color w:val="46515C"/>
          <w:sz w:val="18"/>
        </w:rPr>
        <w:t xml:space="preserve">。arXiv:2510.22263。 </w:t>
      </w:r>
      <w:hyperlink r:id="rId24">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[P10] </w:t>
      </w:r>
      <w:r>
        <w:rPr>
          <w:rFonts w:ascii="Noto Serif CJK SC" w:hAnsi="Noto Serif CJK SC" w:eastAsia="Noto Serif CJK SC"/>
          <w:b/>
          <w:color w:val="111827"/>
          <w:sz w:val="18"/>
        </w:rPr>
        <w:t>Methods for the Frugal Labeler: Multi-class Semantic Segmentation on Heterogeneous Labels</w:t>
      </w:r>
      <w:r>
        <w:rPr>
          <w:rFonts w:ascii="Noto Serif CJK SC" w:hAnsi="Noto Serif CJK SC" w:eastAsia="Noto Serif CJK SC"/>
          <w:color w:val="46515C"/>
          <w:sz w:val="18"/>
        </w:rPr>
        <w:t xml:space="preserve">。PLOS ONE 17(2):e0263656, 2022。 </w:t>
      </w:r>
      <w:hyperlink r:id="rId25">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[P11] </w:t>
      </w:r>
      <w:r>
        <w:rPr>
          <w:rFonts w:ascii="Noto Serif CJK SC" w:hAnsi="Noto Serif CJK SC" w:eastAsia="Noto Serif CJK SC"/>
          <w:b/>
          <w:color w:val="111827"/>
          <w:sz w:val="18"/>
        </w:rPr>
        <w:t>Marginal Loss and Exclusion Loss for Partially Supervised Multi-organ Segmentation</w:t>
      </w:r>
      <w:r>
        <w:rPr>
          <w:rFonts w:ascii="Noto Serif CJK SC" w:hAnsi="Noto Serif CJK SC" w:eastAsia="Noto Serif CJK SC"/>
          <w:color w:val="46515C"/>
          <w:sz w:val="18"/>
        </w:rPr>
        <w:t xml:space="preserve">。Medical Image Analysis 70:101979, 2021；arXiv:2007.03868。 </w:t>
      </w:r>
      <w:hyperlink r:id="rId26">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[P12] </w:t>
      </w:r>
      <w:r>
        <w:rPr>
          <w:rFonts w:ascii="Noto Serif CJK SC" w:hAnsi="Noto Serif CJK SC" w:eastAsia="Noto Serif CJK SC"/>
          <w:b/>
          <w:color w:val="111827"/>
          <w:sz w:val="18"/>
        </w:rPr>
        <w:t>Multi-Domain Semantic Segmentation With Overlapping Labels</w:t>
      </w:r>
      <w:r>
        <w:rPr>
          <w:rFonts w:ascii="Noto Serif CJK SC" w:hAnsi="Noto Serif CJK SC" w:eastAsia="Noto Serif CJK SC"/>
          <w:color w:val="46515C"/>
          <w:sz w:val="18"/>
        </w:rPr>
        <w:t xml:space="preserve">。WACV 2022。 </w:t>
      </w:r>
      <w:hyperlink r:id="rId27">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[P13] </w:t>
      </w:r>
      <w:r>
        <w:rPr>
          <w:rFonts w:ascii="Noto Serif CJK SC" w:hAnsi="Noto Serif CJK SC" w:eastAsia="Noto Serif CJK SC"/>
          <w:b/>
          <w:color w:val="111827"/>
          <w:sz w:val="18"/>
        </w:rPr>
        <w:t>Automatic Universal Taxonomies for Multi-domain Semantic Segmentation</w:t>
      </w:r>
      <w:r>
        <w:rPr>
          <w:rFonts w:ascii="Noto Serif CJK SC" w:hAnsi="Noto Serif CJK SC" w:eastAsia="Noto Serif CJK SC"/>
          <w:color w:val="46515C"/>
          <w:sz w:val="18"/>
        </w:rPr>
        <w:t xml:space="preserve">。arXiv:2207.08445。 </w:t>
      </w:r>
      <w:hyperlink r:id="rId28">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[P14] </w:t>
      </w:r>
      <w:r>
        <w:rPr>
          <w:rFonts w:ascii="Noto Serif CJK SC" w:hAnsi="Noto Serif CJK SC" w:eastAsia="Noto Serif CJK SC"/>
          <w:b/>
          <w:color w:val="111827"/>
          <w:sz w:val="18"/>
        </w:rPr>
        <w:t>The Missing Link: Finding Label Relations Across Datasets</w:t>
      </w:r>
      <w:r>
        <w:rPr>
          <w:rFonts w:ascii="Noto Serif CJK SC" w:hAnsi="Noto Serif CJK SC" w:eastAsia="Noto Serif CJK SC"/>
          <w:color w:val="46515C"/>
          <w:sz w:val="18"/>
        </w:rPr>
        <w:t xml:space="preserve">。ECCV 2022 / Google Research。 </w:t>
      </w:r>
      <w:hyperlink r:id="rId29">
        <w:r>
          <w:rPr>
            <w:rFonts w:ascii="Noto Sans CJK SC" w:hAnsi="Noto Sans CJK SC" w:eastAsia="Noto Sans CJK SC"/>
            <w:color w:val="0563C1"/>
            <w:u w:val="single"/>
            <w:sz w:val="18"/>
            <w:szCs w:val="18"/>
          </w:rPr>
          <w:t>可点击链接</w:t>
        </w:r>
      </w:hyperlink>
    </w:p>
    <w:p>
      <w:pPr>
        <w:spacing w:before="0" w:after="60" w:line="283" w:lineRule="auto"/>
        <w:ind w:left="312" w:hanging="312"/>
        <w:widowControl w:val="1"/>
      </w:pPr>
      <w:r>
        <w:rPr>
          <w:rFonts w:ascii="Noto Sans CJK SC" w:hAnsi="Noto Sans CJK SC" w:eastAsia="Noto Sans CJK SC"/>
          <w:b/>
          <w:color w:val="17324D"/>
          <w:sz w:val="18"/>
        </w:rPr>
        <w:t xml:space="preserve">[P15] </w:t>
      </w:r>
      <w:r>
        <w:rPr>
          <w:rFonts w:ascii="Noto Serif CJK SC" w:hAnsi="Noto Serif CJK SC" w:eastAsia="Noto Serif CJK SC"/>
          <w:b/>
          <w:color w:val="111827"/>
          <w:sz w:val="18"/>
        </w:rPr>
        <w:t>An Open Access Database for the Evaluation of Respiratory Sound Classification Algorithms</w:t>
      </w:r>
      <w:r>
        <w:rPr>
          <w:rFonts w:ascii="Noto Serif CJK SC" w:hAnsi="Noto Serif CJK SC" w:eastAsia="Noto Serif CJK SC"/>
          <w:color w:val="46515C"/>
          <w:sz w:val="18"/>
        </w:rPr>
        <w:t xml:space="preserve">。Physiological Measurement 40(3):035001, 2019；ICBHI dataset description。 </w:t>
      </w:r>
      <w:hyperlink r:id="rId30">
        <w:r>
          <w:rPr>
            <w:rFonts w:ascii="Noto Sans CJK SC" w:hAnsi="Noto Sans CJK SC" w:eastAsia="Noto Sans CJK SC"/>
            <w:color w:val="0563C1"/>
            <w:u w:val="single"/>
            <w:sz w:val="18"/>
            <w:szCs w:val="18"/>
          </w:rPr>
          <w:t>可点击链接</w:t>
        </w:r>
      </w:hyperlink>
    </w:p>
    <w:p>
      <w:pPr>
        <w:spacing w:before="0" w:after="0" w:line="276" w:lineRule="auto"/>
        <w:jc w:val="center"/>
        <w:widowControl w:val="1"/>
      </w:pPr>
      <w:r>
        <w:rPr>
          <w:rFonts w:ascii="Noto Sans CJK SC" w:hAnsi="Noto Sans CJK SC" w:eastAsia="Noto Sans CJK SC"/>
          <w:b/>
          <w:color w:val="94A3B8"/>
          <w:sz w:val="18"/>
        </w:rPr>
        <w:t>— 报告结束 —</w:t>
      </w:r>
    </w:p>
    <w:sectPr w:rsidR="00FC693F" w:rsidRPr="0006063C" w:rsidSect="00034616">
      <w:headerReference w:type="default" r:id="rId9"/>
      <w:footerReference w:type="default" r:id="rId10"/>
      <w:pgSz w:w="11906" w:h="16838"/>
      <w:pgMar w:top="1134" w:right="1219" w:bottom="1020" w:left="1219"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7654"/>
      <w:gridCol w:w="1814"/>
    </w:tblGrid>
    <w:tr>
      <w:tc>
        <w:tcPr>
          <w:tcW w:type="dxa" w:w="4734"/>
          <w:tcBorders>
            <w:top w:val="nil"/>
            <w:bottom w:val="nil"/>
            <w:start w:val="nil"/>
            <w:end w:val="nil"/>
          </w:tcBorders>
          <w:tcMar>
            <w:top w:w="0" w:type="dxa"/>
            <w:start w:w="0" w:type="dxa"/>
            <w:bottom w:w="0" w:type="dxa"/>
            <w:end w:w="0" w:type="dxa"/>
          </w:tcMar>
        </w:tcPr>
        <w:p>
          <w:pPr>
            <w:spacing w:before="0" w:after="0" w:line="240" w:lineRule="auto"/>
            <w:widowControl w:val="1"/>
          </w:pPr>
          <w:r>
            <w:rPr>
              <w:rFonts w:ascii="Noto Sans CJK SC" w:hAnsi="Noto Sans CJK SC" w:eastAsia="Noto Sans CJK SC"/>
              <w:color w:val="64748B"/>
              <w:sz w:val="16"/>
            </w:rPr>
            <w:t>公开资料检索与 Notion 审查截止：2026-07-29</w:t>
          </w:r>
        </w:p>
      </w:tc>
      <w:tc>
        <w:tcPr>
          <w:tcW w:type="dxa" w:w="4734"/>
          <w:tcBorders>
            <w:top w:val="nil"/>
            <w:bottom w:val="nil"/>
            <w:start w:val="nil"/>
            <w:end w:val="nil"/>
          </w:tcBorders>
          <w:tcMar>
            <w:top w:w="0" w:type="dxa"/>
            <w:start w:w="0" w:type="dxa"/>
            <w:bottom w:w="0" w:type="dxa"/>
            <w:end w:w="0" w:type="dxa"/>
          </w:tcMar>
        </w:tcPr>
        <w:p>
          <w:pPr>
            <w:jc w:val="right"/>
          </w:pPr>
          <w:r>
            <w:rPr>
              <w:rFonts w:ascii="Noto Sans CJK SC" w:hAnsi="Noto Sans CJK SC" w:eastAsia="Noto Sans CJK SC"/>
              <w:color w:val="64748B"/>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widowControl w:val="1"/>
      <w:pBdr>
        <w:bottom w:val="single" w:sz="6" w:space="4" w:color="CBD5E1"/>
      </w:pBdr>
    </w:pPr>
    <w:r>
      <w:rPr>
        <w:rFonts w:ascii="Noto Sans CJK SC" w:hAnsi="Noto Sans CJK SC" w:eastAsia="Noto Sans CJK SC"/>
        <w:color w:val="64748B"/>
        <w:sz w:val="16"/>
      </w:rPr>
      <w:t>独立科学审查报告  |  Respiratory Acoustic Multi-Dataset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1" w:lineRule="auto" w:after="100"/>
    </w:pPr>
    <w:rPr>
      <w:rFonts w:ascii="Noto Serif CJK SC" w:hAnsi="Noto Serif CJK SC" w:eastAsia="Noto Serif CJK SC"/>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SC" w:hAnsi="Noto Sans CJK SC" w:eastAsia="Noto Sans CJK SC"/>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2257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2A7F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rPr>
      <w:rFonts w:ascii="Noto Sans CJK SC" w:hAnsi="Noto Sans CJK SC" w:eastAsia="Noto Sans CJK SC"/>
      <w:color w:val="46515C"/>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pp.notion.com/p/3ac309efda298188a763e5e244850ebf" TargetMode="External"/><Relationship Id="rId12" Type="http://schemas.openxmlformats.org/officeDocument/2006/relationships/hyperlink" Target="https://app.notion.com/p/3ac309efda2981e59d82fb61484f8fb4" TargetMode="External"/><Relationship Id="rId13" Type="http://schemas.openxmlformats.org/officeDocument/2006/relationships/hyperlink" Target="https://app.notion.com/p/3aa309efda29811aa0bcc87211846295" TargetMode="External"/><Relationship Id="rId14" Type="http://schemas.openxmlformats.org/officeDocument/2006/relationships/hyperlink" Target="https://app.notion.com/p/3a7309efda2981668a2bf428f0ca7950" TargetMode="External"/><Relationship Id="rId15" Type="http://schemas.openxmlformats.org/officeDocument/2006/relationships/hyperlink" Target="https://app.notion.com/p/3ab309efda2981f7a7ceeed39832700c" TargetMode="External"/><Relationship Id="rId16" Type="http://schemas.openxmlformats.org/officeDocument/2006/relationships/hyperlink" Target="https://arxiv.org/abs/2601.17080" TargetMode="External"/><Relationship Id="rId17" Type="http://schemas.openxmlformats.org/officeDocument/2006/relationships/hyperlink" Target="https://arxiv.org/abs/2407.10828" TargetMode="External"/><Relationship Id="rId18" Type="http://schemas.openxmlformats.org/officeDocument/2006/relationships/hyperlink" Target="https://arxiv.org/abs/2501.00064" TargetMode="External"/><Relationship Id="rId19" Type="http://schemas.openxmlformats.org/officeDocument/2006/relationships/hyperlink" Target="https://arxiv.org/abs/2406.16148" TargetMode="External"/><Relationship Id="rId20" Type="http://schemas.openxmlformats.org/officeDocument/2006/relationships/hyperlink" Target="https://ieeexplore.ieee.org/document/9880516/" TargetMode="External"/><Relationship Id="rId21" Type="http://schemas.openxmlformats.org/officeDocument/2006/relationships/hyperlink" Target="https://gitlab.com/techsupportHF/HF_Lung_V1" TargetMode="External"/><Relationship Id="rId22" Type="http://schemas.openxmlformats.org/officeDocument/2006/relationships/hyperlink" Target="https://data.mendeley.com/datasets/jwyy9np4gv/3" TargetMode="External"/><Relationship Id="rId23" Type="http://schemas.openxmlformats.org/officeDocument/2006/relationships/hyperlink" Target="https://arxiv.org/abs/2606.11915" TargetMode="External"/><Relationship Id="rId24" Type="http://schemas.openxmlformats.org/officeDocument/2006/relationships/hyperlink" Target="https://arxiv.org/abs/2510.22263" TargetMode="External"/><Relationship Id="rId25" Type="http://schemas.openxmlformats.org/officeDocument/2006/relationships/hyperlink" Target="https://journals.plos.org/plosone/article?id=10.1371/journal.pone.0263656" TargetMode="External"/><Relationship Id="rId26" Type="http://schemas.openxmlformats.org/officeDocument/2006/relationships/hyperlink" Target="https://arxiv.org/abs/2007.03868" TargetMode="External"/><Relationship Id="rId27" Type="http://schemas.openxmlformats.org/officeDocument/2006/relationships/hyperlink" Target="https://openaccess.thecvf.com/content/WACV2022/html/Bevandic_Multi-Domain_Semantic_Segmentation_With_Overlapping_Labels_WACV_2022_paper.html" TargetMode="External"/><Relationship Id="rId28" Type="http://schemas.openxmlformats.org/officeDocument/2006/relationships/hyperlink" Target="https://arxiv.org/abs/2207.08445" TargetMode="External"/><Relationship Id="rId29" Type="http://schemas.openxmlformats.org/officeDocument/2006/relationships/hyperlink" Target="https://research.google/pubs/the-missing-link-finding-label-relations-across-datasets/" TargetMode="External"/><Relationship Id="rId30" Type="http://schemas.openxmlformats.org/officeDocument/2006/relationships/hyperlink" Target="https://ai4eu.dei.uc.pt/respiratory-sound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呼吸音多数据集共享属性主线：独立科学审查报告</dc:title>
  <dc:subject>Eligibility-aware shared respiratory attribute learning across heterogeneous native tasks</dc:subject>
  <dc:creator>Independent Scientific Review</dc:creator>
  <cp:keywords>respiratory sound, multi-dataset, heterogeneous labels, low-shot transfer, scientific review</cp:keywords>
  <dc:description>Created from accessible Notion pages and publicly verifiable primary sources; no local code, raw data, or checkpoints accessed.</dc:description>
  <cp:lastModifiedBy/>
  <cp:revision>1</cp:revision>
  <dcterms:created xsi:type="dcterms:W3CDTF">2013-12-23T23:15:00Z</dcterms:created>
  <dcterms:modified xsi:type="dcterms:W3CDTF">2013-12-23T23:15:00Z</dcterms:modified>
  <cp:category/>
</cp:coreProperties>
</file>