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336" w:lineRule="auto"/>
      </w:pPr>
    </w:p>
    <w:p>
      <w:pPr>
        <w:spacing w:before="0" w:after="0" w:line="336" w:lineRule="auto"/>
        <w:jc w:val="center"/>
      </w:pPr>
      <w:r>
        <w:rPr>
          <w:rFonts w:ascii="微软雅黑" w:hAnsi="微软雅黑" w:eastAsia="微软雅黑"/>
          <w:b/>
          <w:color w:val="1F2A37"/>
          <w:sz w:val="52"/>
        </w:rPr>
        <w:t>AI 大模型对话接口</w:t>
      </w:r>
    </w:p>
    <w:p>
      <w:pPr>
        <w:spacing w:before="0" w:after="120" w:line="336" w:lineRule="auto"/>
        <w:jc w:val="center"/>
      </w:pPr>
      <w:r>
        <w:rPr>
          <w:rFonts w:ascii="微软雅黑" w:hAnsi="微软雅黑" w:eastAsia="微软雅黑"/>
          <w:b/>
          <w:color w:val="1F6FEB"/>
          <w:sz w:val="52"/>
        </w:rPr>
        <w:t>自动化回归测试</w:t>
      </w:r>
    </w:p>
    <w:p>
      <w:pPr>
        <w:spacing w:before="0" w:after="1000" w:line="336" w:lineRule="auto"/>
        <w:jc w:val="center"/>
      </w:pPr>
      <w:r>
        <w:rPr>
          <w:rFonts w:ascii="微软雅黑" w:hAnsi="微软雅黑" w:eastAsia="微软雅黑"/>
          <w:b w:val="0"/>
          <w:color w:val="5B6673"/>
          <w:sz w:val="30"/>
        </w:rPr>
        <w:t>项目报告</w:t>
      </w:r>
    </w:p>
    <w:p>
      <w:pPr>
        <w:spacing w:before="0" w:after="1400" w:line="336" w:lineRule="auto"/>
        <w:jc w:val="center"/>
      </w:pPr>
      <w:r>
        <w:rPr>
          <w:rFonts w:ascii="微软雅黑" w:hAnsi="微软雅黑" w:eastAsia="微软雅黑"/>
          <w:b w:val="0"/>
          <w:color w:val="5B6673"/>
          <w:sz w:val="23"/>
        </w:rPr>
        <w:t>从「人工逐条验证」到「可重复、可度量、可追溯」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350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汇报人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181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汇报日期</w:t>
            </w:r>
          </w:p>
        </w:tc>
        <w:tc>
          <w:tcPr>
            <w:tcW w:type="dxa" w:w="635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被测对象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AI 大模型对话接口（OpenAI 兼容，HTTPS）</w:t>
            </w:r>
          </w:p>
        </w:tc>
      </w:tr>
      <w:tr>
        <w:tc>
          <w:tcPr>
            <w:tcW w:type="dxa" w:w="181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交付形式</w:t>
            </w:r>
          </w:p>
        </w:tc>
        <w:tc>
          <w:tcPr>
            <w:tcW w:type="dxa" w:w="635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可运行的自动化回归框架 + 测试报告 + 缺陷单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代码位置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llm_regression/（分支 test/llm-regression-framework）</w:t>
            </w:r>
          </w:p>
        </w:tc>
      </w:tr>
    </w:tbl>
    <w:p>
      <w:pPr>
        <w:spacing w:before="0" w:after="80" w:line="336" w:lineRule="auto"/>
      </w:pP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一、项目概述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1.1 背景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被测对象是一个 AI 大模型对话接口，该接口版本迭代频繁、入参组合多，且返回内容由模型实时生成。原有的回归方式是测试人员手工在 Postman 中逐条构造请求、肉眼比对返回结果，单次回归耗时约 30 分钟，且存在三个突出问题：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覆盖依赖个人经验：空输入、超长文本、非法字符、异常编码等边界与异常场景，是否覆盖、覆盖到什么程度完全取决于测试人员经验，容易漏测；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过程无留痕：回归过程没有记录，出现问题时无法说明当时的测试数据与预期依据；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结果不可度量：模型返回内容每次不同，人工判断标准不统一，回归结论难以作为发布依据。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1.2 项目目标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把「人工点一遍」升级为「可重复、可度量、可追溯」的自动化回归，具体拆解为四项：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587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6576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衡量方式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可重复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一条命令即可执行全部场景，结果稳定不依赖人工判断</w:t>
            </w:r>
          </w:p>
        </w:tc>
      </w:tr>
      <w:tr>
        <w:tc>
          <w:tcPr>
            <w:tcW w:type="dxa" w:w="1587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可度量</w:t>
            </w:r>
          </w:p>
        </w:tc>
        <w:tc>
          <w:tcPr>
            <w:tcW w:type="dxa" w:w="657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除状态码外，校验响应结构、字段类型、业务错误码与响应耗时</w:t>
            </w:r>
          </w:p>
        </w:tc>
      </w:tr>
      <w:tr>
        <w:tc>
          <w:tcPr>
            <w:tcW w:type="dxa" w:w="158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可追溯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每次执行自动生成报告归档，失败用例自动留存请求与响应证据</w:t>
            </w:r>
          </w:p>
        </w:tc>
      </w:tr>
      <w:tr>
        <w:tc>
          <w:tcPr>
            <w:tcW w:type="dxa" w:w="1587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可扩展</w:t>
            </w:r>
          </w:p>
        </w:tc>
        <w:tc>
          <w:tcPr>
            <w:tcW w:type="dxa" w:w="657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新增接口或新增场景只需补充配置与数据，不需要改动代码</w:t>
            </w:r>
          </w:p>
        </w:tc>
      </w:tr>
    </w:tbl>
    <w:p>
      <w:pPr>
        <w:spacing w:before="0" w:after="80" w:line="336" w:lineRule="auto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1.3 交付成果一览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494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 / 结果</w:t>
            </w:r>
          </w:p>
        </w:tc>
        <w:tc>
          <w:tcPr>
            <w:tcW w:type="dxa" w:w="3742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自动化回归框架</w:t>
            </w:r>
          </w:p>
        </w:tc>
        <w:tc>
          <w:tcPr>
            <w:tcW w:type="dxa" w:w="24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1 套（4 层结构）</w:t>
            </w:r>
          </w:p>
        </w:tc>
        <w:tc>
          <w:tcPr>
            <w:tcW w:type="dxa" w:w="374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配置层 / 请求层 / 数据层 / 断言层</w:t>
            </w:r>
          </w:p>
        </w:tc>
      </w:tr>
      <w:tr>
        <w:tc>
          <w:tcPr>
            <w:tcW w:type="dxa" w:w="19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回归用例</w:t>
            </w:r>
          </w:p>
        </w:tc>
        <w:tc>
          <w:tcPr>
            <w:tcW w:type="dxa" w:w="24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30 条 / 真实 18 条</w:t>
            </w:r>
          </w:p>
        </w:tc>
        <w:tc>
          <w:tcPr>
            <w:tcW w:type="dxa" w:w="374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四类场景，全部通过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断言规则</w:t>
            </w:r>
          </w:p>
        </w:tc>
        <w:tc>
          <w:tcPr>
            <w:tcW w:type="dxa" w:w="24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8 类</w:t>
            </w:r>
          </w:p>
        </w:tc>
        <w:tc>
          <w:tcPr>
            <w:tcW w:type="dxa" w:w="374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含耗时阈值，把性能回退纳入判定</w:t>
            </w:r>
          </w:p>
        </w:tc>
      </w:tr>
      <w:tr>
        <w:tc>
          <w:tcPr>
            <w:tcW w:type="dxa" w:w="19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可视化报告</w:t>
            </w:r>
          </w:p>
        </w:tc>
        <w:tc>
          <w:tcPr>
            <w:tcW w:type="dxa" w:w="24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每次执行自动生成</w:t>
            </w:r>
          </w:p>
        </w:tc>
        <w:tc>
          <w:tcPr>
            <w:tcW w:type="dxa" w:w="374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HTML + JUnit XML，失败自动留证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缺陷单</w:t>
            </w:r>
          </w:p>
        </w:tc>
        <w:tc>
          <w:tcPr>
            <w:tcW w:type="dxa" w:w="24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6 条</w:t>
            </w:r>
          </w:p>
        </w:tc>
        <w:tc>
          <w:tcPr>
            <w:tcW w:type="dxa" w:w="374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已提交缺陷管理系统并附实测证据</w:t>
            </w:r>
          </w:p>
        </w:tc>
      </w:tr>
      <w:tr>
        <w:tc>
          <w:tcPr>
            <w:tcW w:type="dxa" w:w="19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自动化流水线</w:t>
            </w:r>
          </w:p>
        </w:tc>
        <w:tc>
          <w:tcPr>
            <w:tcW w:type="dxa" w:w="24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2 个环节</w:t>
            </w:r>
          </w:p>
        </w:tc>
        <w:tc>
          <w:tcPr>
            <w:tcW w:type="dxa" w:w="374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门禁 + 真实接口回归（可选触发）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1-1　交付成果一览（数据来源：项目仓库实际产物）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二、解决方案设计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2.1 整体思路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核心思路是「把测试经验固化成数据，而不是留在个人脑子里」。为此做了两个关键决策：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第一，用等价类划分与边界值分析把输入域拆成四类场景，每一类都落成可参数化的数据文件；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第二，自建一个 Mock 接口作为被测对象的「契约实现」，用于稳定复现真实接口无法稳定触发的异常分支（超时、服务端错误、瞬时故障、编码异常）。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2.2 四类测试场景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设计方法</w:t>
            </w:r>
          </w:p>
        </w:tc>
        <w:tc>
          <w:tcPr>
            <w:tcW w:type="dxa" w:w="453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覆盖要点</w:t>
            </w:r>
          </w:p>
        </w:tc>
      </w:tr>
      <w:tr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正常输入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有效等价类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中文提问、中英文混合，验证 200 与结构完整</w:t>
            </w:r>
          </w:p>
        </w:tc>
      </w:tr>
      <w:tr>
        <w:tc>
          <w:tcPr>
            <w:tcW w:type="dxa" w:w="13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空输入</w:t>
            </w:r>
          </w:p>
        </w:tc>
        <w:tc>
          <w:tcPr>
            <w:tcW w:type="dxa" w:w="226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边界值（0 字符）+ 无效等价类</w:t>
            </w:r>
          </w:p>
        </w:tc>
        <w:tc>
          <w:tcPr>
            <w:tcW w:type="dxa" w:w="45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空串、纯空格、纯换行、字段缺失、字段类型错误</w:t>
            </w:r>
          </w:p>
        </w:tc>
      </w:tr>
      <w:tr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超长文本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边界值三点法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999 / 1000 / 1001 字符夹住上限，另加 10000 字符极端值</w:t>
            </w:r>
          </w:p>
        </w:tc>
      </w:tr>
      <w:tr>
        <w:tc>
          <w:tcPr>
            <w:tcW w:type="dxa" w:w="13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非法字符</w:t>
            </w:r>
          </w:p>
        </w:tc>
        <w:tc>
          <w:tcPr>
            <w:tcW w:type="dxa" w:w="226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无效等价类 + 异常分支</w:t>
            </w:r>
          </w:p>
        </w:tc>
        <w:tc>
          <w:tcPr>
            <w:tcW w:type="dxa" w:w="45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NUL 字符、控制字符、残缺 JSON、非 UTF-8 编码、XSS payload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2-1　四类场景与用例设计方法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2.3 框架分层结构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框架按职责分为四层，层与层之间通过配置与数据解耦：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742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17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带来的价值</w:t>
            </w:r>
          </w:p>
        </w:tc>
      </w:tr>
      <w:tr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配置层</w:t>
            </w:r>
          </w:p>
        </w:tc>
        <w:tc>
          <w:tcPr>
            <w:tcW w:type="dxa" w:w="374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接口地址、鉴权、超时、重试策略、耗时基线</w:t>
            </w:r>
          </w:p>
        </w:tc>
        <w:tc>
          <w:tcPr>
            <w:tcW w:type="dxa" w:w="317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更换环境或接口不改代码</w:t>
            </w:r>
          </w:p>
        </w:tc>
      </w:tr>
      <w:tr>
        <w:tc>
          <w:tcPr>
            <w:tcW w:type="dxa" w:w="1247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请求层</w:t>
            </w:r>
          </w:p>
        </w:tc>
        <w:tc>
          <w:tcPr>
            <w:tcW w:type="dxa" w:w="374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统一封装会话、鉴权头、超时与重试，并记录完整调用留痕</w:t>
            </w:r>
          </w:p>
        </w:tc>
        <w:tc>
          <w:tcPr>
            <w:tcW w:type="dxa" w:w="317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策略集中管理，异常处理一致</w:t>
            </w:r>
          </w:p>
        </w:tc>
      </w:tr>
      <w:tr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数据层</w:t>
            </w:r>
          </w:p>
        </w:tc>
        <w:tc>
          <w:tcPr>
            <w:tcW w:type="dxa" w:w="374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以 YAML 存放用例数据</w:t>
            </w:r>
          </w:p>
        </w:tc>
        <w:tc>
          <w:tcPr>
            <w:tcW w:type="dxa" w:w="317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新增用例 = 新增一行数据</w:t>
            </w:r>
          </w:p>
        </w:tc>
      </w:tr>
      <w:tr>
        <w:tc>
          <w:tcPr>
            <w:tcW w:type="dxa" w:w="1247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断言层</w:t>
            </w:r>
          </w:p>
        </w:tc>
        <w:tc>
          <w:tcPr>
            <w:tcW w:type="dxa" w:w="374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8 类可度量断言规则</w:t>
            </w:r>
          </w:p>
        </w:tc>
        <w:tc>
          <w:tcPr>
            <w:tcW w:type="dxa" w:w="317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失败信息含期望值、实际值与上下文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2-2　四层结构职责划分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2.4 断言规则（8 类）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断言不只判断「接口通了」，而是判断「结果对不对、快不快」。这一点是本项目与手工回归的核心差异。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94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04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断言项</w:t>
            </w:r>
          </w:p>
        </w:tc>
        <w:tc>
          <w:tcPr>
            <w:tcW w:type="dxa" w:w="5329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7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HTTP 状态码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精确匹配预期状态码</w:t>
            </w:r>
          </w:p>
        </w:tc>
      </w:tr>
      <w:tr>
        <w:tc>
          <w:tcPr>
            <w:tcW w:type="dxa" w:w="7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2</w:t>
            </w:r>
          </w:p>
        </w:tc>
        <w:tc>
          <w:tcPr>
            <w:tcW w:type="dxa" w:w="204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响应 JSON 结构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校验必需字段是否存在</w:t>
            </w:r>
          </w:p>
        </w:tc>
      </w:tr>
      <w:tr>
        <w:tc>
          <w:tcPr>
            <w:tcW w:type="dxa" w:w="7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关键字段类型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校验字段类型是否符合契约</w:t>
            </w:r>
          </w:p>
        </w:tc>
      </w:tr>
      <w:tr>
        <w:tc>
          <w:tcPr>
            <w:tcW w:type="dxa" w:w="7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4</w:t>
            </w:r>
          </w:p>
        </w:tc>
        <w:tc>
          <w:tcPr>
            <w:tcW w:type="dxa" w:w="204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业务错误码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校验业务层的错误标识，而非仅看 HTTP 层</w:t>
            </w:r>
          </w:p>
        </w:tc>
      </w:tr>
      <w:tr>
        <w:tc>
          <w:tcPr>
            <w:tcW w:type="dxa" w:w="7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生成内容非空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成功响应必须返回可用的生成内容，含最小长度校验</w:t>
            </w:r>
          </w:p>
        </w:tc>
      </w:tr>
      <w:tr>
        <w:tc>
          <w:tcPr>
            <w:tcW w:type="dxa" w:w="7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6</w:t>
            </w:r>
          </w:p>
        </w:tc>
        <w:tc>
          <w:tcPr>
            <w:tcW w:type="dxa" w:w="204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响应耗时基线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把性能回退纳入回归判定：接口通了但慢一倍同样判失败</w:t>
            </w:r>
          </w:p>
        </w:tc>
      </w:tr>
      <w:tr>
        <w:tc>
          <w:tcPr>
            <w:tcW w:type="dxa" w:w="79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重试次数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验证重试策略确实生效，而不只是「碰巧成功」</w:t>
            </w:r>
          </w:p>
        </w:tc>
      </w:tr>
      <w:tr>
        <w:tc>
          <w:tcPr>
            <w:tcW w:type="dxa" w:w="79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8</w:t>
            </w:r>
          </w:p>
        </w:tc>
        <w:tc>
          <w:tcPr>
            <w:tcW w:type="dxa" w:w="204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超时分支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验证客户端在超时预算内正确快速失败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2-3　八类断言规则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2.5 不稳定依赖的治理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AI 接口天然存在三类不稳定：响应慢、依赖网络、异常分支无法按需触发。本项目通过自建 Mock 服务实现可控：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不稳定因素</w:t>
            </w:r>
          </w:p>
        </w:tc>
        <w:tc>
          <w:tcPr>
            <w:tcW w:type="dxa" w:w="5896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治理手段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服务端慢响应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支持按标记注入延迟，用于验证耗时阈值与超时分支</w:t>
            </w:r>
          </w:p>
        </w:tc>
      </w:tr>
      <w:tr>
        <w:tc>
          <w:tcPr>
            <w:tcW w:type="dxa" w:w="226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服务端持续报错</w:t>
            </w:r>
          </w:p>
        </w:tc>
        <w:tc>
          <w:tcPr>
            <w:tcW w:type="dxa" w:w="589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支持持续返回 5xx，验证重试上限</w:t>
            </w:r>
          </w:p>
        </w:tc>
      </w:tr>
      <w:tr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瞬时故障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支持「前 N 次失败、之后成功」，验证重试自愈能力</w:t>
            </w:r>
          </w:p>
        </w:tc>
      </w:tr>
      <w:tr>
        <w:tc>
          <w:tcPr>
            <w:tcW w:type="dxa" w:w="226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请求体编码异常</w:t>
            </w:r>
          </w:p>
        </w:tc>
        <w:tc>
          <w:tcPr>
            <w:tcW w:type="dxa" w:w="589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支持接收非 UTF-8 字节，验证解码异常的处理路径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2-4　不稳定依赖及其治理手段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三、执行结果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3.1 回归结果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474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执行模式</w:t>
            </w:r>
          </w:p>
        </w:tc>
        <w:tc>
          <w:tcPr>
            <w:tcW w:type="dxa" w:w="1020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36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1247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  <w:tc>
          <w:tcPr>
            <w:tcW w:type="dxa" w:w="306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模式</w:t>
            </w:r>
          </w:p>
        </w:tc>
        <w:tc>
          <w:tcPr>
            <w:tcW w:type="dxa" w:w="102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30</w:t>
            </w:r>
          </w:p>
        </w:tc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全部通过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2 秒</w:t>
            </w:r>
          </w:p>
        </w:tc>
        <w:tc>
          <w:tcPr>
            <w:tcW w:type="dxa" w:w="30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离线可跑，结果确定</w:t>
            </w:r>
          </w:p>
        </w:tc>
      </w:tr>
      <w:tr>
        <w:tc>
          <w:tcPr>
            <w:tcW w:type="dxa" w:w="147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真实接口</w:t>
            </w:r>
          </w:p>
        </w:tc>
        <w:tc>
          <w:tcPr>
            <w:tcW w:type="dxa" w:w="102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18</w:t>
            </w:r>
          </w:p>
        </w:tc>
        <w:tc>
          <w:tcPr>
            <w:tcW w:type="dxa" w:w="13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全部通过</w:t>
            </w:r>
          </w:p>
        </w:tc>
        <w:tc>
          <w:tcPr>
            <w:tcW w:type="dxa" w:w="1247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18 秒</w:t>
            </w:r>
          </w:p>
        </w:tc>
        <w:tc>
          <w:tcPr>
            <w:tcW w:type="dxa" w:w="30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连接真实大模型服务，含网络波动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3-1　回归执行结果（多次执行结果一致）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3.2 效率对比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17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人工方式</w:t>
            </w:r>
          </w:p>
        </w:tc>
        <w:tc>
          <w:tcPr>
            <w:tcW w:type="dxa" w:w="351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自动化方式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构造请求</w:t>
            </w:r>
          </w:p>
        </w:tc>
        <w:tc>
          <w:tcPr>
            <w:tcW w:type="dxa" w:w="317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逐条手工填写参数，含超长文本粘贴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数据文件参数化，零人工</w:t>
            </w:r>
          </w:p>
        </w:tc>
      </w:tr>
      <w:tr>
        <w:tc>
          <w:tcPr>
            <w:tcW w:type="dxa" w:w="147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结果比对</w:t>
            </w:r>
          </w:p>
        </w:tc>
        <w:tc>
          <w:tcPr>
            <w:tcW w:type="dxa" w:w="317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肉眼逐条核对返回</w:t>
            </w:r>
          </w:p>
        </w:tc>
        <w:tc>
          <w:tcPr>
            <w:tcW w:type="dxa" w:w="351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8 类断言自动判定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留痕记录</w:t>
            </w:r>
          </w:p>
        </w:tc>
        <w:tc>
          <w:tcPr>
            <w:tcW w:type="dxa" w:w="317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人工记录或截图，易遗漏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自动生成报告，失败自动留存证据</w:t>
            </w:r>
          </w:p>
        </w:tc>
      </w:tr>
      <w:tr>
        <w:tc>
          <w:tcPr>
            <w:tcW w:type="dxa" w:w="1474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汇总整理</w:t>
            </w:r>
          </w:p>
        </w:tc>
        <w:tc>
          <w:tcPr>
            <w:tcW w:type="dxa" w:w="317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人工整理汇总</w:t>
            </w:r>
          </w:p>
        </w:tc>
        <w:tc>
          <w:tcPr>
            <w:tcW w:type="dxa" w:w="351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自动输出 HTML 报告与 JUnit XML</w:t>
            </w:r>
          </w:p>
        </w:tc>
      </w:tr>
      <w:tr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单次总耗时</w:t>
            </w:r>
          </w:p>
        </w:tc>
        <w:tc>
          <w:tcPr>
            <w:tcW w:type="dxa" w:w="317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30 分钟</w:t>
            </w:r>
          </w:p>
        </w:tc>
        <w:tc>
          <w:tcPr>
            <w:tcW w:type="dxa" w:w="351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2 秒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3-2　人工方式与自动化方式对比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3.3 自动化流水线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回归已接入持续集成流水线，包含两个环节：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83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362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回归门禁</w:t>
            </w:r>
          </w:p>
        </w:tc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代码提交 / 合并请求自动触发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20 秒完成 30 条用例；不通过则拦截代码合入</w:t>
            </w:r>
          </w:p>
        </w:tc>
      </w:tr>
      <w:tr>
        <w:tc>
          <w:tcPr>
            <w:tcW w:type="dxa" w:w="170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真实接口回归</w:t>
            </w:r>
          </w:p>
        </w:tc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手动触发（可选）</w:t>
            </w:r>
          </w:p>
        </w:tc>
        <w:tc>
          <w:tcPr>
            <w:tcW w:type="dxa" w:w="36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对真实服务执行 18 条用例，产物自动归档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3-3　流水线环节说明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为验证门禁确实有效，专门做了一次反向验证：故意将一条用例的期望值改错并提交，流水线如期变红并拦截；改回后恢复通过。该次失败记录保留在流水线历史中，可作为门禁有效性的证据。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四、测试发现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本次工作最有价值的产出是通过真实接口回归发现了 6 个问题，均已提交缺陷管理系统，每条包含前置条件、复现步骤、实际结果、期望结果与实测证据。以下按严重程度排列：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680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020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362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高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存在随机连接中断：相同请求偶发直接断开，重试即可成功</w:t>
            </w:r>
          </w:p>
        </w:tc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导致自动化回归结果不可信，无法作为发布门禁</w:t>
            </w:r>
          </w:p>
        </w:tc>
      </w:tr>
      <w:tr>
        <w:tc>
          <w:tcPr>
            <w:tcW w:type="dxa" w:w="68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2</w:t>
            </w:r>
          </w:p>
        </w:tc>
        <w:tc>
          <w:tcPr>
            <w:tcW w:type="dxa" w:w="102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中</w:t>
            </w:r>
          </w:p>
        </w:tc>
        <w:tc>
          <w:tcPr>
            <w:tcW w:type="dxa" w:w="36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缺少输入参数校验：空值、纯空白、控制字符均被当作正常请求处理</w:t>
            </w:r>
          </w:p>
        </w:tc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无效请求进入模型，浪费算力，且掩盖调用方错误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中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缺少长度上限校验：10000 字符输入仍正常处理</w:t>
            </w:r>
          </w:p>
        </w:tc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存在资源耗尽风险，且无明确的容量契约</w:t>
            </w:r>
          </w:p>
        </w:tc>
      </w:tr>
      <w:tr>
        <w:tc>
          <w:tcPr>
            <w:tcW w:type="dxa" w:w="68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4</w:t>
            </w:r>
          </w:p>
        </w:tc>
        <w:tc>
          <w:tcPr>
            <w:tcW w:type="dxa" w:w="102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中</w:t>
            </w:r>
          </w:p>
        </w:tc>
        <w:tc>
          <w:tcPr>
            <w:tcW w:type="dxa" w:w="36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用户输入被原样写入响应内容，需评估输出编码责任</w:t>
            </w:r>
          </w:p>
        </w:tc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若由服务端直接渲染为 HTML，存在跨站脚本风险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低</w:t>
            </w:r>
          </w:p>
        </w:tc>
        <w:tc>
          <w:tcPr>
            <w:tcW w:type="dxa" w:w="36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畸形请求只返回纯文本错误，没有结构化错误体</w:t>
            </w:r>
          </w:p>
        </w:tc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调用方无法用统一逻辑解析错误</w:t>
            </w:r>
          </w:p>
        </w:tc>
      </w:tr>
      <w:tr>
        <w:tc>
          <w:tcPr>
            <w:tcW w:type="dxa" w:w="68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6</w:t>
            </w:r>
          </w:p>
        </w:tc>
        <w:tc>
          <w:tcPr>
            <w:tcW w:type="dxa" w:w="1020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低</w:t>
            </w:r>
          </w:p>
        </w:tc>
        <w:tc>
          <w:tcPr>
            <w:tcW w:type="dxa" w:w="362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HTTP 状态码不统一：结构错误 422、业务校验 400、模型名非法 400</w:t>
            </w:r>
          </w:p>
        </w:tc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调用方无法通过状态码区分错误类别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4-1　测试发现的 6 个问题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4.1 一个需要说明的测试设计问题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在验证输出编码时，最初的断言设计是「响应内容中不得出现可执行脚本片段」。但实测发现，当输入包含脚本片段时，模型会在回答中复述该内容，导致该断言必然误报——而模型复述用户输入本身是正常行为。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据此得出结论：用关键词匹配判定跨站脚本风险在 AI 场景下不可靠。该用例已降级为「确认服务未报错且返回可用内容」，真正的输出编码验证需要在客户端渲染层单独设计用例。这是本项目的一个已知空白，已在第五章说明。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五、已知不足与改进方向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不足</w:t>
            </w:r>
          </w:p>
        </w:tc>
        <w:tc>
          <w:tcPr>
            <w:tcW w:type="dxa" w:w="3402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61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安全断言不够严谨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关键词匹配判定脚本注入会因模型复述输入而误报，相关断言已降级</w:t>
            </w:r>
          </w:p>
        </w:tc>
        <w:tc>
          <w:tcPr>
            <w:tcW w:type="dxa" w:w="30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在客户端渲染层单独设计用例，或引入人工评估环节</w:t>
            </w:r>
          </w:p>
        </w:tc>
      </w:tr>
      <w:tr>
        <w:tc>
          <w:tcPr>
            <w:tcW w:type="dxa" w:w="170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性能基线为经验值</w:t>
            </w:r>
          </w:p>
        </w:tc>
        <w:tc>
          <w:tcPr>
            <w:tcW w:type="dxa" w:w="340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耗时阈值尚未按真实响应时间分布做统计标定</w:t>
            </w:r>
          </w:p>
        </w:tc>
        <w:tc>
          <w:tcPr>
            <w:tcW w:type="dxa" w:w="30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连续采集多轮真实回归耗时，按分位数重新设定阈值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权限场景未覆盖</w:t>
            </w:r>
          </w:p>
        </w:tc>
        <w:tc>
          <w:tcPr>
            <w:tcW w:type="dxa" w:w="340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密钥错误等鉴权失败分支尚未纳入回归</w:t>
            </w:r>
          </w:p>
        </w:tc>
        <w:tc>
          <w:tcPr>
            <w:tcW w:type="dxa" w:w="30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补充用例数据即可接入，接口与框架均已支持</w:t>
            </w:r>
          </w:p>
        </w:tc>
      </w:tr>
      <w:tr>
        <w:tc>
          <w:tcPr>
            <w:tcW w:type="dxa" w:w="170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真实接口回归未纳入强制门禁</w:t>
            </w:r>
          </w:p>
        </w:tc>
        <w:tc>
          <w:tcPr>
            <w:tcW w:type="dxa" w:w="3402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当前仅 Mock 回归作为必过门禁，真实回归需手动触发</w:t>
            </w:r>
          </w:p>
        </w:tc>
        <w:tc>
          <w:tcPr>
            <w:tcW w:type="dxa" w:w="3061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待连接中断问题治理完成后，再评估纳入强制门禁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5-1　已知不足与改进方向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六、结论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本项目完成了从方案设计到交付的闭环：将人工回归升级为可重复、可度量、可追溯的自动化回归体系，并已接入持续集成流水线。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主要成果：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效率：单次回归由人工约 30 分钟缩短至约 2 秒，且可反复执行、结果稳定；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覆盖：空输入、超长文本、非法字符三类边界与异常场景纳入常态化回归，不再依赖个人经验；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留痕：每次执行自动生成可视化报告并归档，失败用例自动留存请求参数、响应内容与耗时，缺陷单可直接附上复现信息；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质量：真实接口回归发现 6 个问题并提交跟踪，其中随机连接中断为高优先级；</w:t>
      </w:r>
    </w:p>
    <w:p>
      <w:pPr>
        <w:pStyle w:val="ListBullet"/>
        <w:spacing w:after="60" w:line="324" w:lineRule="auto"/>
      </w:pPr>
      <w:r>
        <w:rPr>
          <w:rFonts w:ascii="微软雅黑" w:hAnsi="微软雅黑" w:eastAsia="微软雅黑"/>
          <w:b w:val="0"/>
          <w:color w:val="1F2A37"/>
          <w:sz w:val="21"/>
        </w:rPr>
        <w:t>可持续：框架分层设计，新增接口只需补充配置与数据；Mock 回归已作为代码合入的必过门禁。</w:t>
      </w:r>
    </w:p>
    <w:p>
      <w:pPr>
        <w:spacing w:before="12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一句话结论：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color w:val="1F6FEB"/>
          <w:sz w:val="23"/>
        </w:rPr>
        <w:t>自动化回归体系已跑通并接入流水线，用它测出被测接口存在 6 个问题，其中「随机连接中断」为高优先级。</w:t>
      </w:r>
    </w:p>
    <w:p>
      <w:pPr>
        <w:ind w:left="454"/>
      </w:pPr>
      <w:r>
        <w:rPr>
          <w:rFonts w:ascii="微软雅黑" w:hAnsi="微软雅黑" w:eastAsia="微软雅黑"/>
          <w:b w:val="0"/>
          <w:color w:val="5B6673"/>
          <w:sz w:val="20"/>
        </w:rPr>
        <w:t>需要说明的是，「回归通过」与「被测服务健康」是两件事：回归通过表示接口行为与已记录的契约一致，而接口本身存在的问题已单独作为缺陷提交跟踪。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F6FEB"/>
          <w:sz w:val="32"/>
        </w:rPr>
        <w:t>附录 A　关键数据与复现方式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A.1 关键数据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29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Mock 用例数 / 结果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30 条 / 全部通过（约 2 秒）</w:t>
            </w:r>
          </w:p>
        </w:tc>
      </w:tr>
      <w:tr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真实接口用例数 / 结果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18 条 / 全部通过（约 18 秒）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四类场景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正常输入、空输入、超长文本、非法字符</w:t>
            </w:r>
          </w:p>
        </w:tc>
      </w:tr>
      <w:tr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断言规则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8 类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测试发现问题</w:t>
            </w:r>
          </w:p>
        </w:tc>
        <w:tc>
          <w:tcPr>
            <w:tcW w:type="dxa" w:w="5329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6 条</w:t>
            </w:r>
          </w:p>
        </w:tc>
      </w:tr>
      <w:tr>
        <w:tc>
          <w:tcPr>
            <w:tcW w:type="dxa" w:w="2835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效率提升</w:t>
            </w:r>
          </w:p>
        </w:tc>
        <w:tc>
          <w:tcPr>
            <w:tcW w:type="dxa" w:w="5329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约 30 分钟 → 约 2 秒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A-1　关键数据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A.2 复现方式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在项目根目录执行以下命令即可复现全部结果：</w:t>
      </w:r>
    </w:p>
    <w:p>
      <w:pPr>
        <w:spacing w:after="80"/>
        <w:ind w:left="340"/>
      </w:pPr>
      <w:r>
        <w:rPr>
          <w:rFonts w:ascii="微软雅黑" w:hAnsi="微软雅黑" w:eastAsia="微软雅黑"/>
          <w:b w:val="0"/>
          <w:color w:val="5B6673"/>
          <w:sz w:val="19"/>
        </w:rPr>
        <w:t># Mock 回归（离线，约 2 秒）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color w:val="1F2A37"/>
          <w:sz w:val="19"/>
        </w:rPr>
        <w:t>.venv\Scripts\python.exe llm_regression\run_tests.py</w:t>
      </w:r>
    </w:p>
    <w:p>
      <w:pPr>
        <w:spacing w:after="80"/>
        <w:ind w:left="340"/>
      </w:pPr>
      <w:r>
        <w:rPr>
          <w:rFonts w:ascii="微软雅黑" w:hAnsi="微软雅黑" w:eastAsia="微软雅黑"/>
          <w:b w:val="0"/>
          <w:color w:val="5B6673"/>
          <w:sz w:val="19"/>
        </w:rPr>
        <w:t># 真实接口回归（需外网，约 18 秒）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color w:val="1F2A37"/>
          <w:sz w:val="19"/>
        </w:rPr>
        <w:t>.venv\Scripts\python.exe llm_regression\run_tests.py --env real</w:t>
      </w:r>
    </w:p>
    <w:p>
      <w:pPr>
        <w:spacing w:before="12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执行完成后，可视化报告位于：</w:t>
      </w:r>
    </w:p>
    <w:p>
      <w:pPr>
        <w:ind w:left="340"/>
      </w:pPr>
      <w:r>
        <w:rPr>
          <w:rFonts w:ascii="微软雅黑" w:hAnsi="微软雅黑" w:eastAsia="微软雅黑"/>
          <w:b w:val="0"/>
          <w:color w:val="1F2A37"/>
          <w:sz w:val="19"/>
        </w:rPr>
        <w:t>llm_regression\reports\latest_mock.html（Mock）</w:t>
      </w:r>
    </w:p>
    <w:p>
      <w:pPr>
        <w:ind w:left="340"/>
      </w:pPr>
      <w:r>
        <w:rPr>
          <w:rFonts w:ascii="微软雅黑" w:hAnsi="微软雅黑" w:eastAsia="微软雅黑"/>
          <w:b w:val="0"/>
          <w:color w:val="1F2A37"/>
          <w:sz w:val="19"/>
        </w:rPr>
        <w:t>llm_regression\reports\latest_real.html（真实接口）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6FEB"/>
          <w:sz w:val="27"/>
        </w:rPr>
        <w:t>A.3 数据来源说明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color w:val="1F2A37"/>
          <w:sz w:val="21"/>
        </w:rPr>
        <w:t>本报告中的全部数据均来自项目实际产物，可逐条复核：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608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5556"/>
            <w:shd w:fill="1F6FEB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60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用例数量与通过情况</w:t>
            </w:r>
          </w:p>
        </w:tc>
        <w:tc>
          <w:tcPr>
            <w:tcW w:type="dxa" w:w="555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reports/junit_mock.xml、reports/junit_real.xml</w:t>
            </w:r>
          </w:p>
        </w:tc>
      </w:tr>
      <w:tr>
        <w:tc>
          <w:tcPr>
            <w:tcW w:type="dxa" w:w="260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执行耗时</w:t>
            </w:r>
          </w:p>
        </w:tc>
        <w:tc>
          <w:tcPr>
            <w:tcW w:type="dxa" w:w="555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上述 JUnit 报告中的 time 字段</w:t>
            </w:r>
          </w:p>
        </w:tc>
      </w:tr>
      <w:tr>
        <w:tc>
          <w:tcPr>
            <w:tcW w:type="dxa" w:w="260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缺陷内容与编号</w:t>
            </w:r>
          </w:p>
        </w:tc>
        <w:tc>
          <w:tcPr>
            <w:tcW w:type="dxa" w:w="555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缺陷管理系统中的对应记录</w:t>
            </w:r>
          </w:p>
        </w:tc>
      </w:tr>
      <w:tr>
        <w:tc>
          <w:tcPr>
            <w:tcW w:type="dxa" w:w="2608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流水线结果</w:t>
            </w:r>
          </w:p>
        </w:tc>
        <w:tc>
          <w:tcPr>
            <w:tcW w:type="dxa" w:w="5556"/>
            <w:shd w:fill="F5F8FC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F2A37"/>
                <w:sz w:val="19"/>
              </w:rPr>
              <w:t>代码托管平台的流水线运行历史</w:t>
            </w:r>
          </w:p>
        </w:tc>
      </w:tr>
    </w:tbl>
    <w:p>
      <w:pPr>
        <w:spacing w:before="0" w:after="80" w:line="336" w:lineRule="auto"/>
      </w:pP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B6673"/>
          <w:sz w:val="18"/>
        </w:rPr>
        <w:t>表 A-2　数据来源对照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