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F5505">
      <w:pPr>
        <w:spacing w:after="60"/>
      </w:pPr>
      <w:r>
        <w:rPr>
          <w:b/>
          <w:color w:val="1F2937"/>
          <w:sz w:val="44"/>
        </w:rPr>
        <w:t>玉米价格二分类趋势预测实验标准口径</w:t>
      </w:r>
    </w:p>
    <w:p w14:paraId="32D498E8">
      <w:pPr>
        <w:pStyle w:val="3"/>
      </w:pPr>
      <w:r>
        <w:t>1. 项目目标</w:t>
      </w:r>
    </w:p>
    <w:p w14:paraId="3F00508C">
      <w:pPr>
        <w:pStyle w:val="16"/>
        <w:spacing w:after="80"/>
        <w:ind w:left="720" w:hanging="360"/>
      </w:pPr>
      <w:r>
        <w:rPr>
          <w:sz w:val="20"/>
        </w:rPr>
        <w:t>业务背景：糖浆供应商采购玉米用于制作果葡糖浆，需要预测未来玉米价格趋势以辅助进货决策。</w:t>
      </w:r>
    </w:p>
    <w:p w14:paraId="5310D5D8">
      <w:pPr>
        <w:pStyle w:val="16"/>
        <w:spacing w:after="80"/>
        <w:ind w:left="720" w:hanging="360"/>
      </w:pPr>
      <w:r>
        <w:rPr>
          <w:sz w:val="20"/>
        </w:rPr>
        <w:t>主任务：预测未来 h 天玉米价格相对当前价格的上涨或下跌。</w:t>
      </w:r>
    </w:p>
    <w:p w14:paraId="0F5A7C64">
      <w:pPr>
        <w:pStyle w:val="16"/>
        <w:spacing w:after="80"/>
        <w:ind w:left="720" w:hanging="360"/>
      </w:pPr>
      <w:r>
        <w:rPr>
          <w:sz w:val="20"/>
        </w:rPr>
        <w:t>当前统一口径：趋势二分类。价格回归可作为辅助任务，不作为主任务。</w:t>
      </w:r>
    </w:p>
    <w:p w14:paraId="1B843737">
      <w:pPr>
        <w:pStyle w:val="3"/>
      </w:pPr>
      <w:r>
        <w:t>2. 数据口径标准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CDD701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6926A093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标准项</w:t>
            </w:r>
          </w:p>
        </w:tc>
        <w:tc>
          <w:tcPr>
            <w:tcW w:w="7632" w:type="dxa"/>
            <w:shd w:val="clear" w:color="auto" w:fill="F2F4F7"/>
            <w:vAlign w:val="center"/>
          </w:tcPr>
          <w:p w14:paraId="1705854E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统一口径</w:t>
            </w:r>
          </w:p>
        </w:tc>
      </w:tr>
      <w:tr w14:paraId="339D37A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EF2E0D1">
            <w:pPr>
              <w:spacing w:after="0"/>
              <w:jc w:val="center"/>
            </w:pPr>
            <w:r>
              <w:rPr>
                <w:b w:val="0"/>
                <w:sz w:val="17"/>
              </w:rPr>
              <w:t>数据文件</w:t>
            </w:r>
          </w:p>
        </w:tc>
        <w:tc>
          <w:tcPr>
            <w:tcW w:w="4680" w:type="dxa"/>
            <w:vAlign w:val="center"/>
          </w:tcPr>
          <w:p w14:paraId="60405909">
            <w:pPr>
              <w:spacing w:after="0"/>
              <w:jc w:val="left"/>
            </w:pPr>
            <w:r>
              <w:rPr>
                <w:b w:val="0"/>
                <w:sz w:val="17"/>
              </w:rPr>
              <w:t>使用 C:/时序玉米/玉米价格原始数据.csv。</w:t>
            </w:r>
          </w:p>
        </w:tc>
      </w:tr>
      <w:tr w14:paraId="36FB983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FC948EB">
            <w:pPr>
              <w:spacing w:after="0"/>
              <w:jc w:val="center"/>
            </w:pPr>
            <w:r>
              <w:rPr>
                <w:b w:val="0"/>
                <w:sz w:val="17"/>
              </w:rPr>
              <w:t>目标价格</w:t>
            </w:r>
          </w:p>
        </w:tc>
        <w:tc>
          <w:tcPr>
            <w:tcW w:w="4680" w:type="dxa"/>
            <w:vAlign w:val="center"/>
          </w:tcPr>
          <w:p w14:paraId="0629EE99">
            <w:pPr>
              <w:spacing w:after="0"/>
              <w:jc w:val="left"/>
            </w:pPr>
            <w:r>
              <w:rPr>
                <w:b w:val="0"/>
                <w:sz w:val="17"/>
              </w:rPr>
              <w:t>主价格序列保持一致；当前项目脚本使用 dce_corn_close。</w:t>
            </w:r>
          </w:p>
        </w:tc>
      </w:tr>
      <w:tr w14:paraId="2EDA234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28FF4CE1">
            <w:pPr>
              <w:spacing w:after="0"/>
              <w:jc w:val="center"/>
            </w:pPr>
            <w:r>
              <w:rPr>
                <w:b w:val="0"/>
                <w:sz w:val="17"/>
              </w:rPr>
              <w:t>时间顺序</w:t>
            </w:r>
          </w:p>
        </w:tc>
        <w:tc>
          <w:tcPr>
            <w:tcW w:w="4680" w:type="dxa"/>
            <w:vAlign w:val="center"/>
          </w:tcPr>
          <w:p w14:paraId="53C2B08E">
            <w:pPr>
              <w:spacing w:after="0"/>
              <w:jc w:val="left"/>
            </w:pPr>
            <w:r>
              <w:rPr>
                <w:b w:val="0"/>
                <w:sz w:val="17"/>
              </w:rPr>
              <w:t>按日期升序排列，时序任务禁止随机打乱。</w:t>
            </w:r>
          </w:p>
        </w:tc>
      </w:tr>
      <w:tr w14:paraId="16AE673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5F852A9">
            <w:pPr>
              <w:spacing w:after="0"/>
              <w:jc w:val="center"/>
            </w:pPr>
            <w:r>
              <w:rPr>
                <w:b w:val="0"/>
                <w:sz w:val="17"/>
              </w:rPr>
              <w:t>缺失值</w:t>
            </w:r>
          </w:p>
        </w:tc>
        <w:tc>
          <w:tcPr>
            <w:tcW w:w="4680" w:type="dxa"/>
            <w:vAlign w:val="center"/>
          </w:tcPr>
          <w:p w14:paraId="7B5E26D1">
            <w:pPr>
              <w:spacing w:after="0"/>
              <w:jc w:val="left"/>
            </w:pPr>
            <w:r>
              <w:rPr>
                <w:b w:val="0"/>
                <w:sz w:val="17"/>
              </w:rPr>
              <w:t>需要统一缺失值处理规则；训练、验证、测试保持同一处理方式。</w:t>
            </w:r>
          </w:p>
        </w:tc>
      </w:tr>
      <w:tr w14:paraId="50C41AA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247506F0">
            <w:pPr>
              <w:spacing w:after="0"/>
              <w:jc w:val="center"/>
            </w:pPr>
            <w:r>
              <w:rPr>
                <w:b w:val="0"/>
                <w:sz w:val="17"/>
              </w:rPr>
              <w:t>异常值</w:t>
            </w:r>
          </w:p>
        </w:tc>
        <w:tc>
          <w:tcPr>
            <w:tcW w:w="4680" w:type="dxa"/>
            <w:vAlign w:val="center"/>
          </w:tcPr>
          <w:p w14:paraId="6AFC95E8">
            <w:pPr>
              <w:spacing w:after="0"/>
              <w:jc w:val="left"/>
            </w:pPr>
            <w:r>
              <w:rPr>
                <w:b w:val="0"/>
                <w:sz w:val="17"/>
              </w:rPr>
              <w:t>如做截尾或修正，必须在实验记录中说明，且所有模型一致。</w:t>
            </w:r>
          </w:p>
        </w:tc>
      </w:tr>
      <w:tr w14:paraId="43164BE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74A8757">
            <w:pPr>
              <w:spacing w:after="0"/>
              <w:jc w:val="center"/>
            </w:pPr>
            <w:r>
              <w:rPr>
                <w:b w:val="0"/>
                <w:sz w:val="17"/>
              </w:rPr>
              <w:t>节假日</w:t>
            </w:r>
          </w:p>
        </w:tc>
        <w:tc>
          <w:tcPr>
            <w:tcW w:w="4680" w:type="dxa"/>
            <w:vAlign w:val="center"/>
          </w:tcPr>
          <w:p w14:paraId="5EA691C8">
            <w:pPr>
              <w:spacing w:after="0"/>
              <w:jc w:val="left"/>
            </w:pPr>
            <w:r>
              <w:rPr>
                <w:b w:val="0"/>
                <w:sz w:val="17"/>
              </w:rPr>
              <w:t>按交易日序列建模；如补齐自然日，必须全组统一。</w:t>
            </w:r>
          </w:p>
        </w:tc>
      </w:tr>
    </w:tbl>
    <w:p w14:paraId="4086797C"/>
    <w:p w14:paraId="48D0AF23">
      <w:pPr>
        <w:pStyle w:val="3"/>
      </w:pPr>
      <w:r>
        <w:t>3. 二分类趋势标签标准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F9928A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64E44107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标签项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7FE3E449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定义</w:t>
            </w:r>
          </w:p>
        </w:tc>
      </w:tr>
      <w:tr w14:paraId="3A56473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A30CD31">
            <w:pPr>
              <w:spacing w:after="0"/>
              <w:jc w:val="center"/>
            </w:pPr>
            <w:r>
              <w:rPr>
                <w:b w:val="0"/>
                <w:sz w:val="17"/>
              </w:rPr>
              <w:t>上涨</w:t>
            </w:r>
          </w:p>
        </w:tc>
        <w:tc>
          <w:tcPr>
            <w:tcW w:w="4680" w:type="dxa"/>
            <w:vAlign w:val="center"/>
          </w:tcPr>
          <w:p w14:paraId="65576479">
            <w:pPr>
              <w:spacing w:after="0"/>
              <w:jc w:val="left"/>
            </w:pPr>
            <w:r>
              <w:rPr>
                <w:b w:val="0"/>
                <w:sz w:val="17"/>
              </w:rPr>
              <w:t>y = 1，future_return_h &gt; 0。</w:t>
            </w:r>
          </w:p>
        </w:tc>
      </w:tr>
      <w:tr w14:paraId="64B7526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EF98888">
            <w:pPr>
              <w:spacing w:after="0"/>
              <w:jc w:val="center"/>
            </w:pPr>
            <w:r>
              <w:rPr>
                <w:b w:val="0"/>
                <w:sz w:val="17"/>
              </w:rPr>
              <w:t>下跌或持平</w:t>
            </w:r>
          </w:p>
        </w:tc>
        <w:tc>
          <w:tcPr>
            <w:tcW w:w="4680" w:type="dxa"/>
            <w:vAlign w:val="center"/>
          </w:tcPr>
          <w:p w14:paraId="1AE5CA29">
            <w:pPr>
              <w:spacing w:after="0"/>
              <w:jc w:val="left"/>
            </w:pPr>
            <w:r>
              <w:rPr>
                <w:b w:val="0"/>
                <w:sz w:val="17"/>
              </w:rPr>
              <w:t>y = 0，future_return_h &lt;= 0。</w:t>
            </w:r>
          </w:p>
        </w:tc>
      </w:tr>
      <w:tr w14:paraId="40418C1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</w:tblPrEx>
        <w:trPr>
          <w:jc w:val="center"/>
        </w:trPr>
        <w:tc>
          <w:tcPr>
            <w:tcW w:w="4680" w:type="dxa"/>
            <w:vAlign w:val="center"/>
          </w:tcPr>
          <w:p w14:paraId="4D076B0D">
            <w:pPr>
              <w:spacing w:after="0"/>
              <w:jc w:val="center"/>
            </w:pPr>
            <w:r>
              <w:rPr>
                <w:b w:val="0"/>
                <w:sz w:val="17"/>
              </w:rPr>
              <w:t>阈值</w:t>
            </w:r>
          </w:p>
        </w:tc>
        <w:tc>
          <w:tcPr>
            <w:tcW w:w="4680" w:type="dxa"/>
            <w:vAlign w:val="center"/>
          </w:tcPr>
          <w:p w14:paraId="70B7FA01">
            <w:pPr>
              <w:spacing w:after="0"/>
              <w:jc w:val="left"/>
            </w:pPr>
            <w:r>
              <w:rPr>
                <w:b w:val="0"/>
                <w:sz w:val="17"/>
              </w:rPr>
              <w:t>默认用 0 作为涨跌分界，不使用 0.5%/1% 震荡阈值。</w:t>
            </w:r>
          </w:p>
        </w:tc>
      </w:tr>
    </w:tbl>
    <w:p w14:paraId="75A81C03"/>
    <w:p w14:paraId="71D67456">
      <w:pPr>
        <w:spacing w:after="120"/>
        <w:ind w:left="360"/>
      </w:pPr>
      <w:r>
        <w:rPr>
          <w:rFonts w:ascii="Consolas" w:hAnsi="Consolas"/>
          <w:color w:val="1F2937"/>
          <w:sz w:val="18"/>
        </w:rPr>
        <w:t>future_return_h = (price[t+h] - price[t]) / price[t]</w:t>
      </w:r>
      <w:r>
        <w:rPr>
          <w:rFonts w:ascii="Consolas" w:hAnsi="Consolas"/>
          <w:color w:val="1F2937"/>
          <w:sz w:val="18"/>
        </w:rPr>
        <w:br w:type="textWrapping"/>
      </w:r>
      <w:r>
        <w:rPr>
          <w:rFonts w:ascii="Consolas" w:hAnsi="Consolas"/>
          <w:color w:val="1F2937"/>
          <w:sz w:val="18"/>
        </w:rPr>
        <w:t>y_trend_h = 1 if future_return_h &gt; 0 else 0</w:t>
      </w:r>
    </w:p>
    <w:p w14:paraId="16190A29">
      <w:pPr>
        <w:pStyle w:val="3"/>
      </w:pPr>
      <w:r>
        <w:t>4. 回看步长与预测步长标准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</w:tblGrid>
      <w:tr w14:paraId="0513B54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</w:tblPrEx>
        <w:trPr>
          <w:jc w:val="center"/>
        </w:trPr>
        <w:tc>
          <w:tcPr>
            <w:tcW w:w="2340" w:type="dxa"/>
            <w:shd w:val="clear" w:color="auto" w:fill="F2F4F7"/>
            <w:vAlign w:val="center"/>
          </w:tcPr>
          <w:p w14:paraId="53A561BE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维度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7BEBE521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第一版统一取值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615796CD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说明</w:t>
            </w:r>
          </w:p>
        </w:tc>
      </w:tr>
      <w:tr w14:paraId="05D9056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64C1AC08">
            <w:pPr>
              <w:spacing w:after="0"/>
              <w:jc w:val="center"/>
            </w:pPr>
            <w:r>
              <w:rPr>
                <w:b w:val="0"/>
                <w:sz w:val="17"/>
              </w:rPr>
              <w:t>回看步长 lookback</w:t>
            </w:r>
          </w:p>
        </w:tc>
        <w:tc>
          <w:tcPr>
            <w:tcW w:w="2340" w:type="dxa"/>
            <w:vAlign w:val="center"/>
          </w:tcPr>
          <w:p w14:paraId="22472675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30,60</w:t>
            </w:r>
          </w:p>
        </w:tc>
        <w:tc>
          <w:tcPr>
            <w:tcW w:w="2340" w:type="dxa"/>
            <w:vAlign w:val="center"/>
          </w:tcPr>
          <w:p w14:paraId="32903E1E">
            <w:pPr>
              <w:spacing w:after="0"/>
              <w:jc w:val="left"/>
            </w:pPr>
            <w:r>
              <w:rPr>
                <w:b w:val="0"/>
                <w:sz w:val="17"/>
              </w:rPr>
              <w:t>覆盖短期波动、半年周期、年度周期；长序列模型可加 730。</w:t>
            </w:r>
          </w:p>
        </w:tc>
      </w:tr>
      <w:tr w14:paraId="2A9A895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26BE0704">
            <w:pPr>
              <w:spacing w:after="0"/>
              <w:jc w:val="center"/>
            </w:pPr>
            <w:r>
              <w:rPr>
                <w:b w:val="0"/>
                <w:sz w:val="17"/>
              </w:rPr>
              <w:t>预测步长 horizon</w:t>
            </w:r>
          </w:p>
        </w:tc>
        <w:tc>
          <w:tcPr>
            <w:tcW w:w="2340" w:type="dxa"/>
            <w:vAlign w:val="center"/>
          </w:tcPr>
          <w:p w14:paraId="723B91FD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30,60,90</w:t>
            </w:r>
          </w:p>
        </w:tc>
        <w:tc>
          <w:tcPr>
            <w:tcW w:w="2340" w:type="dxa"/>
            <w:vAlign w:val="center"/>
          </w:tcPr>
          <w:p w14:paraId="50D793B0">
            <w:pPr>
              <w:spacing w:after="0"/>
              <w:jc w:val="left"/>
            </w:pPr>
            <w:r>
              <w:rPr>
                <w:b w:val="0"/>
                <w:sz w:val="17"/>
              </w:rPr>
              <w:t>覆盖次日、一周、两周、一月和季度采购判断。</w:t>
            </w:r>
          </w:p>
        </w:tc>
      </w:tr>
    </w:tbl>
    <w:p w14:paraId="19D24D75"/>
    <w:p w14:paraId="7F34A208">
      <w:pPr>
        <w:pStyle w:val="3"/>
      </w:pPr>
      <w:r>
        <w:t>5. 训练/验证/测试切分标准</w:t>
      </w:r>
    </w:p>
    <w:p w14:paraId="5040877F">
      <w:pPr>
        <w:pStyle w:val="16"/>
        <w:spacing w:after="80"/>
        <w:ind w:left="720" w:hanging="360"/>
      </w:pPr>
      <w:r>
        <w:rPr>
          <w:sz w:val="20"/>
        </w:rPr>
        <w:t xml:space="preserve">通用建议口径：训练集 </w:t>
      </w:r>
      <w:r>
        <w:rPr>
          <w:rFonts w:hint="eastAsia" w:eastAsia="宋体"/>
          <w:sz w:val="20"/>
          <w:lang w:val="en-US" w:eastAsia="zh-CN"/>
        </w:rPr>
        <w:t>80</w:t>
      </w:r>
      <w:r>
        <w:rPr>
          <w:sz w:val="20"/>
        </w:rPr>
        <w:t>%，验证集 1</w:t>
      </w:r>
      <w:r>
        <w:rPr>
          <w:rFonts w:hint="eastAsia" w:eastAsia="宋体"/>
          <w:sz w:val="20"/>
          <w:lang w:val="en-US" w:eastAsia="zh-CN"/>
        </w:rPr>
        <w:t>0</w:t>
      </w:r>
      <w:r>
        <w:rPr>
          <w:sz w:val="20"/>
        </w:rPr>
        <w:t>%，测试集 1</w:t>
      </w:r>
      <w:r>
        <w:rPr>
          <w:rFonts w:hint="eastAsia" w:eastAsia="宋体"/>
          <w:sz w:val="20"/>
          <w:lang w:val="en-US" w:eastAsia="zh-CN"/>
        </w:rPr>
        <w:t>0</w:t>
      </w:r>
      <w:r>
        <w:rPr>
          <w:sz w:val="20"/>
        </w:rPr>
        <w:t>%。</w:t>
      </w:r>
    </w:p>
    <w:p w14:paraId="4B3E4B69">
      <w:pPr>
        <w:pStyle w:val="3"/>
      </w:pPr>
      <w:r>
        <w:t>6. 评价指标标准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C10654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0C9AA30B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指标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4739017A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含义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EEDCEE3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使用定位</w:t>
            </w:r>
          </w:p>
        </w:tc>
      </w:tr>
      <w:tr w14:paraId="699EC1A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2B7D676">
            <w:pPr>
              <w:spacing w:after="0"/>
              <w:jc w:val="center"/>
            </w:pPr>
            <w:r>
              <w:rPr>
                <w:b w:val="0"/>
                <w:sz w:val="17"/>
              </w:rPr>
              <w:t>Accuracy</w:t>
            </w:r>
          </w:p>
        </w:tc>
        <w:tc>
          <w:tcPr>
            <w:tcW w:w="3120" w:type="dxa"/>
            <w:vAlign w:val="center"/>
          </w:tcPr>
          <w:p w14:paraId="159303C3">
            <w:pPr>
              <w:spacing w:after="0"/>
              <w:jc w:val="left"/>
            </w:pPr>
            <w:r>
              <w:rPr>
                <w:b w:val="0"/>
                <w:sz w:val="17"/>
              </w:rPr>
              <w:t>整体预测正确比例。</w:t>
            </w:r>
          </w:p>
        </w:tc>
        <w:tc>
          <w:tcPr>
            <w:tcW w:w="3120" w:type="dxa"/>
            <w:vAlign w:val="center"/>
          </w:tcPr>
          <w:p w14:paraId="624909DE">
            <w:pPr>
              <w:spacing w:after="0"/>
              <w:jc w:val="left"/>
            </w:pPr>
            <w:r>
              <w:rPr>
                <w:b w:val="0"/>
                <w:sz w:val="17"/>
              </w:rPr>
              <w:t>辅助展示；类别不均衡时不能单独使用。</w:t>
            </w:r>
          </w:p>
        </w:tc>
      </w:tr>
      <w:tr w14:paraId="7465749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D435E09">
            <w:pPr>
              <w:spacing w:after="0"/>
              <w:jc w:val="center"/>
            </w:pPr>
            <w:r>
              <w:rPr>
                <w:b w:val="0"/>
                <w:sz w:val="17"/>
              </w:rPr>
              <w:t>Precision Up</w:t>
            </w:r>
          </w:p>
        </w:tc>
        <w:tc>
          <w:tcPr>
            <w:tcW w:w="3120" w:type="dxa"/>
            <w:vAlign w:val="center"/>
          </w:tcPr>
          <w:p w14:paraId="627D4D64">
            <w:pPr>
              <w:spacing w:after="0"/>
              <w:jc w:val="left"/>
            </w:pPr>
            <w:r>
              <w:rPr>
                <w:b w:val="0"/>
                <w:sz w:val="17"/>
              </w:rPr>
              <w:t>预测上涨的样本里，实际上涨的比例。</w:t>
            </w:r>
          </w:p>
        </w:tc>
        <w:tc>
          <w:tcPr>
            <w:tcW w:w="3120" w:type="dxa"/>
            <w:vAlign w:val="center"/>
          </w:tcPr>
          <w:p w14:paraId="5F538B36">
            <w:pPr>
              <w:spacing w:after="0"/>
              <w:jc w:val="left"/>
            </w:pPr>
            <w:r>
              <w:rPr>
                <w:b w:val="0"/>
                <w:sz w:val="17"/>
              </w:rPr>
              <w:t>衡量提前采购建议是否可靠。</w:t>
            </w:r>
          </w:p>
        </w:tc>
      </w:tr>
      <w:tr w14:paraId="3264FD6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70C5B73">
            <w:pPr>
              <w:spacing w:after="0"/>
              <w:jc w:val="center"/>
            </w:pPr>
            <w:r>
              <w:rPr>
                <w:b w:val="0"/>
                <w:sz w:val="17"/>
              </w:rPr>
              <w:t>AUC</w:t>
            </w:r>
          </w:p>
        </w:tc>
        <w:tc>
          <w:tcPr>
            <w:tcW w:w="3120" w:type="dxa"/>
            <w:vAlign w:val="center"/>
          </w:tcPr>
          <w:p w14:paraId="2C54AC9F">
            <w:pPr>
              <w:spacing w:after="0"/>
              <w:jc w:val="left"/>
            </w:pPr>
            <w:r>
              <w:rPr>
                <w:b w:val="0"/>
                <w:sz w:val="17"/>
              </w:rPr>
              <w:t>模型区分上涨/下跌的概率排序能力。</w:t>
            </w:r>
          </w:p>
        </w:tc>
        <w:tc>
          <w:tcPr>
            <w:tcW w:w="3120" w:type="dxa"/>
            <w:vAlign w:val="center"/>
          </w:tcPr>
          <w:p w14:paraId="763932F7">
            <w:pPr>
              <w:spacing w:after="0"/>
              <w:jc w:val="left"/>
            </w:pPr>
            <w:r>
              <w:rPr>
                <w:b w:val="0"/>
                <w:sz w:val="17"/>
              </w:rPr>
              <w:t>二分类主指标之一。</w:t>
            </w:r>
          </w:p>
        </w:tc>
      </w:tr>
      <w:tr w14:paraId="04340DB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AD59F86">
            <w:pPr>
              <w:spacing w:after="0"/>
              <w:jc w:val="center"/>
            </w:pPr>
            <w:r>
              <w:rPr>
                <w:b w:val="0"/>
                <w:sz w:val="17"/>
              </w:rPr>
              <w:t>Directional Accuracy</w:t>
            </w:r>
          </w:p>
        </w:tc>
        <w:tc>
          <w:tcPr>
            <w:tcW w:w="3120" w:type="dxa"/>
            <w:vAlign w:val="center"/>
          </w:tcPr>
          <w:p w14:paraId="30DD15E0">
            <w:pPr>
              <w:spacing w:after="0"/>
              <w:jc w:val="left"/>
            </w:pPr>
            <w:r>
              <w:rPr>
                <w:b w:val="0"/>
                <w:sz w:val="17"/>
              </w:rPr>
              <w:t>涨跌方向预测正确比例。</w:t>
            </w:r>
          </w:p>
        </w:tc>
        <w:tc>
          <w:tcPr>
            <w:tcW w:w="3120" w:type="dxa"/>
            <w:vAlign w:val="center"/>
          </w:tcPr>
          <w:p w14:paraId="35CA90C0">
            <w:pPr>
              <w:spacing w:after="0"/>
              <w:jc w:val="left"/>
              <w:rPr>
                <w:b w:val="0"/>
                <w:sz w:val="17"/>
              </w:rPr>
            </w:pPr>
            <w:r>
              <w:rPr>
                <w:b w:val="0"/>
                <w:sz w:val="17"/>
              </w:rPr>
              <w:t>若模型直接输出分类，基本等同 Accuracy；若输出价格/收益率，则很重要。</w:t>
            </w:r>
          </w:p>
        </w:tc>
      </w:tr>
      <w:tr w14:paraId="64F8CE4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0EE817A">
            <w:pPr>
              <w:pStyle w:val="3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136"/>
              </w:rPr>
              <w:t>MSE</w:t>
            </w:r>
          </w:p>
          <w:p w14:paraId="771EA016">
            <w:pPr>
              <w:spacing w:after="0"/>
              <w:jc w:val="center"/>
              <w:rPr>
                <w:b w:val="0"/>
                <w:sz w:val="17"/>
              </w:rPr>
            </w:pPr>
          </w:p>
        </w:tc>
        <w:tc>
          <w:tcPr>
            <w:tcW w:w="3120" w:type="dxa"/>
            <w:vAlign w:val="center"/>
          </w:tcPr>
          <w:p w14:paraId="206F1D2E">
            <w:pPr>
              <w:spacing w:after="0"/>
              <w:jc w:val="center"/>
              <w:rPr>
                <w:b w:val="0"/>
                <w:sz w:val="17"/>
              </w:rPr>
            </w:pPr>
          </w:p>
        </w:tc>
        <w:tc>
          <w:tcPr>
            <w:tcW w:w="3120" w:type="dxa"/>
            <w:vAlign w:val="center"/>
          </w:tcPr>
          <w:p w14:paraId="2219AF56">
            <w:pPr>
              <w:spacing w:after="0"/>
              <w:jc w:val="left"/>
              <w:rPr>
                <w:b w:val="0"/>
                <w:sz w:val="17"/>
              </w:rPr>
            </w:pPr>
          </w:p>
        </w:tc>
      </w:tr>
      <w:tr w14:paraId="2728153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82D472C">
            <w:pPr>
              <w:pStyle w:val="3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136"/>
              </w:rPr>
              <w:t>MAE</w:t>
            </w:r>
          </w:p>
          <w:p w14:paraId="782A0AE2">
            <w:pPr>
              <w:spacing w:after="0"/>
              <w:jc w:val="center"/>
              <w:rPr>
                <w:b w:val="0"/>
                <w:sz w:val="17"/>
              </w:rPr>
            </w:pPr>
          </w:p>
        </w:tc>
        <w:tc>
          <w:tcPr>
            <w:tcW w:w="3120" w:type="dxa"/>
            <w:vAlign w:val="center"/>
          </w:tcPr>
          <w:p w14:paraId="21332D9C">
            <w:pPr>
              <w:pStyle w:val="30"/>
              <w:keepNext w:val="0"/>
              <w:keepLines w:val="0"/>
              <w:widowControl/>
              <w:suppressLineNumbers w:val="0"/>
              <w:jc w:val="center"/>
              <w:rPr>
                <w:b w:val="0"/>
                <w:sz w:val="17"/>
              </w:rPr>
            </w:pPr>
            <w:r>
              <w:rPr>
                <w:rStyle w:val="136"/>
              </w:rPr>
              <w:t>平均绝对误差，最好解释，比如平均差了多少元/吨</w:t>
            </w:r>
          </w:p>
        </w:tc>
        <w:tc>
          <w:tcPr>
            <w:tcW w:w="3120" w:type="dxa"/>
            <w:vAlign w:val="center"/>
          </w:tcPr>
          <w:p w14:paraId="708597BA">
            <w:pPr>
              <w:spacing w:after="0"/>
              <w:jc w:val="left"/>
              <w:rPr>
                <w:b w:val="0"/>
                <w:sz w:val="17"/>
              </w:rPr>
            </w:pPr>
            <w:bookmarkStart w:id="0" w:name="_GoBack"/>
            <w:bookmarkEnd w:id="0"/>
          </w:p>
        </w:tc>
      </w:tr>
      <w:tr w14:paraId="6D13189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55592D7">
            <w:pPr>
              <w:pStyle w:val="3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136"/>
              </w:rPr>
              <w:t>R2</w:t>
            </w:r>
          </w:p>
          <w:p w14:paraId="27A4AE2B">
            <w:pPr>
              <w:spacing w:after="0"/>
              <w:jc w:val="center"/>
              <w:rPr>
                <w:b w:val="0"/>
                <w:sz w:val="17"/>
              </w:rPr>
            </w:pPr>
          </w:p>
        </w:tc>
        <w:tc>
          <w:tcPr>
            <w:tcW w:w="3120" w:type="dxa"/>
            <w:vAlign w:val="center"/>
          </w:tcPr>
          <w:p w14:paraId="6273F27F">
            <w:pPr>
              <w:spacing w:after="0"/>
              <w:jc w:val="center"/>
              <w:rPr>
                <w:b w:val="0"/>
                <w:sz w:val="17"/>
              </w:rPr>
            </w:pPr>
          </w:p>
        </w:tc>
        <w:tc>
          <w:tcPr>
            <w:tcW w:w="3120" w:type="dxa"/>
            <w:vAlign w:val="center"/>
          </w:tcPr>
          <w:p w14:paraId="30B5361A">
            <w:pPr>
              <w:spacing w:after="0"/>
              <w:jc w:val="left"/>
              <w:rPr>
                <w:b w:val="0"/>
                <w:sz w:val="17"/>
              </w:rPr>
            </w:pPr>
          </w:p>
        </w:tc>
      </w:tr>
    </w:tbl>
    <w:p w14:paraId="28BB8693"/>
    <w:p w14:paraId="65806A1E">
      <w:pPr>
        <w:pStyle w:val="3"/>
      </w:pPr>
      <w:r>
        <w:t>8. 模型输入输出标准</w:t>
      </w:r>
    </w:p>
    <w:p w14:paraId="5DB678AD">
      <w:pPr>
        <w:pStyle w:val="16"/>
        <w:spacing w:after="80"/>
        <w:ind w:left="720" w:hanging="360"/>
      </w:pPr>
      <w:r>
        <w:rPr>
          <w:sz w:val="20"/>
        </w:rPr>
        <w:t>输入：过去 lookback 天的特征序列。</w:t>
      </w:r>
    </w:p>
    <w:p w14:paraId="54587D90">
      <w:pPr>
        <w:pStyle w:val="16"/>
        <w:spacing w:after="80"/>
        <w:ind w:left="720" w:hanging="360"/>
      </w:pPr>
      <w:r>
        <w:rPr>
          <w:sz w:val="20"/>
        </w:rPr>
        <w:t>输出：未来 h 天上涨概率。</w:t>
      </w:r>
    </w:p>
    <w:p w14:paraId="71EB7CD1">
      <w:pPr>
        <w:pStyle w:val="16"/>
        <w:spacing w:after="80"/>
        <w:ind w:left="720" w:hanging="360"/>
      </w:pPr>
      <w:r>
        <w:rPr>
          <w:sz w:val="20"/>
        </w:rPr>
        <w:t>损失函数：二分类任务使用 Binary Cross Entropy。</w:t>
      </w:r>
    </w:p>
    <w:p w14:paraId="65F178AE">
      <w:pPr>
        <w:pStyle w:val="16"/>
        <w:spacing w:after="80"/>
        <w:ind w:left="720" w:hanging="360"/>
      </w:pPr>
      <w:r>
        <w:rPr>
          <w:sz w:val="20"/>
        </w:rPr>
        <w:t>分类阈值：默认 prob &gt;= 0.5 判为上涨；如调阈值，只能在验证集上选择。</w:t>
      </w:r>
    </w:p>
    <w:p w14:paraId="3C3BC75E">
      <w:pPr>
        <w:pStyle w:val="16"/>
        <w:spacing w:after="80"/>
        <w:ind w:left="720" w:hanging="360"/>
      </w:pPr>
      <w:r>
        <w:rPr>
          <w:sz w:val="20"/>
        </w:rPr>
        <w:t>主线建议直接做分类；回归预测价格后再取正负可以作为单独实验线。</w:t>
      </w:r>
    </w:p>
    <w:p w14:paraId="402657BF">
      <w:pPr>
        <w:pStyle w:val="3"/>
      </w:pPr>
      <w:r>
        <w:t>10. 采购业务模拟标准</w:t>
      </w:r>
    </w:p>
    <w:p w14:paraId="531D82EC">
      <w:pPr>
        <w:pStyle w:val="16"/>
        <w:spacing w:after="80"/>
        <w:ind w:left="720" w:hanging="360"/>
      </w:pPr>
      <w:r>
        <w:rPr>
          <w:sz w:val="20"/>
        </w:rPr>
        <w:t>预测上涨：提前采购。</w:t>
      </w:r>
    </w:p>
    <w:p w14:paraId="1AB1EC92">
      <w:pPr>
        <w:pStyle w:val="16"/>
        <w:spacing w:after="80"/>
        <w:ind w:left="720" w:hanging="360"/>
      </w:pPr>
      <w:r>
        <w:rPr>
          <w:sz w:val="20"/>
        </w:rPr>
        <w:t>预测下跌：延后采购。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2B3AA">
    <w:pPr>
      <w:pStyle w:val="24"/>
      <w:jc w:val="right"/>
    </w:pPr>
    <w:r>
      <w:rPr>
        <w:color w:val="6B7280"/>
        <w:sz w:val="18"/>
      </w:rPr>
      <w:t>玉米趋势预测实验标准口径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CD7923"/>
    <w:rsid w:val="101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774</Words>
  <Characters>1003</Characters>
  <Lines>0</Lines>
  <Paragraphs>0</Paragraphs>
  <TotalTime>17</TotalTime>
  <ScaleCrop>false</ScaleCrop>
  <LinksUpToDate>false</LinksUpToDate>
  <CharactersWithSpaces>1061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你爷爷下棋必被指指点点</cp:lastModifiedBy>
  <dcterms:modified xsi:type="dcterms:W3CDTF">2026-06-30T08:43:13Z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eyJoZGlkIjoiZDY2M2JjMTA3MDE2Mzc5MzdmMDFjNTc5NjQzYTk5YjkiLCJ1c2VySWQiOiI4NzM5MTU4NDEifQ==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26DEDD6F6F964FF38CB79B74CFE5F9A0_12</vt:lpwstr>
  </property>
</Properties>
</file>