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60D9A">
      <w:pPr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1F4E79"/>
          <w:sz w:val="36"/>
        </w:rPr>
        <w:t>玉米未来30个交易日价格趋势预测项目流程</w:t>
      </w:r>
      <w:r>
        <w:rPr>
          <w:rFonts w:hint="eastAsia"/>
          <w:b/>
          <w:color w:val="1F4E79"/>
          <w:sz w:val="36"/>
          <w:lang w:eastAsia="zh-CN"/>
        </w:rPr>
        <w:t>（</w:t>
      </w:r>
      <w:r>
        <w:rPr>
          <w:rFonts w:hint="eastAsia"/>
          <w:b/>
          <w:color w:val="1F4E79"/>
          <w:sz w:val="36"/>
          <w:lang w:val="en-US" w:eastAsia="zh-CN"/>
        </w:rPr>
        <w:t>增加特征版</w:t>
      </w:r>
      <w:bookmarkStart w:id="0" w:name="_GoBack"/>
      <w:bookmarkEnd w:id="0"/>
      <w:r>
        <w:rPr>
          <w:rFonts w:hint="eastAsia"/>
          <w:b/>
          <w:color w:val="1F4E79"/>
          <w:sz w:val="36"/>
          <w:lang w:eastAsia="zh-CN"/>
        </w:rPr>
        <w:t>）</w:t>
      </w:r>
    </w:p>
    <w:p w14:paraId="2C706F8D">
      <w:pPr>
        <w:jc w:val="center"/>
      </w:pPr>
      <w:r>
        <w:rPr>
          <w:rFonts w:ascii="微软雅黑" w:hAnsi="微软雅黑" w:eastAsia="微软雅黑"/>
          <w:color w:val="595959"/>
          <w:sz w:val="21"/>
        </w:rPr>
        <w:t>目标：用过去60个交易日的玉米相关变量，预测未来30个交易日 dce_corn_close 是否明显上涨</w:t>
      </w:r>
    </w:p>
    <w:p w14:paraId="1B64547E"/>
    <w:p w14:paraId="59AE1040">
      <w:pPr>
        <w:pStyle w:val="3"/>
      </w:pPr>
      <w:r>
        <w:rPr>
          <w:rFonts w:ascii="微软雅黑" w:hAnsi="微软雅黑" w:eastAsia="微软雅黑"/>
        </w:rPr>
        <w:t>一、项目总体思路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520"/>
      </w:tblGrid>
      <w:tr w14:paraId="3BA9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743D5B9"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项目维度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1E117D3B"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统一设定</w:t>
            </w:r>
          </w:p>
        </w:tc>
      </w:tr>
      <w:tr w14:paraId="2399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CCBBC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业务场景</w:t>
            </w:r>
          </w:p>
        </w:tc>
        <w:tc>
          <w:tcPr>
            <w:tcW w:w="6520" w:type="dxa"/>
            <w:vAlign w:val="center"/>
          </w:tcPr>
          <w:p w14:paraId="15E1BD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可口可乐糖浆供应商采购玉米，用于生产果葡糖浆</w:t>
            </w:r>
          </w:p>
        </w:tc>
      </w:tr>
      <w:tr w14:paraId="481E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B85B5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目标价格</w:t>
            </w:r>
          </w:p>
        </w:tc>
        <w:tc>
          <w:tcPr>
            <w:tcW w:w="6520" w:type="dxa"/>
            <w:vAlign w:val="center"/>
          </w:tcPr>
          <w:p w14:paraId="7FA8B6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dce_corn_close，即大商所玉米期货收盘价</w:t>
            </w:r>
          </w:p>
        </w:tc>
      </w:tr>
      <w:tr w14:paraId="1E05D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vAlign w:val="center"/>
          </w:tcPr>
          <w:p w14:paraId="43452B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预测任务</w:t>
            </w:r>
          </w:p>
        </w:tc>
        <w:tc>
          <w:tcPr>
            <w:tcW w:w="6520" w:type="dxa"/>
            <w:vAlign w:val="center"/>
          </w:tcPr>
          <w:p w14:paraId="0CDBFA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二分类趋势预测：未来30个交易日是否明显上涨</w:t>
            </w:r>
          </w:p>
        </w:tc>
      </w:tr>
      <w:tr w14:paraId="24B1C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1D252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上涨阈值</w:t>
            </w:r>
          </w:p>
        </w:tc>
        <w:tc>
          <w:tcPr>
            <w:tcW w:w="6520" w:type="dxa"/>
            <w:vAlign w:val="center"/>
          </w:tcPr>
          <w:p w14:paraId="4C888F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未来30日收益率 &gt; 0.5% </w:t>
            </w:r>
            <w:r>
              <w:rPr>
                <w:rFonts w:hint="eastAsia"/>
                <w:b w:val="0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阈值</w:t>
            </w:r>
            <w:r>
              <w:rPr>
                <w:rFonts w:hint="eastAsia"/>
                <w:b w:val="0"/>
                <w:sz w:val="19"/>
                <w:lang w:eastAsia="zh-CN"/>
              </w:rPr>
              <w:t>）</w:t>
            </w:r>
            <w:r>
              <w:rPr>
                <w:rFonts w:ascii="微软雅黑" w:hAnsi="微软雅黑" w:eastAsia="微软雅黑"/>
                <w:b w:val="0"/>
                <w:sz w:val="19"/>
              </w:rPr>
              <w:t>记为上涨，否则记为未明显上涨</w:t>
            </w:r>
          </w:p>
        </w:tc>
      </w:tr>
      <w:tr w14:paraId="718AA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AB217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主实验窗口</w:t>
            </w:r>
          </w:p>
        </w:tc>
        <w:tc>
          <w:tcPr>
            <w:tcW w:w="6520" w:type="dxa"/>
            <w:vAlign w:val="center"/>
          </w:tcPr>
          <w:p w14:paraId="457745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回看60个交易日，预测未来30个交易日</w:t>
            </w:r>
          </w:p>
        </w:tc>
      </w:tr>
      <w:tr w14:paraId="2C12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6F939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数据划分</w:t>
            </w:r>
          </w:p>
        </w:tc>
        <w:tc>
          <w:tcPr>
            <w:tcW w:w="6520" w:type="dxa"/>
            <w:vAlign w:val="center"/>
          </w:tcPr>
          <w:p w14:paraId="113DFA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按时间顺序8:1:1划分训练集、验证集和测试集</w:t>
            </w:r>
          </w:p>
        </w:tc>
      </w:tr>
      <w:tr w14:paraId="1DC5E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C57A4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核心指标</w:t>
            </w:r>
          </w:p>
        </w:tc>
        <w:tc>
          <w:tcPr>
            <w:tcW w:w="6520" w:type="dxa"/>
            <w:vAlign w:val="center"/>
          </w:tcPr>
          <w:p w14:paraId="6F9E43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F1-score、AUC、Precision、Recall、Accuracy</w:t>
            </w:r>
          </w:p>
        </w:tc>
      </w:tr>
    </w:tbl>
    <w:p w14:paraId="13097E3F"/>
    <w:p w14:paraId="1833B8CB">
      <w:pPr>
        <w:pStyle w:val="3"/>
      </w:pPr>
      <w:r>
        <w:rPr>
          <w:rFonts w:ascii="微软雅黑" w:hAnsi="微软雅黑" w:eastAsia="微软雅黑"/>
        </w:rPr>
        <w:t>第一步：明确业务问题</w:t>
      </w:r>
    </w:p>
    <w:p w14:paraId="3235B698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把任务定义为采购决策辅助，而不是单纯的价格点位预测。</w:t>
      </w:r>
    </w:p>
    <w:p w14:paraId="4274901A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模型回答的问题是：未来30个交易日玉米价格会不会明显上涨。</w:t>
      </w:r>
    </w:p>
    <w:p w14:paraId="48B173C1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如果模型预测上涨，供应商可以考虑提前采购、锁价或提高安全库存；如果预测未明显上涨，可以考虑分批采购或正常采购。</w:t>
      </w:r>
    </w:p>
    <w:p w14:paraId="41AC9302">
      <w:pPr>
        <w:pStyle w:val="3"/>
      </w:pPr>
      <w:r>
        <w:rPr>
          <w:rFonts w:ascii="微软雅黑" w:hAnsi="微软雅黑" w:eastAsia="微软雅黑"/>
        </w:rPr>
        <w:t>第二步：确定目标变量</w:t>
      </w:r>
    </w:p>
    <w:p w14:paraId="3E633335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以 dce_corn_close 作为核心目标价格。</w:t>
      </w:r>
    </w:p>
    <w:p w14:paraId="25463901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计算未来30个交易日收益率：第 t+30 天价格除以第 t 天价格，再减去1。</w:t>
      </w:r>
    </w:p>
    <w:p w14:paraId="3F681BE6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当未来30日收益率大于0.5%时，标签记为1，表示明显上涨；否则记为0，表示未明显上涨。</w:t>
      </w:r>
    </w:p>
    <w:p w14:paraId="3B19148F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最终目标变量命名为 target_up_30d_threshold。</w:t>
      </w:r>
    </w:p>
    <w:p w14:paraId="11FFC839">
      <w:pPr>
        <w:ind w:left="227" w:hanging="113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future_30d_return_for_label 只能用于生成标签，不能作为模型输入。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未来函数</w:t>
      </w:r>
      <w:r>
        <w:rPr>
          <w:rFonts w:hint="eastAsia"/>
          <w:lang w:eastAsia="zh-CN"/>
        </w:rPr>
        <w:t>）</w:t>
      </w:r>
    </w:p>
    <w:p w14:paraId="384B7430">
      <w:pPr>
        <w:pStyle w:val="3"/>
      </w:pPr>
      <w:r>
        <w:rPr>
          <w:rFonts w:ascii="微软雅黑" w:hAnsi="微软雅黑" w:eastAsia="微软雅黑"/>
        </w:rPr>
        <w:t>第四步：构造趋势特征</w:t>
      </w:r>
    </w:p>
    <w:p w14:paraId="1E53DB24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构造历史收益率，如10日、20日、30日、60日收益率。</w:t>
      </w:r>
    </w:p>
    <w:p w14:paraId="7DE54589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构造移动均线，如10日、20日、30日、60日均线。</w:t>
      </w:r>
    </w:p>
    <w:p w14:paraId="1754C861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构造上涨持续性特征，例如过去10日、20日、30日上涨天数占比。</w:t>
      </w:r>
    </w:p>
    <w:p w14:paraId="36EED16F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构造 Z-score 价格位置，用来判断当前价格处于历史高位、低位还是正常区间。</w:t>
      </w:r>
    </w:p>
    <w:p w14:paraId="16BFE3CE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构造波动率特征，用来反映市场是否处于高波动状态。</w:t>
      </w:r>
    </w:p>
    <w:p w14:paraId="71256D82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构造基差特征，包括基差水平、基差率、基差均线、基差 Z-score 和基差相对均线偏离。</w:t>
      </w:r>
    </w:p>
    <w:p w14:paraId="48AC8560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构造成交量和持仓量变化特征，用来反映市场参与热度和资金情绪。</w:t>
      </w:r>
    </w:p>
    <w:p w14:paraId="53D82796">
      <w:pPr>
        <w:pStyle w:val="3"/>
      </w:pPr>
      <w:r>
        <w:rPr>
          <w:rFonts w:ascii="微软雅黑" w:hAnsi="微软雅黑" w:eastAsia="微软雅黑"/>
        </w:rPr>
        <w:t>第五步：删除未来信息</w:t>
      </w:r>
    </w:p>
    <w:p w14:paraId="237BAA9B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生成标签后，最后30行没有未来30日价格，无法生成真实标签，需要删除。</w:t>
      </w:r>
    </w:p>
    <w:p w14:paraId="35FA0000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建模前必须删除 date、future_30d_return_for_label、target_up_30d_threshold 和 split。</w:t>
      </w:r>
    </w:p>
    <w:p w14:paraId="38B33D4D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尤其不能把 future_30d_return_for_label 放进模型，因为它就是未来收益率，会造成未来函数。</w:t>
      </w:r>
    </w:p>
    <w:p w14:paraId="446E0609">
      <w:pPr>
        <w:pStyle w:val="3"/>
      </w:pPr>
      <w:r>
        <w:rPr>
          <w:rFonts w:ascii="微软雅黑" w:hAnsi="微软雅黑" w:eastAsia="微软雅黑"/>
        </w:rPr>
        <w:t>第十二步：调整分类阈值</w:t>
      </w:r>
    </w:p>
    <w:p w14:paraId="1ED817DC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可以在验证集上尝试0.</w:t>
      </w:r>
      <w:r>
        <w:rPr>
          <w:rFonts w:hint="eastAsia"/>
          <w:lang w:val="en-US" w:eastAsia="zh-CN"/>
        </w:rPr>
        <w:t>05</w:t>
      </w:r>
      <w:r>
        <w:rPr>
          <w:rFonts w:ascii="微软雅黑" w:hAnsi="微软雅黑" w:eastAsia="微软雅黑"/>
        </w:rPr>
        <w:t>、0.</w:t>
      </w:r>
      <w:r>
        <w:rPr>
          <w:rFonts w:hint="eastAsia"/>
          <w:lang w:val="en-US" w:eastAsia="zh-CN"/>
        </w:rPr>
        <w:t>1</w:t>
      </w:r>
      <w:r>
        <w:rPr>
          <w:rFonts w:ascii="微软雅黑" w:hAnsi="微软雅黑" w:eastAsia="微软雅黑"/>
        </w:rPr>
        <w:t>等阈值。</w:t>
      </w:r>
    </w:p>
    <w:p w14:paraId="43F7C61C">
      <w:pPr>
        <w:ind w:left="227" w:hanging="113"/>
      </w:pPr>
      <w:r>
        <w:rPr>
          <w:rFonts w:ascii="微软雅黑" w:hAnsi="微软雅黑" w:eastAsia="微软雅黑"/>
          <w:b/>
        </w:rPr>
        <w:t xml:space="preserve">• </w:t>
      </w:r>
      <w:r>
        <w:rPr>
          <w:rFonts w:ascii="微软雅黑" w:hAnsi="微软雅黑" w:eastAsia="微软雅黑"/>
        </w:rPr>
        <w:t>最终阈值只能根据验证集确定，不能根据测试集反复调整。</w:t>
      </w:r>
    </w:p>
    <w:p w14:paraId="30854173"/>
    <w:p w14:paraId="2F6E0744">
      <w:r>
        <w:rPr>
          <w:rFonts w:ascii="微软雅黑" w:hAnsi="微软雅黑" w:eastAsia="微软雅黑"/>
          <w:b/>
          <w:color w:val="1F4E79"/>
        </w:rPr>
        <w:t>主实验配置：</w:t>
      </w:r>
      <w:r>
        <w:rPr>
          <w:rFonts w:ascii="微软雅黑" w:hAnsi="微软雅黑" w:eastAsia="微软雅黑"/>
        </w:rPr>
        <w:t>目标价格 dce_corn_close；预测任务为未来30个交易日是否明显上涨；上涨阈值0.5%；回看窗口60个交易日；数据按8:1:1时间顺序划分；</w:t>
      </w:r>
    </w:p>
    <w:sectPr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03192F"/>
    <w:rsid w:val="74AE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2407</Words>
  <Characters>2996</Characters>
  <Lines>0</Lines>
  <Paragraphs>0</Paragraphs>
  <TotalTime>4</TotalTime>
  <ScaleCrop>false</ScaleCrop>
  <LinksUpToDate>false</LinksUpToDate>
  <CharactersWithSpaces>3135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你爷爷下棋必被指指点点</cp:lastModifiedBy>
  <dcterms:modified xsi:type="dcterms:W3CDTF">2026-07-01T02:39:49Z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eyJoZGlkIjoiZDY2M2JjMTA3MDE2Mzc5MzdmMDFjNTc5NjQzYTk5YjkiLCJ1c2VySWQiOiI4NzM5MTU4NDEifQ==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A456740E626442CA95D2F3F1E40C93AF_12</vt:lpwstr>
  </property>
</Properties>
</file>