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3a8a"/>
          <w:sz w:val="52"/>
          <w:szCs w:val="52"/>
        </w:rPr>
        <w:t xml:space="preserve">AI4S 化学平台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475569"/>
          <w:sz w:val="40"/>
          <w:szCs w:val="40"/>
        </w:rPr>
        <w:t xml:space="preserve">技术交付文档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22"/>
          <w:szCs w:val="22"/>
        </w:rPr>
        <w:t xml:space="preserve">AI for Science — Chemistry Informatics Infrastructure</w:t>
      </w: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日期：2026-05-27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dc2626"/>
          <w:sz w:val="24"/>
          <w:szCs w:val="24"/>
        </w:rPr>
        <w:t xml:space="preserve">文档密级：内部技术交付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  <w:rPr>
          <w:rFonts w:ascii="Microsoft YaHei" w:cs="Microsoft YaHei" w:eastAsia="Microsoft YaHei" w:hAnsi="Microsoft YaHei"/>
          <w:b/>
          <w:bCs/>
          <w:color w:val="1e3a8a"/>
          <w:sz w:val="28"/>
          <w:szCs w:val="28"/>
        </w:rPr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  <w:rPr>
          <w:rFonts w:ascii="Microsoft YaHei" w:cs="Microsoft YaHei" w:eastAsia="Microsoft YaHei" w:hAnsi="Microsoft YaHei"/>
          <w:b/>
          <w:bCs/>
          <w:color w:val="1e3a8a"/>
          <w:sz w:val="28"/>
          <w:szCs w:val="28"/>
        </w:rPr>
      </w:pPr>
      <w:r>
        <w:t xml:space="preserve">一、任务目标、定位与价值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1.1 平台定位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AI4S（AI for Science）化学平台是一个面向化学专业学生与科研人员的 AI 驱动化学信息学基础设施平台。平台以'降低化学信息学工具使用门槛、提升科研工作效率'为目标，将数据摄取、分子性质预测、文献智能检索、化学计算工具箱等功能整合于统一界面。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1.2 核心价值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传统化学研究中，科研人员面临三大痛点：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痛点</w:t>
            </w:r>
          </w:p>
        </w:tc>
        <w:tc>
          <w:tcPr>
            <w:tcW w:type="pct" w:w="3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传统方案</w:t>
            </w:r>
          </w:p>
        </w:tc>
        <w:tc>
          <w:tcPr>
            <w:tcW w:type="pct" w:w="4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AI4S 平台方案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化学数据库检索效率低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手动查阅 PubChem、PDB 等多个数据库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统一分子数据库，支持中文名/CAS/SMILES 多模式检索，一次搜索聚合多源数据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分子性质计算分散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使用 RDKit 命令行、Gaussian 等工具单独计算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集成 RDKit 性质预测，一键输出 MW、LogP、TPSA、Lipinski Rule of Five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文献调研耗时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在 Google Scholar、Web of Science 之间反复切换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集成 Semantic Scholar API，关键词搜索 + 热点方向导航 + 论文 BibTeX 导出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1.3 技术价值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统一数据摄取管道：Connector → Pipeline (validate → clean → quality) → Snapshot → Catalog，实现从原始数据到可查询数据集的端到端自动化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分子性质预测引擎：基于 RDKit 描述符计算，覆盖分子量、LogP、氢键供体/受体、TPSA、可旋转键、环计数等关键理化参数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文献智能检索：Semantic Scholar API 集成 + 本地搜索历史 + 热点研究方向推荐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化学计算工具箱：6 大实用计算器，覆盖实验配制、pH 计算、单位换算、缓冲溶液等日常需求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HPC 超算融合框架：支持 Slurm/Kubernetes 连接器，作业调度与资源监控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RLHF 对齐训练框架：Feedback Collector → Reward Trainer → PPO/DPO Trainer 完整 RLHF 管线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Agent Runtime：Task Queue → Router → Dispatcher → Tool Executor → Memory Store，支持工具注册与向量记忆</w:t>
      </w:r>
    </w:p>
    <w:p>
      <w:r>
        <w:br w:type="page"/>
      </w:r>
    </w:p>
    <w:p>
      <w:pPr>
        <w:pStyle w:val="Heading1"/>
        <w:spacing w:after="200" w:before="400"/>
        <w:rPr>
          <w:rFonts w:ascii="Microsoft YaHei" w:cs="Microsoft YaHei" w:eastAsia="Microsoft YaHei" w:hAnsi="Microsoft YaHei"/>
          <w:b/>
          <w:bCs/>
          <w:color w:val="1e3a8a"/>
          <w:sz w:val="28"/>
          <w:szCs w:val="28"/>
        </w:rPr>
      </w:pPr>
      <w:r>
        <w:t xml:space="preserve">二、已完成的核心能力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2.1 分子数据库模块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端点：/api/v1/data/*（21 个端点）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能力</w:t>
            </w:r>
          </w:p>
        </w:tc>
        <w:tc>
          <w:tcPr>
            <w:tcW w:type="pct" w:w="3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说明</w:t>
            </w:r>
          </w:p>
        </w:tc>
        <w:tc>
          <w:tcPr>
            <w:tcW w:type="pct" w:w="4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技术实现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多模式分子检索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支持中文名、英文名、CAS 号、SMILES 检索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本地分子库 + lookupMolecule() 查找算法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PubChem 数据摄取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自动从 PubChem 摄取分子数据，验证与清洗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PubChem API + Pipeline 验证管道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分子详情展示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分子式、分子量、LogP、HBD/HBA、TPSA、SMILES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 RDKitDescriptors 计算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热门分子推荐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8 个常用药物/分子的快捷入口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前端 POPULAR_MOLECULES 预设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搜索历史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本地 localStorage 存储，支持回搜与清空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React state + localStorage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支持的检索格式：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中文名：阿司匹林、咖啡因、葡萄糖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英文名：aspirin, caffeine, glucose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CAS 号：50-78-2, 58-08-2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分子式：C9H8O4, C6H12O6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SMILES：CC(=O)Oc1ccccc1C(=O)O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2.2 文献调研模块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端点：/api/v1/agent/literature/search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能力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说明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技术实现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关键词搜索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支持中英文关键词，搜索化学领域学术论文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Semantic Scholar Academic Graph API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论文列表展示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标题、作者、期刊、年份、引用数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React 组件 + TypeScript 类型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摘要展开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点击查看/收起论文摘要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条件渲染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BibTeX 导出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一键生成并下载 BibTeX 引用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Blob + URL.createObjectURL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搜索历史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最近搜索关键词，支持点击回搜和逐条删除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localStorage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热点研究方向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6 大前沿领域，点击一键搜索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预设关键词按钮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化学前沿动态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Semantic Scholar 实时高引用论文展示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Fetch API + 静态回落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搜索统计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总搜索次数、最常搜索关键词 Top 5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localStorage 持久化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 大热点研究方向：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Perovskite Solar Cells（钙钛矿太阳能电池）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Metal-Organic Frameworks（金属有机框架/MOF）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 Drug Discovery（AI 辅助药物发现）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Green Chemistry（绿色化学）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2D Materials（二维材料，如石墨烯）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CRISPR Chemistry（基因编辑化学）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2.3 性质预测模块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端点：/api/v1/data/predict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能力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说明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技术实现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分子性质预测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输入 SMILES 或名称，输出 10 项理化性质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 CalcMolDescriptors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分子量 (MW)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精确到 0.01 g/mol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rdkit.Chem.Descriptors.MolWt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脂水分配系数 (LogP)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Wildman-Crippen 方法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rdkit.Chem.Crippen.MolLogP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氢键供体/受体 (HBD/HBA)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Lipinski 定义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rdkit.Chem.Lipinski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拓扑极性表面积 (TPSA)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单位 Å²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rdkit.Chem.Descriptors.TPSA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可旋转键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反映分子柔性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rdkit.Chem.Lipinski.NumRotatableBonds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环计数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脂肪环 + 芳香环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rdkit.Chem.Descriptors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Lipinski Rule of Five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类药五规则自动评估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四指标可视化判断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预测历史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最近预测分子记录，可重新预测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localStorage</w:t>
            </w:r>
          </w:p>
        </w:tc>
      </w:tr>
    </w:tbl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2.4 化学计算工具箱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纯前端实现，6 个独立卡片工具：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工具</w:t>
            </w:r>
          </w:p>
        </w:tc>
        <w:tc>
          <w:tcPr>
            <w:tcW w:type="pct" w:w="42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核心功能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关键技术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摩尔质量计算器</w:t>
            </w:r>
          </w:p>
        </w:tc>
        <w:tc>
          <w:tcPr>
            <w:tcW w:type="pct" w:w="4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化学式解析（支持括号如 Ca(OH)2），元素质量贡献，SVG 饼图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正则表达式化学式解析器 + 86 元素原子量数据库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溶液配制计算器</w:t>
            </w:r>
          </w:p>
        </w:tc>
        <w:tc>
          <w:tcPr>
            <w:tcW w:type="pct" w:w="4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已知浓度配制模式、稀释计算模式（C1V1=C2V2），公式实时显示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React useMemo 实时计算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 计算器</w:t>
            </w:r>
          </w:p>
        </w:tc>
        <w:tc>
          <w:tcPr>
            <w:tcW w:type="pct" w:w="4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强酸/强碱/弱酸/弱碱四种模式，pH 色卡石蕊试纸可视化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 = -log10[H+] + 弱酸近似公式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单位换算器</w:t>
            </w:r>
          </w:p>
        </w:tc>
        <w:tc>
          <w:tcPr>
            <w:tcW w:type="pct" w:w="4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能量/压强/温度/波长 4 大类，双向换算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Base unit 中间转换标准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元素周期表查询</w:t>
            </w:r>
          </w:p>
        </w:tc>
        <w:tc>
          <w:tcPr>
            <w:tcW w:type="pct" w:w="4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18×6 网格布局 + 搜索，元素详情（原子序数、电子构型、电负性、氧化态）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86 元素数据集 + 颜色编码（9 大类）</w:t>
            </w:r>
          </w:p>
        </w:tc>
      </w:tr>
      <w:t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缓冲溶液计算器</w:t>
            </w:r>
          </w:p>
        </w:tc>
        <w:tc>
          <w:tcPr>
            <w:tcW w:type="pct" w:w="4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Henderson-Hasselbalch 方程，7 套常用缓冲体系预设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 = pKa + log([A-]/[HA])</w:t>
            </w:r>
          </w:p>
        </w:tc>
      </w:tr>
    </w:tbl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2.5 统一后端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技术栈：FastAPI + PostgreSQL + Redis + Weaviate + Prometheus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组件</w:t>
            </w:r>
          </w:p>
        </w:tc>
        <w:tc>
          <w:tcPr>
            <w:tcW w:type="pct" w:w="3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技术选型</w:t>
            </w:r>
          </w:p>
        </w:tc>
        <w:tc>
          <w:tcPr>
            <w:tcW w:type="pct" w:w="5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Web 框架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FastAPI 0.115+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异步 REST API，OpenAPI 自动文档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关系数据库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PostgreSQL 16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元数据、Catalog、Lineage、Feedback 持久化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缓存/队列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Redis 7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Agent Runtime 任务队列、通用缓存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向量数据库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Weaviate 1.24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Agent 记忆存储与语义检索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监控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Prometheus + Grafana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指标采集、仪表盘可视化</w:t>
            </w:r>
          </w:p>
        </w:tc>
      </w:tr>
    </w:tbl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2.6 一键启动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项目根目录 start.bat 支持 Windows 环境一键启动全部服务：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start.bat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自动执行：Docker Compose 启动 PostgreSQL / Redis / Weaviate → 安装 Python 依赖 → 启动 FastAPI 后端 → 启动 Vite 前端开发服务器。</w:t>
      </w:r>
    </w:p>
    <w:p>
      <w:r>
        <w:br w:type="page"/>
      </w:r>
    </w:p>
    <w:p>
      <w:pPr>
        <w:pStyle w:val="Heading1"/>
        <w:spacing w:after="200" w:before="400"/>
        <w:rPr>
          <w:rFonts w:ascii="Microsoft YaHei" w:cs="Microsoft YaHei" w:eastAsia="Microsoft YaHei" w:hAnsi="Microsoft YaHei"/>
          <w:b/>
          <w:bCs/>
          <w:color w:val="1e3a8a"/>
          <w:sz w:val="28"/>
          <w:szCs w:val="28"/>
        </w:rPr>
      </w:pPr>
      <w:r>
        <w:t xml:space="preserve">三、系统架构说明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3.1 整体架构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层级</w:t>
            </w:r>
          </w:p>
        </w:tc>
        <w:tc>
          <w:tcPr>
            <w:tcW w:type="pct" w:w="3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技术</w:t>
            </w:r>
          </w:p>
        </w:tc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端口/版本</w:t>
            </w:r>
          </w:p>
        </w:tc>
        <w:tc>
          <w:tcPr>
            <w:tcW w:type="pct" w:w="3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Frontend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React 18 + TypeScript + Tailwind CSS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Port 5173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Vite 5 构建，lucide-react 图标库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Backend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FastAPI (Python 3.11+) + Uvicorn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Port 8000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OpenTelemetry 链路追踪 + Prometheus Metrics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Data Layer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PostgreSQL 16 / Redis 7 / Weaviate 1.24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5432 / 6379 / 8080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元数据 / 队列 / 向量存储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Monitor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Prometheus + Grafana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9090 / 3000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指标采集 + 仪表盘可视化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四大模块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data_infra / agent_runtime / rlhf / hpc_fusion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21+16+11+18 = 66 个端点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3.2 技术栈详情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层级</w:t>
            </w:r>
          </w:p>
        </w:tc>
        <w:tc>
          <w:tcPr>
            <w:tcW w:type="pct" w:w="22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技术</w:t>
            </w:r>
          </w:p>
        </w:tc>
        <w:tc>
          <w:tcPr>
            <w:tcW w:type="pct" w:w="18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版本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前端框架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React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18.x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函数组件 + Hooks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前端语言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TypeScript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5.x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类型安全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前端样式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Tailwind CSS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3.4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Utility-first CSS，自定义 brand 色系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构建工具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Vite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5.4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极速 HMR，ESBuild 预构建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路由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react-router-dom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6.x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SPA 客户端路由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后端框架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FastAPI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0.115+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异步 Python Web 框架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ASGI 服务器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Uvicorn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0.30+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高性能 ASGI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ORM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SQLAlchemy 2.0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2.x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异步引擎 + Alembic 迁移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关系数据库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PostgreSQL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16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元数据持久化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缓存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Redis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任务队列 + 缓存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向量数据库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Weaviate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1.24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语义向量存储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化学信息学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2024.x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分子描述符计算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容器化</w:t>
            </w:r>
          </w:p>
        </w:tc>
        <w:tc>
          <w:tcPr>
            <w:tcW w:type="pct" w:w="22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Docker Compose</w:t>
            </w:r>
          </w:p>
        </w:tc>
        <w:tc>
          <w:tcPr>
            <w:tcW w:type="pct" w:w="18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基础设施编排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3.3 前端路由结构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路由</w:t>
            </w:r>
          </w:p>
        </w:tc>
        <w:tc>
          <w:tcPr>
            <w:tcW w:type="pct" w:w="3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页面</w:t>
            </w:r>
          </w:p>
        </w:tc>
        <w:tc>
          <w:tcPr>
            <w:tcW w:type="pct" w:w="4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/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重定向至 /database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默认进入分子数据库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/database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分子数据库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分子检索 + 详情 + 热门分子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/literature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文献调研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论文搜索 + 热点 + 新闻 + 统计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/prediction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性质预测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 分子预测 + 历史记录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/experiments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化学计算工具箱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6 大计算器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3.4 后端 API 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模块</w:t>
            </w:r>
          </w:p>
        </w:tc>
        <w:tc>
          <w:tcPr>
            <w:tcW w:type="pct" w:w="24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路由前缀</w:t>
            </w:r>
          </w:p>
        </w:tc>
        <w:tc>
          <w:tcPr>
            <w:tcW w:type="pct" w:w="16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端点数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核心功能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data_infra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/api/v1/data</w:t>
            </w:r>
          </w:p>
        </w:tc>
        <w:tc>
          <w:tcPr>
            <w:tcW w:type="pct" w:w="16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21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数据摄取、Catalog、分子预测、PDF 提取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agent_runtime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/api/v1/agent</w:t>
            </w:r>
          </w:p>
        </w:tc>
        <w:tc>
          <w:tcPr>
            <w:tcW w:type="pct" w:w="16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16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任务队列、工具注册、文献搜索、向量记忆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rlhf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/api/v1/rlhf</w:t>
            </w:r>
          </w:p>
        </w:tc>
        <w:tc>
          <w:tcPr>
            <w:tcW w:type="pct" w:w="16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11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反馈收集、奖励训练、PPO/DPO 策略训练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hpc_fusion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/api/v1/hpc</w:t>
            </w:r>
          </w:p>
        </w:tc>
        <w:tc>
          <w:tcPr>
            <w:tcW w:type="pct" w:w="16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18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作业调度、集群监控、异常检测、容量预测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rFonts w:ascii="Microsoft YaHei" w:cs="Microsoft YaHei" w:eastAsia="Microsoft YaHei" w:hAnsi="Microsoft YaHei"/>
          <w:b/>
          <w:bCs/>
          <w:color w:val="1e3a8a"/>
          <w:sz w:val="28"/>
          <w:szCs w:val="28"/>
        </w:rPr>
      </w:pPr>
      <w:r>
        <w:t xml:space="preserve">四、核心模块技术原理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4.1 data_infra — 数据基础设施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设计理念：将异构化学数据从原始来源经过标准化管道处理，转化为可搜索、可溯源、可版本化的数据资产。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Connector → Pipeline (validate → clean → quality) → Snapshot → Catalog → Lineage</w:t>
      </w:r>
    </w:p>
    <w:p>
      <w:pPr>
        <w:spacing w:after="80"/>
      </w:pPr>
    </w:p>
    <w:p>
      <w:pPr>
        <w:pStyle w:val="Heading3"/>
        <w:spacing w:after="100" w:before="200"/>
        <w:rPr>
          <w:rFonts w:ascii="Microsoft YaHei" w:cs="Microsoft YaHei" w:eastAsia="Microsoft YaHei" w:hAnsi="Microsoft YaHei"/>
          <w:b/>
          <w:bCs/>
          <w:color w:val="334155"/>
          <w:sz w:val="22"/>
          <w:szCs w:val="22"/>
        </w:rPr>
      </w:pPr>
      <w:r>
        <w:t xml:space="preserve">核心流程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Connector（连接器）：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抽象数据源接入层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PubChemConnector：对接 PubChem REST API，按 CID/SMILES 摄取分子数据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GenericConnector：支持 CSV/JSON 文件导入与 Schema 注册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连接器注册与管理：POST /data/connectors、GET /data/connectors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Pipeline（管道）：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三阶段数据处理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Validate：Schema 校验、数据类型检查、必填字段验证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Clean：标准化转换（单位统一、格式规范化）、去重、缺失值处理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Quality：质量评分（completeness, accuracy, consistency），生成 PASS RATE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输出：IngestionReport（rows_read, rows_written, pass_rate, validation_errors）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Snapshot（快照）：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数据集版本化管理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每次摄取生成一个 Snapshot（snapshot_id, dataset, row_count, parent_snapshot_id）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支持 Diff 对比：两个 Snapshot 之间的差异分析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Catalog（目录）：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可搜索的数据资产清单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元数据：name, description, owner, columns, format, tags, quality_score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搜索过滤：GET /data/catalog?search=&amp;format=&amp;min_quality=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5. Lineage（数据溯源）：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上下游依赖关系图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支持 Mermaid 格式导出，可在 Markdown 中直接渲染为流程图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4.2 agent_runtime — 智能代理运行时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设计理念：构建 AI Agent 的执行环境，支持任务调度、工具调用、记忆管理和外部 API 集成。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TaskQueue → Router → Dispatcher → ToolExecutor + MemoryStore (Weaviate)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TaskQueue（任务队列）：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 Redis 的异步任务管理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提交任务：POST /agent/tasks → 返回 task_id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轮询状态：GET /agent/tasks/{id} → status (pending/active/completed/dead)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队列统计：GET /agent/queue/stats → pending, active, dead 计数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Tool Registry（工具注册表）：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注册工具：POST /agent/tools（name, description, parameters JSON Schema）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执行工具：POST /agent/tools/execute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工具链：POST /agent/tools/chain（多工具顺序执行）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ToolSchema：OpenAI Function Calling 格式兼容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MemoryStore（记忆存储）：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存储记忆：POST /agent/memory（content, importance, tags）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召回记忆：POST /agent/memory/recall（语义相似度搜索）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双层存储架构：PostgreSQL（结构化索引）+ Weaviate（向量语义检索）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4.3 rlhf — 人类反馈强化学习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设计理念：构建从反馈收集到策略训练的完整 RLHF 管线，使 AI 模型能够对齐化学领域专家偏好。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FeedbackCollector → RewardTrainer → PolicyTrainer (PPO/DPO) → RLHFPipeline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FeedbackCollector（反馈收集）：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生成比较对：POST /rlhf/feedback/items（prompt + 2 responses）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分配标注任务：POST /rlhf/feedback/assign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提交标注：POST /rlhf/feedback/annotate（choice: chosen/rejected, confidence）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共识聚合：GET /rlhf/feedback/consensus（_agreement, _num_annotators）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标注者质量：GET /rlhf/feedback/annotator-quality（accuracy, avg_confidence）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RewardTrainer（奖励训练）：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奖励评分：POST /rlhf/reward/score → RewardScore（prompt + score）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基于 Bradley-Terry 偏好模型训练奖励函数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PolicyTrainer（策略训练）：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PPO（Proximal Policy Optimization）训练：POST /rlhf/policy/train?algorithm=ppo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DPO（Direct Preference Optimization）训练：POST /rlhf/policy/train?algorithm=dpo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4.4 hpc_fusion — 高性能计算融合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设计理念：对化学计算中常见的 DFT、MD 等大规模计算任务进行作业调度与集群资源管理，抽象底层 Slurm/K8s 差异。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JobPrioritizer → SchedulingEngine → Connector (Slurm / K8s) + MetricsCollector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JobPrioritizer（作业优先级）：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提交作业：POST /hpc/jobs（name, partition, nodes, gpus_per_node）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支持抢占策略（Preemption）和回填调度（Backfill）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SchedulingEngine（调度引擎）：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调度器状态：GET /hpc/scheduler/status（policy, pending, running, queues）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手动触发调度周期：POST /hpc/scheduler/cycle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连接器抽象层：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SlurmConnector：通过 SSH + squeue/sbatch 命令管理 Slurm 集群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K8sConnector：通过 Kubernetes API 管理容器化作业</w:t>
      </w: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MetricsCollector（指标采集）：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集群快照：GET /hpc/metrics/cluster（nodes, avg_gpu_util, avg_cpu_util）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容量余量：GET /hpc/metrics/headroom（remaining_capacity_pct, estimated_free_gpus）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异常检测 + 告警管理（CRUD）</w:t>
      </w:r>
    </w:p>
    <w:p>
      <w:r>
        <w:br w:type="page"/>
      </w:r>
    </w:p>
    <w:p>
      <w:pPr>
        <w:pStyle w:val="Heading1"/>
        <w:spacing w:after="200" w:before="400"/>
        <w:rPr>
          <w:rFonts w:ascii="Microsoft YaHei" w:cs="Microsoft YaHei" w:eastAsia="Microsoft YaHei" w:hAnsi="Microsoft YaHei"/>
          <w:b/>
          <w:bCs/>
          <w:color w:val="1e3a8a"/>
          <w:sz w:val="28"/>
          <w:szCs w:val="28"/>
        </w:rPr>
      </w:pPr>
      <w:r>
        <w:t xml:space="preserve">五、当前能力边界与局限性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5.1 分子性质预测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维度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当前能力</w:t>
            </w:r>
          </w:p>
        </w:tc>
        <w:tc>
          <w:tcPr>
            <w:tcW w:type="pct" w:w="4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局限性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计算精度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RDKit 经验描述符（MW, LogP, TPSA 等）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不支持量子化学精度计算（DFT、CCSD(T)），无法预测反应能垒、过渡态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分子类型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有机小分子（药物分子为主）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暂不支持金属配合物、聚合物、蛋白质等大分子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3D 构象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不支持 3D 结构优化与可视化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5.2 文献搜索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维度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当前能力</w:t>
            </w:r>
          </w:p>
        </w:tc>
        <w:tc>
          <w:tcPr>
            <w:tcW w:type="pct" w:w="4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局限性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数据源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Semantic Scholar Academic Graph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单数据源，未集成 Google Scholar、PubMed、arXiv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检索深度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标题 + 摘要匹配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不支持全文检索、语义理解式搜索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自动化程度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关键词搜索 + 结果展示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不支持论文自动摘要、中文翻译、知识图谱构建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5.3 HPC 超算模块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维度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当前能力</w:t>
            </w:r>
          </w:p>
        </w:tc>
        <w:tc>
          <w:tcPr>
            <w:tcW w:type="pct" w:w="4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局限性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部署状态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框架级实现，代码完备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未对接真实超算集群（需要实际 Slurm/K8s 环境）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调度策略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FIFO + 抢占 + 回填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暂无高级调度策略（如 Gang Scheduling、公平共享）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5.4 RLHF 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维度</w:t>
            </w:r>
          </w:p>
        </w:tc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当前能力</w:t>
            </w:r>
          </w:p>
        </w:tc>
        <w:tc>
          <w:tcPr>
            <w:tcW w:type="pct" w:w="4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局限性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硬件要求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代码支持 GPU 训练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完整 RLHF 训练需要至少 1 张 A100/H100 GPU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数据需求</w:t>
            </w:r>
          </w:p>
        </w:tc>
        <w:tc>
          <w:tcPr>
            <w:tcW w:type="pct" w:w="4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框架完成</w:t>
            </w:r>
          </w:p>
        </w:tc>
        <w:tc>
          <w:tcPr>
            <w:tcW w:type="pct" w:w="4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真实化学领域偏好数据需要人工标注积累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rFonts w:ascii="Microsoft YaHei" w:cs="Microsoft YaHei" w:eastAsia="Microsoft YaHei" w:hAnsi="Microsoft YaHei"/>
          <w:b/>
          <w:bCs/>
          <w:color w:val="1e3a8a"/>
          <w:sz w:val="28"/>
          <w:szCs w:val="28"/>
        </w:rPr>
      </w:pPr>
      <w:r>
        <w:t xml:space="preserve">六、验证结论与实际效果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6.1 分子性质预测验证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测试分子</w:t>
            </w:r>
          </w:p>
        </w:tc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预测 MW (g/mol)</w:t>
            </w:r>
          </w:p>
        </w:tc>
        <w:tc>
          <w:tcPr>
            <w:tcW w:type="pct" w:w="2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标准值 (g/mol)</w:t>
            </w:r>
          </w:p>
        </w:tc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偏差</w:t>
            </w:r>
          </w:p>
        </w:tc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咖啡因 (Caffeine)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194.19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194.19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阿司匹林 (Aspirin)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180.16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180.16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布洛芬 (Ibuprofen)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206.28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206.28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葡萄糖 (Glucose)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180.16</w:t>
            </w:r>
          </w:p>
        </w:tc>
        <w:tc>
          <w:tcPr>
            <w:tcW w:type="pct" w:w="2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180.16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结论：RDKit 描述符计算的分子量与国际标准值完全一致（偏差 &lt; 0.01 g/mol）。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6.2 数据摄取验证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测试项</w:t>
            </w:r>
          </w:p>
        </w:tc>
        <w:tc>
          <w:tcPr>
            <w:tcW w:type="pct" w:w="3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指标</w:t>
            </w:r>
          </w:p>
        </w:tc>
        <w:tc>
          <w:tcPr>
            <w:tcW w:type="pct" w:w="3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PubChem 数据摄取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PASS RATE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Schema 验证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字段完整性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全部通过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数据清洗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格式标准化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正常执行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6.3 化学计算工具箱验证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30 项全量测试，全部通过（2026-05-27 Playwright 自动化测试）：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工具</w:t>
            </w:r>
          </w:p>
        </w:tc>
        <w:tc>
          <w:tcPr>
            <w:tcW w:type="pct" w:w="3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测试用例</w:t>
            </w:r>
          </w:p>
        </w:tc>
        <w:tc>
          <w:tcPr>
            <w:tcW w:type="pct" w:w="24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预期结果</w:t>
            </w:r>
          </w:p>
        </w:tc>
        <w:tc>
          <w:tcPr>
            <w:tcW w:type="pct" w:w="24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实际结果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摩尔质量计算器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H2SO4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98.08 g/mol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98.08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摩尔质量计算器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C6H12O6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180.16 g/mol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180.16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摩尔质量计算器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Ca(OH)2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74.09 g/mol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74.09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摩尔质量计算器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无效化学式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错误提示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溶液配制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0.1M × 500mL × MW58.44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2.922 g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2.922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溶液稀释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C1=1, V1=100, C2=0.05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V2=2000, +1900mL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 计算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强酸 0.1M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pH=1.00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1.00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 计算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强碱 0.1M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pH=13.00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13.00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 计算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弱酸 Ka=1.8×10-5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pH≈2.87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2.87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单位换算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 eV → kJ/mol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96.485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96.485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单位换算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0°C → K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273.15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273.15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元素周期表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搜索 Fe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Z=26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缓冲溶液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醋酸缓冲 pKa=4.76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pH=4.76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4.76 ✓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缓冲溶液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[A-]/[HA]=0.1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pH=3.76</w:t>
            </w:r>
          </w:p>
        </w:tc>
        <w:tc>
          <w:tcPr>
            <w:tcW w:type="pct" w:w="24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3.76 ✓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6.4 平台改进验证（2026-05-27）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19 项测试全部通过：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模块</w:t>
            </w:r>
          </w:p>
        </w:tc>
        <w:tc>
          <w:tcPr>
            <w:tcW w:type="pct" w:w="5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新增功能</w:t>
            </w:r>
          </w:p>
        </w:tc>
        <w:tc>
          <w:tcPr>
            <w:tcW w:type="pct" w:w="2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验证结果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文献调研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搜索历史 + 逐条删除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文献调研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6 大热点研究方向可点击搜索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文献调研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Semantic Scholar 新闻卡片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文献调研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搜索统计（总数 + Top 关键词）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分子数据库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热门分子推荐卡片（8 个）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性质预测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预测历史记录 + 重新预测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6.5 系统可用性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一键启动：Windows 环境下执行 start.bat，5 分钟内完成全部服务启动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无需专业运维：所有基础设施通过 Docker Compose 编排，自动处理依赖关系</w:t>
      </w:r>
    </w:p>
    <w:p>
      <w:pPr>
        <w:spacing w:after="6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跨平台支持：前端纯 Web 技术，后端 Python 跨平台，可通过 Docker 在任何 OS 运行</w:t>
      </w:r>
    </w:p>
    <w:p>
      <w:r>
        <w:br w:type="page"/>
      </w:r>
    </w:p>
    <w:p>
      <w:pPr>
        <w:pStyle w:val="Heading1"/>
        <w:spacing w:after="200" w:before="400"/>
        <w:rPr>
          <w:rFonts w:ascii="Microsoft YaHei" w:cs="Microsoft YaHei" w:eastAsia="Microsoft YaHei" w:hAnsi="Microsoft YaHei"/>
          <w:b/>
          <w:bCs/>
          <w:color w:val="1e3a8a"/>
          <w:sz w:val="28"/>
          <w:szCs w:val="28"/>
        </w:rPr>
      </w:pPr>
      <w:r>
        <w:t xml:space="preserve">七、下一步演进方向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第一阶段（近期，1-2 个月）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序号</w:t>
            </w:r>
          </w:p>
        </w:tc>
        <w:tc>
          <w:tcPr>
            <w:tcW w:type="pct" w:w="5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演进方向</w:t>
            </w:r>
          </w:p>
        </w:tc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优先级</w:t>
            </w:r>
          </w:p>
        </w:tc>
        <w:tc>
          <w:tcPr>
            <w:tcW w:type="pct" w:w="2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预计工作量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3D 分子可视化：集成 RDKit MolDraw2D → 3D 构象生成与 WebGL 渲染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高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3 周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分子相似性搜索：基于 Morgan Fingerprint 的 Tanimoto 相似度，支持子结构检索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高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3 周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文献自动摘要：集成 LLM（GPT-4o 或 Claude）对搜索论文进行中文摘要生成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中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 周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第二阶段（中期，3-6 个月）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序号</w:t>
            </w:r>
          </w:p>
        </w:tc>
        <w:tc>
          <w:tcPr>
            <w:tcW w:type="pct" w:w="5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演进方向</w:t>
            </w:r>
          </w:p>
        </w:tc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优先级</w:t>
            </w:r>
          </w:p>
        </w:tc>
        <w:tc>
          <w:tcPr>
            <w:tcW w:type="pct" w:w="2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预计工作量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DFT 计算接口：对接 Gaussian 16 / ORCA 计算服务，支持量子化学精度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中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6 周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用户系统：OAuth 2.0 登录（Google/GitHub/ORCID），JWT 认证 + 权限管理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中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4 周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自定义实验数据上传：支持 CSV/Excel 格式实验数据导入，对接 RLHF 微调流程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中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4 周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中文翻译：基于大模型将英文论文标题和摘要自动翻译为中文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低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2 周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第三阶段（远期，6-12 个月）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序号</w:t>
            </w:r>
          </w:p>
        </w:tc>
        <w:tc>
          <w:tcPr>
            <w:tcW w:type="pct" w:w="5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演进方向</w:t>
            </w:r>
          </w:p>
        </w:tc>
        <w:tc>
          <w:tcPr>
            <w:tcW w:type="pct" w:w="1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优先级</w:t>
            </w:r>
          </w:p>
        </w:tc>
        <w:tc>
          <w:tcPr>
            <w:tcW w:type="pct" w:w="2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预计工作量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生产级 Kubernetes 部署：Helm Chart + CI/CD (GitHub Actions)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低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8 周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知识图谱构建：从文献中自动抽取化学实体关系，构建可查询的化学知识网络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低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8 周</w:t>
            </w:r>
          </w:p>
        </w:tc>
      </w:tr>
      <w:tr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pct" w:w="5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反应预测：基于 Transformer 的逆合成分析与反应产率预测</w:t>
            </w:r>
          </w:p>
        </w:tc>
        <w:tc>
          <w:tcPr>
            <w:tcW w:type="pct" w:w="1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低</w:t>
            </w:r>
          </w:p>
        </w:tc>
        <w:tc>
          <w:tcPr>
            <w:tcW w:type="pct" w:w="2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12 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  <w:rPr>
          <w:rFonts w:ascii="Microsoft YaHei" w:cs="Microsoft YaHei" w:eastAsia="Microsoft YaHei" w:hAnsi="Microsoft YaHei"/>
          <w:b/>
          <w:bCs/>
          <w:color w:val="1e3a8a"/>
          <w:sz w:val="28"/>
          <w:szCs w:val="28"/>
        </w:rPr>
      </w:pPr>
      <w:r>
        <w:t xml:space="preserve">附录</w:t>
      </w: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A. 快速启动指南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# Windows 环境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start.bat</w:t>
      </w:r>
    </w:p>
    <w:p>
      <w:pPr>
        <w:spacing w:after="80"/>
      </w:pP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# 手动启动（Linux/macOS）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docker compose up -d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cd backend &amp;&amp; pip install -e . &amp;&amp; uvicorn main:app --port 8000 &amp;</w:t>
      </w:r>
    </w:p>
    <w:p>
      <w:pPr>
        <w:shd w:color="f1f5f9" w:val="solid"/>
        <w:spacing w:after="80"/>
        <w:ind w:left="3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cd frontend &amp;&amp; npm install &amp;&amp; npm run dev -- --port 5173 &amp;</w:t>
      </w:r>
    </w:p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B. 环境变量参考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变量名</w:t>
            </w:r>
          </w:p>
        </w:tc>
        <w:tc>
          <w:tcPr>
            <w:tcW w:type="pct" w:w="30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默认值</w:t>
            </w:r>
          </w:p>
        </w:tc>
        <w:tc>
          <w:tcPr>
            <w:tcW w:type="pct" w:w="35%"/>
            <w:shd w:color="eff6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AI4S_DATABASE_URL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postgresql+asyncpg://ai4s:ai4s@localhost:5432/ai4s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PostgreSQL 连接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AI4S_REDIS_URL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redis://localhost:6379/0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Redis 连接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AI4S_WEAVIATE_URL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http://localhost:8080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Weaviate 连接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AI4S_AGENT_RUNTIME__MEMORY__BACKEND</w:t>
            </w:r>
          </w:p>
        </w:tc>
        <w:tc>
          <w:tcPr>
            <w:tcW w:type="pct" w:w="30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weaviate</w:t>
            </w:r>
          </w:p>
        </w:tc>
        <w:tc>
          <w:tcPr>
            <w:tcW w:type="pct" w:w="35%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18"/>
                <w:szCs w:val="18"/>
              </w:rPr>
              <w:t xml:space="preserve">记忆存储后端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  <w:rPr>
          <w:rFonts w:ascii="Microsoft YaHei" w:cs="Microsoft YaHei" w:eastAsia="Microsoft YaHei" w:hAnsi="Microsoft YaHei"/>
          <w:b/>
          <w:bCs/>
          <w:color w:val="1e3a8a"/>
          <w:sz w:val="24"/>
          <w:szCs w:val="24"/>
        </w:rPr>
      </w:pPr>
      <w:r>
        <w:t xml:space="preserve">C. 项目仓库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GitHub: https://github.com/z2875596-crypto/ai4s-infra</w:t>
      </w:r>
    </w:p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21"/>
          <w:szCs w:val="21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AI4S 化学平台 — 技术交付文档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2026-05-27T01:20:46.067Z</dcterms:created>
  <dcterms:modified xsi:type="dcterms:W3CDTF">2026-05-27T01:20:46.069Z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