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综合考虑 Vortex GPGPU 的部署与集成需求、微架构研究方向、神经网络加速目标、后续基本三维图形渲染扩展，以及比赛期间的开发安排，本项目选用基于 Xilinx Zynq UltraScale+ MPSoC XCZU11EG 的</w:t>
      </w:r>
      <w:r>
        <w:t xml:space="preserve"> </w:t>
      </w:r>
      <w:r>
        <w:rPr>
          <w:b/>
        </w:rPr>
        <w:t xml:space="preserve">Z11-P 开发板作为主要硬件实验平台</w:t>
      </w:r>
      <w:r>
        <w:t xml:space="preserve">。具体选择理由如下。</w:t>
      </w:r>
    </w:p>
    <w:p>
      <w:pPr>
        <w:pStyle w:val="BodyText"/>
      </w:pPr>
      <w:r>
        <w:rPr>
          <w:b/>
        </w:rPr>
        <w:t xml:space="preserve">1. ARM 与 FPGA 集成的异构架构，有利于分阶段完成 Vortex 的软硬件集成</w:t>
      </w:r>
    </w:p>
    <w:p>
      <w:pPr>
        <w:pStyle w:val="BodyText"/>
      </w:pPr>
      <w:r>
        <w:t xml:space="preserve">Z11-P 将 ARM Cortex-A53 处理系统（PS）与 FPGA 可编程逻辑（PL）集成在同一器件中。处理系统可运行 Linux，并承担程序管理、数据准备、任务控制及结果验证等工作，为通过 PS—PL AXI 通路与 Vortex GPGPU 交互提供基础。</w:t>
      </w:r>
    </w:p>
    <w:p>
      <w:pPr>
        <w:pStyle w:val="BodyText"/>
      </w:pPr>
      <w:r>
        <w:t xml:space="preserve">相较于需要外部主机的纯 FPGA 平台，这种架构有利于减少初期对外部 PCIe 主机及其通信链路的依赖，便于在板上构建相对完整的实验系统。项目仍需完成 Vortex 运行时后端、控制寄存器、内存访问及程序加载机制的适配，并通过基础 Kernel 验证软硬件交互流程。</w:t>
      </w:r>
    </w:p>
    <w:p>
      <w:pPr>
        <w:pStyle w:val="BodyText"/>
      </w:pPr>
      <w:r>
        <w:rPr>
          <w:b/>
        </w:rPr>
        <w:t xml:space="preserve">2. 计算与片上存储资源的组合，较好地匹配微架构和神经网络加速研究需求</w:t>
      </w:r>
    </w:p>
    <w:p>
      <w:pPr>
        <w:pStyle w:val="BodyText"/>
      </w:pPr>
      <w:r>
        <w:t xml:space="preserve">XCZU11EG 具备约</w:t>
      </w:r>
      <w:r>
        <w:t xml:space="preserve"> </w:t>
      </w:r>
      <w:r>
        <w:rPr>
          <w:b/>
        </w:rPr>
        <w:t xml:space="preserve">29.9 万个 LUT、2,928 个 DSP</w:t>
      </w:r>
      <w:r>
        <w:t xml:space="preserve">，以及较丰富的 BRAM 和 UltraRAM 资源，为 Vortex SIMT 核心、Warp 调度、缓存、Load/Store Unit 和执行单元的实现与研究提供了硬件基础。其中，较充足的 DSP 资源有利于探索矩阵乘加及低精度计算结构，但最终可支持的核数、并行度与缓存规模，仍需通过目标器件上的综合和时序结果确定。</w:t>
      </w:r>
    </w:p>
    <w:p>
      <w:pPr>
        <w:pStyle w:val="BodyText"/>
      </w:pPr>
      <w:r>
        <w:t xml:space="preserve">Vortex v2.3 已包含可选的 Tensor 计算单元（TCU）及相关低精度数据处理路径。因此，本项目将优先复现并评估已有实现，再围绕神经网络工作负载的实际瓶颈，研究 FP16、BF16、INT8 等数据格式下的执行组织、片上分块、数据复用及计算与访存协同机制。通过与未修改基线进行同条件对照，分析改进对正确性、性能、资源利用率及能效的影响。</w:t>
      </w:r>
    </w:p>
    <w:p>
      <w:pPr>
        <w:pStyle w:val="BodyText"/>
      </w:pPr>
      <w:r>
        <w:rPr>
          <w:b/>
        </w:rPr>
        <w:t xml:space="preserve">3. PS/PL 双 DDR 为分阶段部署和存储体系研究提供灵活性</w:t>
      </w:r>
    </w:p>
    <w:p>
      <w:pPr>
        <w:pStyle w:val="BodyText"/>
      </w:pPr>
      <w:r>
        <w:t xml:space="preserve">根据公开的 Z11-P V2.0 配置，开发板在 PS 侧和 PL 侧分别配备 DDR4，具体容量及配置将以实验室实物版本为准。这种存储结构支持分阶段完成系统集成，有利于控制初期调试范围。</w:t>
      </w:r>
    </w:p>
    <w:p>
      <w:pPr>
        <w:pStyle w:val="BodyText"/>
      </w:pPr>
      <w:r>
        <w:t xml:space="preserve">项目初期计划优先利用 PS DDR 与 AXI 通路，完成 Vortex 的控制、程序加载、全局存储访问和 Kernel 执行验证，并将输出与 CPU 参考结果进行比较。待基础功能稳定后，再根据实际访存瓶颈，引入 PL 侧 DDR4 作为独立全局存储器，进一步研究缓存层次、访存合并（Memory Coalescing）、有效带宽及并行计算中的数据复用。</w:t>
      </w:r>
    </w:p>
    <w:p>
      <w:pPr>
        <w:pStyle w:val="BodyText"/>
      </w:pPr>
      <w:r>
        <w:t xml:space="preserve">这一过程仍需解决 DDR 控制器、地址映射、缓存一致性、缓冲区管理及跨时钟等问题。因此，双 DDR 的主要价值在于提供灵活的系统组织与研究空间，其性能收益需要通过实验确认。</w:t>
      </w:r>
    </w:p>
    <w:p>
      <w:pPr>
        <w:pStyle w:val="BodyText"/>
      </w:pPr>
      <w:r>
        <w:rPr>
          <w:b/>
        </w:rPr>
        <w:t xml:space="preserve">4. 保留基本三维图形渲染的扩展空间，同时控制比赛阶段的开发范围</w:t>
      </w:r>
    </w:p>
    <w:p>
      <w:pPr>
        <w:pStyle w:val="BodyText"/>
      </w:pPr>
      <w:r>
        <w:t xml:space="preserve">本项目以</w:t>
      </w:r>
      <w:r>
        <w:t xml:space="preserve"> </w:t>
      </w:r>
      <w:r>
        <w:rPr>
          <w:b/>
        </w:rPr>
        <w:t xml:space="preserve">Vortex 微架构分析与神经网络加速优化</w:t>
      </w:r>
      <w:r>
        <w:t xml:space="preserve">为主要研究方向，同时保留基本三维图形渲染作为通用可编程能力的扩展验证场景。</w:t>
      </w:r>
    </w:p>
    <w:p>
      <w:pPr>
        <w:pStyle w:val="BodyText"/>
      </w:pPr>
      <w:r>
        <w:t xml:space="preserve">系统将继续以通用 SIMT GPGPU 为主体，优先验证同一硬件配置运行不同计算 Kernel、神经网络工作负载及基本渲染程序的能力。比赛阶段可根据进度探索基本几何变换、三角形光栅化或深度测试等功能；专用 Rasterizer、Texture Unit 和 Output Merger 等模块则作为后续研究方向，依据性能瓶颈和资源余量逐步评估。</w:t>
      </w:r>
    </w:p>
    <w:p>
      <w:pPr>
        <w:pStyle w:val="BodyText"/>
      </w:pPr>
      <w:r>
        <w:t xml:space="preserve">Z11-P 的显示接口为结果展示提供了条件，但仍需完成帧缓存、数据搬运和显示同步等链路的集成，不能将接口存在直接等同于已经具备完整的三维图形处理能力。</w:t>
      </w:r>
    </w:p>
    <w:p>
      <w:pPr>
        <w:pStyle w:val="BodyText"/>
      </w:pPr>
      <w:r>
        <w:rPr>
          <w:b/>
        </w:rPr>
        <w:t xml:space="preserve">5. 以工具、基础工程和分阶段验收保障项目可执行性</w:t>
      </w:r>
    </w:p>
    <w:p>
      <w:pPr>
        <w:pStyle w:val="BodyText"/>
      </w:pPr>
      <w:r>
        <w:t xml:space="preserve">为使平台选择符合比赛时间安排，项目将首先落实覆盖 XCZU11EG 及所用工具版本的有效许可证，并确认开发板版本、启动镜像、板级支持包（BSP）、DDR 与 AXI 基础工程、电源散热及调试条件。</w:t>
      </w:r>
    </w:p>
    <w:p>
      <w:pPr>
        <w:pStyle w:val="BodyText"/>
      </w:pPr>
      <w:r>
        <w:t xml:space="preserve">开发顺序以稳定基线为起点：先完成固定配置 Vortex 的综合、时序分析和上板功能验证，再围绕一个明确的微架构或神经网络加速优化点开展对照实验。在基础交付稳定后，根据剩余时间扩展基本三维图形功能，避免同时引入过多未经验证的硬件模块。</w:t>
      </w:r>
    </w:p>
    <w:p>
      <w:pPr>
        <w:pStyle w:val="BodyText"/>
      </w:pPr>
      <w:r>
        <w:t xml:space="preserve">基于上述考虑，</w:t>
      </w:r>
      <w:r>
        <w:rPr>
          <w:b/>
        </w:rPr>
        <w:t xml:space="preserve">Z11-P 在板上主机协同、计算资源、存储组织和扩展能力之间，较好地契合了本项目的需求取舍</w:t>
      </w:r>
      <w:r>
        <w:t xml:space="preserve">。项目将以可复现的 Vortex 系统为基础，逐步开展微架构与神经网络加速研究，并保留基本图形工作负载的验证空间。最终能够支持的硬件配置、运行性能与能效指标，以目标器件上的综合、时序和板级实验结果为准。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c5d0b720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2026-09-11T10:52:47Z</dcterms:created>
  <dcterms:modified xsi:type="dcterms:W3CDTF">2026-09-11T10:52:47Z</dcterms:modified>
</cp:coreProperties>
</file>