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DEFF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jc w:val="center"/>
        <w:textAlignment w:val="auto"/>
        <w:outlineLvl w:val="0"/>
        <w:rPr>
          <w:rFonts w:hint="eastAsia" w:ascii="宋体" w:hAnsi="宋体" w:eastAsia="宋体" w:cs="宋体"/>
          <w:b/>
          <w:bCs w:val="0"/>
          <w:i w:val="0"/>
          <w:iCs w:val="0"/>
          <w:caps w:val="0"/>
          <w:color w:val="000000" w:themeColor="text1"/>
          <w:spacing w:val="0"/>
          <w:sz w:val="44"/>
          <w:szCs w:val="44"/>
          <w:highlight w:val="none"/>
          <w:shd w:val="clear" w:fill="auto"/>
          <w:lang w:val="en-US" w:eastAsia="zh-CN"/>
          <w14:textFill>
            <w14:solidFill>
              <w14:schemeClr w14:val="tx1"/>
            </w14:solidFill>
          </w14:textFill>
        </w:rPr>
      </w:pPr>
      <w:r>
        <w:rPr>
          <w:rFonts w:hint="eastAsia" w:ascii="宋体" w:hAnsi="宋体" w:cs="宋体"/>
          <w:b/>
          <w:bCs w:val="0"/>
          <w:i w:val="0"/>
          <w:iCs w:val="0"/>
          <w:caps w:val="0"/>
          <w:color w:val="000000" w:themeColor="text1"/>
          <w:spacing w:val="0"/>
          <w:sz w:val="44"/>
          <w:szCs w:val="44"/>
          <w:highlight w:val="none"/>
          <w:shd w:val="clear" w:fill="auto"/>
          <w:lang w:val="en-US" w:eastAsia="zh-CN"/>
          <w14:textFill>
            <w14:solidFill>
              <w14:schemeClr w14:val="tx1"/>
            </w14:solidFill>
          </w14:textFill>
        </w:rPr>
        <w:t>南宁中燃关于南宁</w:t>
      </w:r>
      <w:r>
        <w:rPr>
          <w:rFonts w:hint="eastAsia" w:ascii="宋体" w:hAnsi="宋体" w:eastAsia="宋体" w:cs="宋体"/>
          <w:b/>
          <w:bCs w:val="0"/>
          <w:i w:val="0"/>
          <w:iCs w:val="0"/>
          <w:caps w:val="0"/>
          <w:color w:val="000000" w:themeColor="text1"/>
          <w:spacing w:val="0"/>
          <w:sz w:val="44"/>
          <w:szCs w:val="44"/>
          <w:highlight w:val="none"/>
          <w:shd w:val="clear" w:fill="auto"/>
          <w:lang w:val="en-US" w:eastAsia="zh-CN"/>
          <w14:textFill>
            <w14:solidFill>
              <w14:schemeClr w14:val="tx1"/>
            </w14:solidFill>
          </w14:textFill>
        </w:rPr>
        <w:t>青秀小区延期供气事件调查报告</w:t>
      </w:r>
    </w:p>
    <w:p w14:paraId="10C55CF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560" w:lineRule="exact"/>
        <w:ind w:firstLine="640" w:firstLineChars="200"/>
        <w:textAlignment w:val="auto"/>
        <w:outlineLvl w:val="0"/>
        <w:rPr>
          <w:rFonts w:hint="eastAsia" w:ascii="黑体" w:hAnsi="黑体" w:eastAsia="黑体" w:cs="黑体"/>
          <w:b w:val="0"/>
          <w:bCs w:val="0"/>
          <w:color w:val="000000" w:themeColor="text1"/>
          <w:sz w:val="32"/>
          <w:szCs w:val="32"/>
          <w:highlight w:val="none"/>
          <w:lang w:eastAsia="zh-CN"/>
          <w14:textFill>
            <w14:solidFill>
              <w14:schemeClr w14:val="tx1"/>
            </w14:solidFill>
          </w14:textFill>
        </w:rPr>
      </w:pPr>
      <w:r>
        <w:rPr>
          <w:rFonts w:hint="eastAsia" w:ascii="黑体" w:hAnsi="黑体" w:eastAsia="黑体" w:cs="黑体"/>
          <w:b w:val="0"/>
          <w:bCs w:val="0"/>
          <w:color w:val="000000" w:themeColor="text1"/>
          <w:sz w:val="32"/>
          <w:szCs w:val="32"/>
          <w:highlight w:val="none"/>
          <w:lang w:eastAsia="zh-CN"/>
          <w14:textFill>
            <w14:solidFill>
              <w14:schemeClr w14:val="tx1"/>
            </w14:solidFill>
          </w14:textFill>
        </w:rPr>
        <w:t>一、</w:t>
      </w:r>
      <w:r>
        <w:rPr>
          <w:rFonts w:hint="eastAsia" w:ascii="黑体" w:hAnsi="黑体" w:eastAsia="黑体" w:cs="黑体"/>
          <w:b w:val="0"/>
          <w:bCs w:val="0"/>
          <w:color w:val="000000" w:themeColor="text1"/>
          <w:sz w:val="32"/>
          <w:szCs w:val="32"/>
          <w:highlight w:val="none"/>
          <w14:textFill>
            <w14:solidFill>
              <w14:schemeClr w14:val="tx1"/>
            </w14:solidFill>
          </w14:textFill>
        </w:rPr>
        <w:t>事件</w:t>
      </w:r>
      <w:r>
        <w:rPr>
          <w:rFonts w:hint="eastAsia" w:ascii="黑体" w:hAnsi="黑体" w:eastAsia="黑体" w:cs="黑体"/>
          <w:b w:val="0"/>
          <w:bCs w:val="0"/>
          <w:color w:val="000000" w:themeColor="text1"/>
          <w:sz w:val="32"/>
          <w:szCs w:val="32"/>
          <w:highlight w:val="none"/>
          <w:lang w:eastAsia="zh-CN"/>
          <w14:textFill>
            <w14:solidFill>
              <w14:schemeClr w14:val="tx1"/>
            </w14:solidFill>
          </w14:textFill>
        </w:rPr>
        <w:t>概述</w:t>
      </w:r>
    </w:p>
    <w:p w14:paraId="71B8C5E8">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2025年12月28日23时00分，南宁中燃城市燃气发展有限公司在会展路1号开展南宁市燃气管网生命线改造一期工程（PE阀HZH03a/90换阀）带气作业项目。该作业于29日01时30分完工，02时31分埋地管恢复供气，07时48分恢复小区供气。09时07分运营部维修员报青秀小区用气异常。11时13分，调度中心接到电子客服通知，青秀小区出现无法正常用气情况。鉴于该小区住户主要为广西壮族自治区党委、人大、政府、政协的副省级及以上在职和离退休领导干部，属于高敏感区域，公司高度重视。公司各级领导及相关业务部门负责人第一时间赶赴现场，组织开展排查与处置工作。</w:t>
      </w:r>
    </w:p>
    <w:p w14:paraId="2DF5BA3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560" w:lineRule="exact"/>
        <w:ind w:firstLine="640" w:firstLineChars="200"/>
        <w:textAlignment w:val="auto"/>
        <w:outlineLvl w:val="0"/>
        <w:rPr>
          <w:rFonts w:hint="eastAsia" w:ascii="黑体" w:hAnsi="黑体" w:eastAsia="黑体" w:cs="黑体"/>
          <w:b w:val="0"/>
          <w:bCs w:val="0"/>
          <w:color w:val="000000" w:themeColor="text1"/>
          <w:sz w:val="32"/>
          <w:szCs w:val="32"/>
          <w:highlight w:val="none"/>
          <w:lang w:val="en-US" w:eastAsia="zh-CN"/>
          <w14:textFill>
            <w14:solidFill>
              <w14:schemeClr w14:val="tx1"/>
            </w14:solidFill>
          </w14:textFill>
        </w:rPr>
      </w:pPr>
      <w:r>
        <w:rPr>
          <w:rFonts w:hint="eastAsia" w:ascii="黑体" w:hAnsi="黑体" w:eastAsia="黑体" w:cs="黑体"/>
          <w:b w:val="0"/>
          <w:bCs w:val="0"/>
          <w:color w:val="000000" w:themeColor="text1"/>
          <w:sz w:val="32"/>
          <w:szCs w:val="32"/>
          <w:highlight w:val="none"/>
          <w:lang w:val="en-US" w:eastAsia="zh-CN"/>
          <w14:textFill>
            <w14:solidFill>
              <w14:schemeClr w14:val="tx1"/>
            </w14:solidFill>
          </w14:textFill>
        </w:rPr>
        <w:t>二、</w:t>
      </w:r>
      <w:r>
        <w:rPr>
          <w:rFonts w:hint="eastAsia" w:ascii="黑体" w:hAnsi="黑体" w:eastAsia="黑体" w:cs="黑体"/>
          <w:b w:val="0"/>
          <w:bCs w:val="0"/>
          <w:color w:val="000000" w:themeColor="text1"/>
          <w:sz w:val="32"/>
          <w:szCs w:val="32"/>
          <w:highlight w:val="none"/>
          <w:lang w:eastAsia="zh-CN"/>
          <w14:textFill>
            <w14:solidFill>
              <w14:schemeClr w14:val="tx1"/>
            </w14:solidFill>
          </w14:textFill>
        </w:rPr>
        <w:t>现场勘查情况</w:t>
      </w:r>
    </w:p>
    <w:p w14:paraId="36525789">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事发区域位于青秀区会展路青秀小区（青山副省级别墅）。该小区燃气由会展路中压dn110管道出引(阀门编号HZH03/63)dn63支管供应，该dn63管道同时服务青秀小区、青秀小区食堂、南宁军分区青山住宅、壁秀苑、青湖消防站共五个用气点，青秀小区位于该支管上游。经排查，上述五个用气点均出现供气中断。初步判断为dn63支管青秀小区段发生异物堵塞。经吹扫处理，发现堵塞物主要为大量黑色粉尘（成分待检测）、泥沙及少量PE管氧化层残留。其中对PE管氧化层进行检查后，判断其形成时间较长，基本排除为本次施工作业所致。经全面排查、管道吹扫与系统修复，五个用气点已于12月29日18时03分陆续恢复供气。</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7"/>
        <w:gridCol w:w="4305"/>
      </w:tblGrid>
      <w:tr w14:paraId="7DD5B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17" w:type="dxa"/>
            <w:vAlign w:val="center"/>
          </w:tcPr>
          <w:p w14:paraId="1816D2D9">
            <w:pPr>
              <w:numPr>
                <w:ilvl w:val="0"/>
                <w:numId w:val="0"/>
              </w:numPr>
              <w:jc w:val="center"/>
              <w:rPr>
                <w:rFonts w:hint="eastAsia" w:ascii="宋体" w:hAnsi="宋体" w:cs="宋体"/>
                <w:snapToGrid w:val="0"/>
                <w:color w:val="000000" w:themeColor="text1"/>
                <w:kern w:val="0"/>
                <w:sz w:val="28"/>
                <w:szCs w:val="28"/>
                <w:vertAlign w:val="baseline"/>
                <w:lang w:val="en-US" w:eastAsia="zh-CN" w:bidi="ar"/>
                <w14:textFill>
                  <w14:solidFill>
                    <w14:schemeClr w14:val="tx1"/>
                  </w14:solidFill>
                </w14:textFill>
              </w:rPr>
            </w:pPr>
            <w:r>
              <w:rPr>
                <w:color w:val="000000" w:themeColor="text1"/>
                <w14:textFill>
                  <w14:solidFill>
                    <w14:schemeClr w14:val="tx1"/>
                  </w14:solidFill>
                </w14:textFill>
              </w:rPr>
              <w:drawing>
                <wp:inline distT="0" distB="0" distL="114300" distR="114300">
                  <wp:extent cx="2606675" cy="1741170"/>
                  <wp:effectExtent l="0" t="0" r="317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606675" cy="1741170"/>
                          </a:xfrm>
                          <a:prstGeom prst="rect">
                            <a:avLst/>
                          </a:prstGeom>
                          <a:noFill/>
                          <a:ln>
                            <a:noFill/>
                          </a:ln>
                        </pic:spPr>
                      </pic:pic>
                    </a:graphicData>
                  </a:graphic>
                </wp:inline>
              </w:drawing>
            </w:r>
          </w:p>
        </w:tc>
        <w:tc>
          <w:tcPr>
            <w:tcW w:w="4305" w:type="dxa"/>
            <w:vAlign w:val="center"/>
          </w:tcPr>
          <w:p w14:paraId="5EDBA64B">
            <w:pPr>
              <w:numPr>
                <w:ilvl w:val="0"/>
                <w:numId w:val="0"/>
              </w:numPr>
              <w:jc w:val="center"/>
              <w:rPr>
                <w:rFonts w:hint="eastAsia" w:ascii="宋体" w:hAnsi="宋体" w:cs="宋体"/>
                <w:snapToGrid w:val="0"/>
                <w:color w:val="000000" w:themeColor="text1"/>
                <w:kern w:val="0"/>
                <w:sz w:val="28"/>
                <w:szCs w:val="28"/>
                <w:vertAlign w:val="baseline"/>
                <w:lang w:val="en-US" w:eastAsia="zh-CN" w:bidi="ar"/>
                <w14:textFill>
                  <w14:solidFill>
                    <w14:schemeClr w14:val="tx1"/>
                  </w14:solidFill>
                </w14:textFill>
              </w:rPr>
            </w:pPr>
            <w:r>
              <w:rPr>
                <w:rFonts w:hint="eastAsia" w:ascii="宋体" w:hAnsi="宋体" w:cs="宋体"/>
                <w:snapToGrid w:val="0"/>
                <w:color w:val="000000" w:themeColor="text1"/>
                <w:kern w:val="0"/>
                <w:sz w:val="28"/>
                <w:szCs w:val="28"/>
                <w:vertAlign w:val="baseline"/>
                <w:lang w:val="en-US" w:eastAsia="zh-CN" w:bidi="ar"/>
                <w14:textFill>
                  <w14:solidFill>
                    <w14:schemeClr w14:val="tx1"/>
                  </w14:solidFill>
                </w14:textFill>
              </w:rPr>
              <w:drawing>
                <wp:inline distT="0" distB="0" distL="114300" distR="114300">
                  <wp:extent cx="2488565" cy="1740535"/>
                  <wp:effectExtent l="0" t="0" r="6985" b="12065"/>
                  <wp:docPr id="2" name="图片 2" descr="7b6844cf42d6c49eb17d2bd1427283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b6844cf42d6c49eb17d2bd14272831d"/>
                          <pic:cNvPicPr>
                            <a:picLocks noChangeAspect="1"/>
                          </pic:cNvPicPr>
                        </pic:nvPicPr>
                        <pic:blipFill>
                          <a:blip r:embed="rId5"/>
                          <a:stretch>
                            <a:fillRect/>
                          </a:stretch>
                        </pic:blipFill>
                        <pic:spPr>
                          <a:xfrm>
                            <a:off x="0" y="0"/>
                            <a:ext cx="2488565" cy="1740535"/>
                          </a:xfrm>
                          <a:prstGeom prst="rect">
                            <a:avLst/>
                          </a:prstGeom>
                        </pic:spPr>
                      </pic:pic>
                    </a:graphicData>
                  </a:graphic>
                </wp:inline>
              </w:drawing>
            </w:r>
          </w:p>
        </w:tc>
      </w:tr>
      <w:tr w14:paraId="55FD7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7" w:type="dxa"/>
            <w:vAlign w:val="center"/>
          </w:tcPr>
          <w:p w14:paraId="3B16FD33">
            <w:pPr>
              <w:numPr>
                <w:ilvl w:val="0"/>
                <w:numId w:val="0"/>
              </w:numPr>
              <w:jc w:val="center"/>
              <w:rPr>
                <w:rFonts w:hint="default" w:ascii="宋体" w:hAnsi="宋体" w:cs="宋体"/>
                <w:snapToGrid w:val="0"/>
                <w:color w:val="000000" w:themeColor="text1"/>
                <w:kern w:val="0"/>
                <w:sz w:val="24"/>
                <w:szCs w:val="24"/>
                <w:vertAlign w:val="baseline"/>
                <w:lang w:val="en-US" w:eastAsia="zh-CN" w:bidi="ar"/>
                <w14:textFill>
                  <w14:solidFill>
                    <w14:schemeClr w14:val="tx1"/>
                  </w14:solidFill>
                </w14:textFill>
              </w:rPr>
            </w:pPr>
            <w:r>
              <w:rPr>
                <w:rFonts w:hint="eastAsia" w:ascii="宋体" w:hAnsi="宋体" w:cs="宋体"/>
                <w:snapToGrid w:val="0"/>
                <w:color w:val="000000" w:themeColor="text1"/>
                <w:kern w:val="0"/>
                <w:sz w:val="24"/>
                <w:szCs w:val="24"/>
                <w:vertAlign w:val="baseline"/>
                <w:lang w:val="en-US" w:eastAsia="zh-CN" w:bidi="ar"/>
                <w14:textFill>
                  <w14:solidFill>
                    <w14:schemeClr w14:val="tx1"/>
                  </w14:solidFill>
                </w14:textFill>
              </w:rPr>
              <w:t>管网图</w:t>
            </w:r>
          </w:p>
        </w:tc>
        <w:tc>
          <w:tcPr>
            <w:tcW w:w="4305" w:type="dxa"/>
            <w:vAlign w:val="center"/>
          </w:tcPr>
          <w:p w14:paraId="02E581E1">
            <w:pPr>
              <w:numPr>
                <w:ilvl w:val="0"/>
                <w:numId w:val="0"/>
              </w:numPr>
              <w:jc w:val="center"/>
              <w:rPr>
                <w:rFonts w:hint="eastAsia" w:ascii="宋体" w:hAnsi="宋体" w:cs="宋体"/>
                <w:snapToGrid w:val="0"/>
                <w:color w:val="000000" w:themeColor="text1"/>
                <w:kern w:val="0"/>
                <w:sz w:val="24"/>
                <w:szCs w:val="24"/>
                <w:vertAlign w:val="baseline"/>
                <w:lang w:val="en-US" w:eastAsia="zh-CN" w:bidi="ar"/>
                <w14:textFill>
                  <w14:solidFill>
                    <w14:schemeClr w14:val="tx1"/>
                  </w14:solidFill>
                </w14:textFill>
              </w:rPr>
            </w:pPr>
            <w:r>
              <w:rPr>
                <w:rFonts w:hint="eastAsia" w:ascii="宋体" w:hAnsi="宋体" w:cs="宋体"/>
                <w:snapToGrid w:val="0"/>
                <w:color w:val="000000" w:themeColor="text1"/>
                <w:kern w:val="0"/>
                <w:sz w:val="24"/>
                <w:szCs w:val="24"/>
                <w:lang w:val="en-US" w:eastAsia="zh-CN" w:bidi="ar"/>
                <w14:textFill>
                  <w14:solidFill>
                    <w14:schemeClr w14:val="tx1"/>
                  </w14:solidFill>
                </w14:textFill>
              </w:rPr>
              <w:t>黑色粉尘</w:t>
            </w:r>
          </w:p>
        </w:tc>
      </w:tr>
      <w:tr w14:paraId="1964B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7" w:type="dxa"/>
            <w:vAlign w:val="center"/>
          </w:tcPr>
          <w:p w14:paraId="503FE9E8">
            <w:pPr>
              <w:numPr>
                <w:ilvl w:val="0"/>
                <w:numId w:val="0"/>
              </w:numPr>
              <w:jc w:val="center"/>
              <w:rPr>
                <w:rFonts w:hint="eastAsia" w:ascii="宋体" w:hAnsi="宋体" w:cs="宋体"/>
                <w:snapToGrid w:val="0"/>
                <w:color w:val="000000" w:themeColor="text1"/>
                <w:kern w:val="0"/>
                <w:sz w:val="28"/>
                <w:szCs w:val="28"/>
                <w:vertAlign w:val="baseline"/>
                <w:lang w:val="en-US" w:eastAsia="zh-CN" w:bidi="ar"/>
                <w14:textFill>
                  <w14:solidFill>
                    <w14:schemeClr w14:val="tx1"/>
                  </w14:solidFill>
                </w14:textFill>
              </w:rPr>
            </w:pPr>
            <w:r>
              <w:rPr>
                <w:color w:val="000000" w:themeColor="text1"/>
                <w14:textFill>
                  <w14:solidFill>
                    <w14:schemeClr w14:val="tx1"/>
                  </w14:solidFill>
                </w14:textFill>
              </w:rPr>
              <w:drawing>
                <wp:inline distT="0" distB="0" distL="114300" distR="114300">
                  <wp:extent cx="2555875" cy="1722755"/>
                  <wp:effectExtent l="0" t="0" r="15875"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2555875" cy="1722755"/>
                          </a:xfrm>
                          <a:prstGeom prst="rect">
                            <a:avLst/>
                          </a:prstGeom>
                          <a:noFill/>
                          <a:ln>
                            <a:noFill/>
                          </a:ln>
                        </pic:spPr>
                      </pic:pic>
                    </a:graphicData>
                  </a:graphic>
                </wp:inline>
              </w:drawing>
            </w:r>
          </w:p>
        </w:tc>
        <w:tc>
          <w:tcPr>
            <w:tcW w:w="4305" w:type="dxa"/>
            <w:vAlign w:val="center"/>
          </w:tcPr>
          <w:p w14:paraId="1570A230">
            <w:pPr>
              <w:numPr>
                <w:ilvl w:val="0"/>
                <w:numId w:val="0"/>
              </w:numPr>
              <w:jc w:val="center"/>
              <w:rPr>
                <w:rFonts w:hint="eastAsia" w:ascii="宋体" w:hAnsi="宋体" w:cs="宋体"/>
                <w:snapToGrid w:val="0"/>
                <w:color w:val="000000" w:themeColor="text1"/>
                <w:kern w:val="0"/>
                <w:sz w:val="28"/>
                <w:szCs w:val="28"/>
                <w:vertAlign w:val="baseline"/>
                <w:lang w:val="en-US" w:eastAsia="zh-CN" w:bidi="ar"/>
                <w14:textFill>
                  <w14:solidFill>
                    <w14:schemeClr w14:val="tx1"/>
                  </w14:solidFill>
                </w14:textFill>
              </w:rPr>
            </w:pPr>
            <w:r>
              <w:rPr>
                <w:color w:val="000000" w:themeColor="text1"/>
                <w14:textFill>
                  <w14:solidFill>
                    <w14:schemeClr w14:val="tx1"/>
                  </w14:solidFill>
                </w14:textFill>
              </w:rPr>
              <w:drawing>
                <wp:inline distT="0" distB="0" distL="114300" distR="114300">
                  <wp:extent cx="2656840" cy="1808480"/>
                  <wp:effectExtent l="0" t="0" r="10160" b="12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2656840" cy="1808480"/>
                          </a:xfrm>
                          <a:prstGeom prst="rect">
                            <a:avLst/>
                          </a:prstGeom>
                          <a:noFill/>
                          <a:ln>
                            <a:noFill/>
                          </a:ln>
                        </pic:spPr>
                      </pic:pic>
                    </a:graphicData>
                  </a:graphic>
                </wp:inline>
              </w:drawing>
            </w:r>
          </w:p>
        </w:tc>
      </w:tr>
      <w:tr w14:paraId="0166C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7" w:type="dxa"/>
            <w:vAlign w:val="center"/>
          </w:tcPr>
          <w:p w14:paraId="0F8784F7">
            <w:pPr>
              <w:numPr>
                <w:ilvl w:val="0"/>
                <w:numId w:val="0"/>
              </w:numPr>
              <w:jc w:val="center"/>
              <w:rPr>
                <w:rFonts w:hint="default" w:ascii="宋体" w:hAnsi="宋体" w:cs="宋体"/>
                <w:snapToGrid w:val="0"/>
                <w:color w:val="000000" w:themeColor="text1"/>
                <w:kern w:val="0"/>
                <w:sz w:val="24"/>
                <w:szCs w:val="24"/>
                <w:vertAlign w:val="baseline"/>
                <w:lang w:val="en-US" w:eastAsia="zh-CN" w:bidi="ar"/>
                <w14:textFill>
                  <w14:solidFill>
                    <w14:schemeClr w14:val="tx1"/>
                  </w14:solidFill>
                </w14:textFill>
              </w:rPr>
            </w:pPr>
            <w:r>
              <w:rPr>
                <w:rFonts w:hint="eastAsia" w:ascii="宋体" w:hAnsi="宋体" w:cs="宋体"/>
                <w:snapToGrid w:val="0"/>
                <w:color w:val="000000" w:themeColor="text1"/>
                <w:kern w:val="0"/>
                <w:sz w:val="24"/>
                <w:szCs w:val="24"/>
                <w:vertAlign w:val="baseline"/>
                <w:lang w:val="en-US" w:eastAsia="zh-CN" w:bidi="ar"/>
                <w14:textFill>
                  <w14:solidFill>
                    <w14:schemeClr w14:val="tx1"/>
                  </w14:solidFill>
                </w14:textFill>
              </w:rPr>
              <w:t>吹扫出大量粉尘</w:t>
            </w:r>
          </w:p>
        </w:tc>
        <w:tc>
          <w:tcPr>
            <w:tcW w:w="4305" w:type="dxa"/>
            <w:vAlign w:val="center"/>
          </w:tcPr>
          <w:p w14:paraId="6941D407">
            <w:pPr>
              <w:numPr>
                <w:ilvl w:val="0"/>
                <w:numId w:val="0"/>
              </w:numPr>
              <w:jc w:val="center"/>
              <w:rPr>
                <w:rFonts w:hint="default" w:ascii="宋体" w:hAnsi="宋体" w:cs="宋体"/>
                <w:snapToGrid w:val="0"/>
                <w:color w:val="000000" w:themeColor="text1"/>
                <w:kern w:val="0"/>
                <w:sz w:val="24"/>
                <w:szCs w:val="24"/>
                <w:vertAlign w:val="baseline"/>
                <w:lang w:val="en-US" w:eastAsia="zh-CN" w:bidi="ar"/>
                <w14:textFill>
                  <w14:solidFill>
                    <w14:schemeClr w14:val="tx1"/>
                  </w14:solidFill>
                </w14:textFill>
              </w:rPr>
            </w:pPr>
            <w:r>
              <w:rPr>
                <w:rFonts w:hint="eastAsia" w:ascii="宋体" w:hAnsi="宋体" w:cs="宋体"/>
                <w:snapToGrid w:val="0"/>
                <w:color w:val="000000" w:themeColor="text1"/>
                <w:kern w:val="0"/>
                <w:sz w:val="24"/>
                <w:szCs w:val="24"/>
                <w:vertAlign w:val="baseline"/>
                <w:lang w:val="en-US" w:eastAsia="zh-CN" w:bidi="ar"/>
                <w14:textFill>
                  <w14:solidFill>
                    <w14:schemeClr w14:val="tx1"/>
                  </w14:solidFill>
                </w14:textFill>
              </w:rPr>
              <w:t>过滤器被堵塞1</w:t>
            </w:r>
          </w:p>
        </w:tc>
      </w:tr>
      <w:tr w14:paraId="64B90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7" w:type="dxa"/>
            <w:vAlign w:val="center"/>
          </w:tcPr>
          <w:p w14:paraId="1298B1C2">
            <w:pPr>
              <w:numPr>
                <w:ilvl w:val="0"/>
                <w:numId w:val="0"/>
              </w:numPr>
              <w:jc w:val="center"/>
              <w:rPr>
                <w:rFonts w:hint="eastAsia" w:ascii="宋体" w:hAnsi="宋体" w:cs="宋体"/>
                <w:snapToGrid w:val="0"/>
                <w:color w:val="000000" w:themeColor="text1"/>
                <w:kern w:val="0"/>
                <w:sz w:val="28"/>
                <w:szCs w:val="28"/>
                <w:vertAlign w:val="baseline"/>
                <w:lang w:val="en-US" w:eastAsia="zh-CN" w:bidi="ar"/>
                <w14:textFill>
                  <w14:solidFill>
                    <w14:schemeClr w14:val="tx1"/>
                  </w14:solidFill>
                </w14:textFill>
              </w:rPr>
            </w:pPr>
            <w:r>
              <w:rPr>
                <w:color w:val="000000" w:themeColor="text1"/>
                <w14:textFill>
                  <w14:solidFill>
                    <w14:schemeClr w14:val="tx1"/>
                  </w14:solidFill>
                </w14:textFill>
              </w:rPr>
              <w:drawing>
                <wp:inline distT="0" distB="0" distL="114300" distR="114300">
                  <wp:extent cx="2559050" cy="1824990"/>
                  <wp:effectExtent l="0" t="0" r="12700" b="381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8"/>
                          <a:stretch>
                            <a:fillRect/>
                          </a:stretch>
                        </pic:blipFill>
                        <pic:spPr>
                          <a:xfrm>
                            <a:off x="0" y="0"/>
                            <a:ext cx="2559050" cy="1824990"/>
                          </a:xfrm>
                          <a:prstGeom prst="rect">
                            <a:avLst/>
                          </a:prstGeom>
                          <a:noFill/>
                          <a:ln>
                            <a:noFill/>
                          </a:ln>
                        </pic:spPr>
                      </pic:pic>
                    </a:graphicData>
                  </a:graphic>
                </wp:inline>
              </w:drawing>
            </w:r>
          </w:p>
        </w:tc>
        <w:tc>
          <w:tcPr>
            <w:tcW w:w="4305" w:type="dxa"/>
            <w:vAlign w:val="center"/>
          </w:tcPr>
          <w:p w14:paraId="10F0DC79">
            <w:pPr>
              <w:numPr>
                <w:ilvl w:val="0"/>
                <w:numId w:val="0"/>
              </w:numPr>
              <w:jc w:val="center"/>
              <w:rPr>
                <w:rFonts w:hint="eastAsia" w:ascii="宋体" w:hAnsi="宋体" w:cs="宋体"/>
                <w:snapToGrid w:val="0"/>
                <w:color w:val="000000" w:themeColor="text1"/>
                <w:kern w:val="0"/>
                <w:sz w:val="28"/>
                <w:szCs w:val="28"/>
                <w:vertAlign w:val="baseline"/>
                <w:lang w:val="en-US" w:eastAsia="zh-CN" w:bidi="ar"/>
                <w14:textFill>
                  <w14:solidFill>
                    <w14:schemeClr w14:val="tx1"/>
                  </w14:solidFill>
                </w14:textFill>
              </w:rPr>
            </w:pPr>
            <w:r>
              <w:rPr>
                <w:color w:val="000000" w:themeColor="text1"/>
                <w14:textFill>
                  <w14:solidFill>
                    <w14:schemeClr w14:val="tx1"/>
                  </w14:solidFill>
                </w14:textFill>
              </w:rPr>
              <w:drawing>
                <wp:inline distT="0" distB="0" distL="114300" distR="114300">
                  <wp:extent cx="2410460" cy="1900555"/>
                  <wp:effectExtent l="0" t="0" r="8890" b="444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9"/>
                          <a:stretch>
                            <a:fillRect/>
                          </a:stretch>
                        </pic:blipFill>
                        <pic:spPr>
                          <a:xfrm>
                            <a:off x="0" y="0"/>
                            <a:ext cx="2410460" cy="1900555"/>
                          </a:xfrm>
                          <a:prstGeom prst="rect">
                            <a:avLst/>
                          </a:prstGeom>
                          <a:noFill/>
                          <a:ln>
                            <a:noFill/>
                          </a:ln>
                        </pic:spPr>
                      </pic:pic>
                    </a:graphicData>
                  </a:graphic>
                </wp:inline>
              </w:drawing>
            </w:r>
          </w:p>
        </w:tc>
      </w:tr>
      <w:tr w14:paraId="43DD9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7" w:type="dxa"/>
            <w:vAlign w:val="center"/>
          </w:tcPr>
          <w:p w14:paraId="2A52D177">
            <w:pPr>
              <w:numPr>
                <w:ilvl w:val="0"/>
                <w:numId w:val="0"/>
              </w:numPr>
              <w:jc w:val="center"/>
              <w:rPr>
                <w:rFonts w:hint="default" w:ascii="宋体" w:hAnsi="宋体" w:cs="宋体"/>
                <w:snapToGrid w:val="0"/>
                <w:color w:val="000000" w:themeColor="text1"/>
                <w:kern w:val="0"/>
                <w:sz w:val="24"/>
                <w:szCs w:val="24"/>
                <w:vertAlign w:val="baseline"/>
                <w:lang w:val="en-US" w:eastAsia="zh-CN" w:bidi="ar"/>
                <w14:textFill>
                  <w14:solidFill>
                    <w14:schemeClr w14:val="tx1"/>
                  </w14:solidFill>
                </w14:textFill>
              </w:rPr>
            </w:pPr>
            <w:r>
              <w:rPr>
                <w:rFonts w:hint="eastAsia" w:ascii="宋体" w:hAnsi="宋体" w:cs="宋体"/>
                <w:snapToGrid w:val="0"/>
                <w:color w:val="000000" w:themeColor="text1"/>
                <w:kern w:val="0"/>
                <w:sz w:val="24"/>
                <w:szCs w:val="24"/>
                <w:vertAlign w:val="baseline"/>
                <w:lang w:val="en-US" w:eastAsia="zh-CN" w:bidi="ar"/>
                <w14:textFill>
                  <w14:solidFill>
                    <w14:schemeClr w14:val="tx1"/>
                  </w14:solidFill>
                </w14:textFill>
              </w:rPr>
              <w:t>埋地阀门处吹扫出来的粉尘</w:t>
            </w:r>
          </w:p>
        </w:tc>
        <w:tc>
          <w:tcPr>
            <w:tcW w:w="4305" w:type="dxa"/>
            <w:vAlign w:val="center"/>
          </w:tcPr>
          <w:p w14:paraId="4033F005">
            <w:pPr>
              <w:numPr>
                <w:ilvl w:val="0"/>
                <w:numId w:val="0"/>
              </w:numPr>
              <w:jc w:val="center"/>
              <w:rPr>
                <w:rFonts w:hint="default"/>
                <w:color w:val="000000" w:themeColor="text1"/>
                <w:sz w:val="24"/>
                <w:szCs w:val="24"/>
                <w:lang w:val="en-US"/>
                <w14:textFill>
                  <w14:solidFill>
                    <w14:schemeClr w14:val="tx1"/>
                  </w14:solidFill>
                </w14:textFill>
              </w:rPr>
            </w:pPr>
            <w:r>
              <w:rPr>
                <w:rFonts w:hint="eastAsia" w:ascii="宋体" w:hAnsi="宋体" w:cs="宋体"/>
                <w:snapToGrid w:val="0"/>
                <w:color w:val="000000" w:themeColor="text1"/>
                <w:kern w:val="0"/>
                <w:sz w:val="24"/>
                <w:szCs w:val="24"/>
                <w:vertAlign w:val="baseline"/>
                <w:lang w:val="en-US" w:eastAsia="zh-CN" w:bidi="ar"/>
                <w14:textFill>
                  <w14:solidFill>
                    <w14:schemeClr w14:val="tx1"/>
                  </w14:solidFill>
                </w14:textFill>
              </w:rPr>
              <w:t>过滤器被堵塞2</w:t>
            </w:r>
          </w:p>
        </w:tc>
      </w:tr>
    </w:tbl>
    <w:p w14:paraId="67EF7566">
      <w:pPr>
        <w:keepNext w:val="0"/>
        <w:keepLines w:val="0"/>
        <w:pageBreakBefore w:val="0"/>
        <w:numPr>
          <w:ilvl w:val="0"/>
          <w:numId w:val="0"/>
        </w:numPr>
        <w:kinsoku/>
        <w:wordWrap/>
        <w:overflowPunct/>
        <w:topLinePunct w:val="0"/>
        <w:autoSpaceDE/>
        <w:autoSpaceDN/>
        <w:bidi w:val="0"/>
        <w:adjustRightInd/>
        <w:snapToGrid/>
        <w:spacing w:line="480" w:lineRule="exact"/>
        <w:textAlignment w:val="auto"/>
        <w:rPr>
          <w:rFonts w:hint="eastAsia" w:ascii="宋体" w:hAnsi="宋体" w:cs="宋体"/>
          <w:snapToGrid w:val="0"/>
          <w:color w:val="000000" w:themeColor="text1"/>
          <w:kern w:val="0"/>
          <w:sz w:val="28"/>
          <w:szCs w:val="28"/>
          <w:lang w:val="en-US" w:eastAsia="zh-CN" w:bidi="ar"/>
          <w14:textFill>
            <w14:solidFill>
              <w14:schemeClr w14:val="tx1"/>
            </w14:solidFill>
          </w14:textFill>
        </w:rPr>
      </w:pPr>
    </w:p>
    <w:p w14:paraId="1FF6FFA5">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640" w:firstLineChars="200"/>
        <w:textAlignment w:val="auto"/>
        <w:rPr>
          <w:rFonts w:hint="eastAsia" w:ascii="黑体" w:hAnsi="黑体" w:eastAsia="黑体" w:cs="黑体"/>
          <w:b w:val="0"/>
          <w:bCs w:val="0"/>
          <w:color w:val="000000" w:themeColor="text1"/>
          <w:sz w:val="32"/>
          <w:szCs w:val="32"/>
          <w:highlight w:val="none"/>
          <w14:textFill>
            <w14:solidFill>
              <w14:schemeClr w14:val="tx1"/>
            </w14:solidFill>
          </w14:textFill>
        </w:rPr>
      </w:pPr>
      <w:r>
        <w:rPr>
          <w:rFonts w:hint="eastAsia" w:ascii="黑体" w:hAnsi="黑体" w:eastAsia="黑体" w:cs="黑体"/>
          <w:b w:val="0"/>
          <w:bCs w:val="0"/>
          <w:snapToGrid w:val="0"/>
          <w:color w:val="000000" w:themeColor="text1"/>
          <w:kern w:val="0"/>
          <w:sz w:val="32"/>
          <w:szCs w:val="32"/>
          <w:lang w:val="en-US" w:eastAsia="zh-CN" w:bidi="ar"/>
          <w14:textFill>
            <w14:solidFill>
              <w14:schemeClr w14:val="tx1"/>
            </w14:solidFill>
          </w14:textFill>
        </w:rPr>
        <w:t>三、</w:t>
      </w:r>
      <w:r>
        <w:rPr>
          <w:rFonts w:hint="eastAsia" w:ascii="黑体" w:hAnsi="黑体" w:eastAsia="黑体" w:cs="黑体"/>
          <w:b w:val="0"/>
          <w:bCs w:val="0"/>
          <w:color w:val="000000" w:themeColor="text1"/>
          <w:sz w:val="32"/>
          <w:szCs w:val="32"/>
          <w:highlight w:val="none"/>
          <w14:textFill>
            <w14:solidFill>
              <w14:schemeClr w14:val="tx1"/>
            </w14:solidFill>
          </w14:textFill>
        </w:rPr>
        <w:t>事件调查</w:t>
      </w:r>
    </w:p>
    <w:p w14:paraId="4566FECA">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3" w:firstLineChars="200"/>
        <w:textAlignment w:val="auto"/>
        <w:outlineLvl w:val="0"/>
        <w:rPr>
          <w:rFonts w:hint="eastAsia" w:ascii="楷体" w:hAnsi="楷体" w:eastAsia="楷体" w:cs="楷体"/>
          <w:b/>
          <w:bCs/>
          <w:snapToGrid w:val="0"/>
          <w:color w:val="000000" w:themeColor="text1"/>
          <w:kern w:val="0"/>
          <w:sz w:val="32"/>
          <w:szCs w:val="32"/>
          <w:lang w:val="en-US" w:eastAsia="zh-CN" w:bidi="ar"/>
          <w14:textFill>
            <w14:solidFill>
              <w14:schemeClr w14:val="tx1"/>
            </w14:solidFill>
          </w14:textFill>
        </w:rPr>
      </w:pPr>
      <w:r>
        <w:rPr>
          <w:rFonts w:hint="eastAsia" w:ascii="楷体" w:hAnsi="楷体" w:eastAsia="楷体" w:cs="楷体"/>
          <w:b/>
          <w:bCs/>
          <w:snapToGrid w:val="0"/>
          <w:color w:val="000000" w:themeColor="text1"/>
          <w:kern w:val="0"/>
          <w:sz w:val="32"/>
          <w:szCs w:val="32"/>
          <w:lang w:val="en-US" w:eastAsia="zh-CN" w:bidi="ar"/>
          <w14:textFill>
            <w14:solidFill>
              <w14:schemeClr w14:val="tx1"/>
            </w14:solidFill>
          </w14:textFill>
        </w:rPr>
        <w:t>（一）生命线项目基本情况</w:t>
      </w:r>
    </w:p>
    <w:p w14:paraId="3C5771B0">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该带气作业隶属于《南宁市燃气管网生命线改造一期工程》项目。该项目发包方为南宁市地下管网和水务中心，监理单位为广西益建工程建设监理有限责任公司，由重庆市川东燃气工程设计研究院与广西富林建设集团有限公司联合中标，具体施工单位为南宁晨宏建设工程有限公司。项目现场负责人为项目经理杨胜华，项目主管为陈文涛。</w:t>
      </w:r>
    </w:p>
    <w:p w14:paraId="184D2DCC">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项目主要建设内容包括：对城市燃气管网重要节点共230处钢阀进行升级改造，加装智能远程控制设备（涉及燃气中压管道，压力值小于0.4MPa）；在城市燃气管网重要节点增设智能监测设备共计6690套，其中用于泄漏、压力、流量、阴极保护及加臭监测的设备中，涉及燃气中压管道（压力小于0.4MPa）的1220套，涉及燃气低压管道（压力小于10kPa）的20套，其余设备不涉及燃气管道。</w:t>
      </w:r>
    </w:p>
    <w:p w14:paraId="7C219773">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目前，施工单位南宁晨宏建设工程有限公司由南宁中燃城市燃气发展有限公司（以下简称“南宁中燃”）履行监管职责。</w:t>
      </w:r>
    </w:p>
    <w:p w14:paraId="3B938B79">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3" w:firstLineChars="200"/>
        <w:textAlignment w:val="auto"/>
        <w:outlineLvl w:val="0"/>
        <w:rPr>
          <w:rFonts w:hint="eastAsia" w:ascii="楷体" w:hAnsi="楷体" w:eastAsia="楷体" w:cs="楷体"/>
          <w:b/>
          <w:bCs/>
          <w:snapToGrid w:val="0"/>
          <w:color w:val="000000" w:themeColor="text1"/>
          <w:kern w:val="0"/>
          <w:sz w:val="32"/>
          <w:szCs w:val="32"/>
          <w:lang w:val="en-US" w:eastAsia="zh-CN" w:bidi="ar"/>
          <w14:textFill>
            <w14:solidFill>
              <w14:schemeClr w14:val="tx1"/>
            </w14:solidFill>
          </w14:textFill>
        </w:rPr>
      </w:pPr>
      <w:r>
        <w:rPr>
          <w:rFonts w:hint="eastAsia" w:ascii="楷体" w:hAnsi="楷体" w:eastAsia="楷体" w:cs="楷体"/>
          <w:b/>
          <w:bCs/>
          <w:snapToGrid w:val="0"/>
          <w:color w:val="000000" w:themeColor="text1"/>
          <w:kern w:val="0"/>
          <w:sz w:val="32"/>
          <w:szCs w:val="32"/>
          <w:lang w:val="en-US" w:eastAsia="zh-CN" w:bidi="ar"/>
          <w14:textFill>
            <w14:solidFill>
              <w14:schemeClr w14:val="tx1"/>
            </w14:solidFill>
          </w14:textFill>
        </w:rPr>
        <w:t>（二）涉事带气作业概况</w:t>
      </w:r>
    </w:p>
    <w:p w14:paraId="300530B4">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带气作业名称：《带气作业--南宁市燃气管网生命线改造一期工程（PE阀HZH03a/90换阀》</w:t>
      </w:r>
    </w:p>
    <w:p w14:paraId="1396CC5E">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作业时间：2025年12月28日23时00分至29日04时30分</w:t>
      </w:r>
    </w:p>
    <w:p w14:paraId="581795D2">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带气方案发起人：陈进强（南宁中燃生产运营部青秀管网所）</w:t>
      </w:r>
    </w:p>
    <w:p w14:paraId="352CD119">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带气方案实际草拟人：莫广信（南宁晨宏施工员）</w:t>
      </w:r>
    </w:p>
    <w:p w14:paraId="594E07EB">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带气方案停气协调人：李佳洋（南宁中燃借调南宁晨宏）</w:t>
      </w:r>
    </w:p>
    <w:p w14:paraId="40D68EA8">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jc w:val="distribute"/>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带气作业停供气人员：农天宝、曾秦伟（南宁中燃生产运营部青秀管网所)崔君（南宁中燃客户服务部青秀南服务站）</w:t>
      </w:r>
    </w:p>
    <w:p w14:paraId="684746DD">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带气作业现场负责人：谭飞（南宁晨宏施工员）</w:t>
      </w:r>
    </w:p>
    <w:p w14:paraId="1FAA0877">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带气作业施工队伍：南宁晨宏陈万家队</w:t>
      </w:r>
    </w:p>
    <w:p w14:paraId="5B918351">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青秀管网所所长：谢源</w:t>
      </w:r>
    </w:p>
    <w:p w14:paraId="1188BA38">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青秀管网所班长：曾祥合</w:t>
      </w:r>
    </w:p>
    <w:p w14:paraId="2730870C">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青秀管网所维修员：农天宝、曾秦伟、李伟福、黎乔元</w:t>
      </w:r>
    </w:p>
    <w:p w14:paraId="0196C203">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青秀南服务站站长：陆锦</w:t>
      </w:r>
    </w:p>
    <w:p w14:paraId="6CADC646">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青秀南服务站网格长：崔君</w:t>
      </w:r>
    </w:p>
    <w:p w14:paraId="7751327A">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当日调度中心值班人员：莫凯  陆曦</w:t>
      </w:r>
    </w:p>
    <w:p w14:paraId="2FBFCD3C">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本次带气作业内容为：在会展路原PE90阀门（编号HZH03a90）处，更换为具备远程传输与控制功能的智能阀门。作业涉及关闭阀门编号HZH05B 110、HZH03 63、QSH28 110三处阀门。作业共影响居民用户1134户、工商用户41户。计划施工时间为2025年12月28日23时00分至29日04时30分，实际于29日01时30分完工，较原计划提前约3小时。施工作业由南宁晨宏建设工程有限公司陈万家队具体实施，现场施工负责人为谭飞。</w:t>
      </w:r>
    </w:p>
    <w:p w14:paraId="3AAE5770">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3" w:firstLineChars="200"/>
        <w:textAlignment w:val="auto"/>
        <w:outlineLvl w:val="0"/>
        <w:rPr>
          <w:rFonts w:hint="eastAsia" w:ascii="楷体" w:hAnsi="楷体" w:eastAsia="楷体" w:cs="楷体"/>
          <w:b/>
          <w:bCs/>
          <w:snapToGrid w:val="0"/>
          <w:color w:val="000000" w:themeColor="text1"/>
          <w:kern w:val="0"/>
          <w:sz w:val="32"/>
          <w:szCs w:val="32"/>
          <w:lang w:val="en-US" w:eastAsia="zh-CN" w:bidi="ar"/>
          <w14:textFill>
            <w14:solidFill>
              <w14:schemeClr w14:val="tx1"/>
            </w14:solidFill>
          </w14:textFill>
        </w:rPr>
      </w:pPr>
      <w:r>
        <w:rPr>
          <w:rFonts w:hint="eastAsia" w:ascii="楷体" w:hAnsi="楷体" w:eastAsia="楷体" w:cs="楷体"/>
          <w:b/>
          <w:bCs/>
          <w:snapToGrid w:val="0"/>
          <w:color w:val="000000" w:themeColor="text1"/>
          <w:kern w:val="0"/>
          <w:sz w:val="32"/>
          <w:szCs w:val="32"/>
          <w:lang w:val="en-US" w:eastAsia="zh-CN" w:bidi="ar"/>
          <w14:textFill>
            <w14:solidFill>
              <w14:schemeClr w14:val="tx1"/>
            </w14:solidFill>
          </w14:textFill>
        </w:rPr>
        <w:t>（三）事件时间线</w:t>
      </w:r>
    </w:p>
    <w:p w14:paraId="2A304782">
      <w:pPr>
        <w:keepNext w:val="0"/>
        <w:keepLines w:val="0"/>
        <w:pageBreakBefore w:val="0"/>
        <w:widowControl/>
        <w:suppressLineNumbers w:val="0"/>
        <w:kinsoku/>
        <w:wordWrap/>
        <w:overflowPunct/>
        <w:topLinePunct w:val="0"/>
        <w:autoSpaceDE/>
        <w:autoSpaceDN/>
        <w:bidi w:val="0"/>
        <w:adjustRightInd/>
        <w:snapToGrid/>
        <w:spacing w:line="480" w:lineRule="exact"/>
        <w:ind w:firstLine="640" w:firstLineChars="200"/>
        <w:jc w:val="left"/>
        <w:textAlignment w:val="auto"/>
        <w:rPr>
          <w:rFonts w:hint="eastAsia" w:ascii="仿宋" w:hAnsi="仿宋" w:eastAsia="仿宋" w:cs="仿宋"/>
          <w:color w:val="000000" w:themeColor="text1"/>
          <w:sz w:val="32"/>
          <w:szCs w:val="32"/>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12月28日23时00分，施工开始</w:t>
      </w:r>
    </w:p>
    <w:p w14:paraId="4045C935">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12月29日01时30分，施工完成</w:t>
      </w:r>
    </w:p>
    <w:p w14:paraId="3DDF5286">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12月29日02时31分，埋地管恢复供气</w:t>
      </w:r>
    </w:p>
    <w:p w14:paraId="53123627">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12月29日07时48分，小区恢复供气</w:t>
      </w:r>
    </w:p>
    <w:p w14:paraId="61759C76">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12月29日08时15分，青湖消防站报无法用气</w:t>
      </w:r>
    </w:p>
    <w:p w14:paraId="6F000622">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12月29日08时30分，客服部苏日凡通知运营部曾祥合联合排查</w:t>
      </w:r>
    </w:p>
    <w:p w14:paraId="791C2932">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12月29日09时07分，运营部曾祥合询问调度中心dn63支管阀门远程控制功能，并报告青秀小区用气异常</w:t>
      </w:r>
    </w:p>
    <w:p w14:paraId="6686EA2B">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12月29日10时12分：客服部崔君向运营部谢源提出需启动临时供气</w:t>
      </w:r>
    </w:p>
    <w:p w14:paraId="3D09AA09">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10时47分，运营部反馈临时供气设备无法于午前送达。针对此情况，客服部立即采取了应对措施，派遣员工在附近寻找罐装气企业。然而，该搜寻方式存在不足，仅依靠人工沿街查找，未能有效利用电子地图或网络信息平台，导致搜寻效率低下，最终未能找到合适的罐装气单位。作为并行方案，现场协调决定，拟使用存放在青秀管网所的液化气瓶，对青秀小区食堂实施临时供气，以保障其中午的用气需求。</w:t>
      </w:r>
    </w:p>
    <w:p w14:paraId="19DC7772">
      <w:pPr>
        <w:keepNext w:val="0"/>
        <w:keepLines w:val="0"/>
        <w:pageBreakBefore w:val="0"/>
        <w:widowControl/>
        <w:suppressLineNumbers w:val="0"/>
        <w:kinsoku/>
        <w:wordWrap/>
        <w:overflowPunct/>
        <w:topLinePunct w:val="0"/>
        <w:autoSpaceDE/>
        <w:autoSpaceDN/>
        <w:bidi w:val="0"/>
        <w:adjustRightInd/>
        <w:snapToGrid/>
        <w:spacing w:line="480" w:lineRule="exact"/>
        <w:ind w:firstLine="640" w:firstLineChars="200"/>
        <w:jc w:val="left"/>
        <w:textAlignment w:val="auto"/>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12月29日11时07分，电子客服接到青秀小区31号无法用气反馈</w:t>
      </w:r>
    </w:p>
    <w:p w14:paraId="0D359404">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12月29日11时12分，客服部陆锦电话汇报分管领导谢光劼、叶慧成，调度中心启动应急群组并上报部门经理韦荣梁、黄崧宸</w:t>
      </w:r>
    </w:p>
    <w:p w14:paraId="4C738567">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12月29日11时28分，调度通知电子客服发送停气短信</w:t>
      </w:r>
    </w:p>
    <w:p w14:paraId="1FDE3BCD">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12月29日11时44分：叶慧成向李旭总电话汇报了停气事件，并请示协调LPG（液化石油气）气源。接到汇报后，李旭总立即协调三燃公司，要求优先配送液化气瓶以保障青秀小区食堂的紧急用气。</w:t>
      </w:r>
    </w:p>
    <w:p w14:paraId="62168175">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12月29日11时50分，运营部李伟福、黎乔元接到指令携带临供设备到场临供，但仅携带减压阀与软管到场，未带气瓶</w:t>
      </w:r>
    </w:p>
    <w:p w14:paraId="5C0D158B">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12月29日12时25分，运营部人员携气瓶返回，三燃公司气瓶同时抵达</w:t>
      </w:r>
    </w:p>
    <w:p w14:paraId="0A41161B">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12月29日12时31分，青秀小区食堂完成临时供气</w:t>
      </w:r>
    </w:p>
    <w:p w14:paraId="476613C6">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12月29日13时30分，李旭总、黄泽青经理到达现场</w:t>
      </w:r>
    </w:p>
    <w:p w14:paraId="37A1D678">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12月29日14时10分，黄崧宸经理到达现场</w:t>
      </w:r>
    </w:p>
    <w:p w14:paraId="7EADE886">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12月29日14时26分，确认管道内粉尘堵塞导致供气异常</w:t>
      </w:r>
    </w:p>
    <w:p w14:paraId="63FF546A">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12月29日15时05分，吹扫过程中因堵塞无法升压，拆除青秀小区调压器发现过滤器严重堵塞</w:t>
      </w:r>
    </w:p>
    <w:p w14:paraId="6ED9CDD2">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12月29日17时00分，对青秀小区中压端进行吹扫</w:t>
      </w:r>
    </w:p>
    <w:p w14:paraId="26EB55AF">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12月29日18时06分，启用临时供气车对青秀小区单独供气</w:t>
      </w:r>
    </w:p>
    <w:p w14:paraId="46581909">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12月29日19时14分，南宁军分区青山住宅、壁秀苑、青湖消防站恢复市政供气</w:t>
      </w:r>
    </w:p>
    <w:p w14:paraId="21B822C2">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12月29日23时00分，完成青秀小区调压器安装，恢复市政供气，撤除临供设备</w:t>
      </w:r>
    </w:p>
    <w:p w14:paraId="239AAA58">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3" w:firstLineChars="200"/>
        <w:textAlignment w:val="auto"/>
        <w:outlineLvl w:val="0"/>
        <w:rPr>
          <w:rFonts w:hint="eastAsia" w:ascii="楷体" w:hAnsi="楷体" w:eastAsia="楷体" w:cs="楷体"/>
          <w:b/>
          <w:bCs/>
          <w:snapToGrid w:val="0"/>
          <w:color w:val="000000" w:themeColor="text1"/>
          <w:kern w:val="0"/>
          <w:sz w:val="32"/>
          <w:szCs w:val="32"/>
          <w:lang w:val="en-US" w:eastAsia="zh-CN" w:bidi="ar"/>
          <w14:textFill>
            <w14:solidFill>
              <w14:schemeClr w14:val="tx1"/>
            </w14:solidFill>
          </w14:textFill>
        </w:rPr>
      </w:pPr>
      <w:r>
        <w:rPr>
          <w:rFonts w:hint="eastAsia" w:ascii="楷体" w:hAnsi="楷体" w:eastAsia="楷体" w:cs="楷体"/>
          <w:b/>
          <w:bCs/>
          <w:snapToGrid w:val="0"/>
          <w:color w:val="000000" w:themeColor="text1"/>
          <w:kern w:val="0"/>
          <w:sz w:val="32"/>
          <w:szCs w:val="32"/>
          <w:lang w:val="en-US" w:eastAsia="zh-CN" w:bidi="ar"/>
          <w14:textFill>
            <w14:solidFill>
              <w14:schemeClr w14:val="tx1"/>
            </w14:solidFill>
          </w14:textFill>
        </w:rPr>
        <w:t>（四）引起延期供气的原因</w:t>
      </w:r>
    </w:p>
    <w:p w14:paraId="6C589399">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1.带气作业方案存在缺陷，审批流程不严</w:t>
      </w:r>
    </w:p>
    <w:p w14:paraId="68E83B8B">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政治敏感性不足，青秀南服务站站长陆锦虽在方案制定阶段提示青秀小区敏感性，要求制定临供方案，但方案协调人李佳洋未能充分重视，亦未编制相应预案。各审批环节负责人亦未严格审核，未能识别方案缺陷，导致审批通过。</w:t>
      </w:r>
    </w:p>
    <w:p w14:paraId="7458652A">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2.放散与置换作业执行不到位，异常信息未上报</w:t>
      </w:r>
    </w:p>
    <w:p w14:paraId="77F20CFE">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运营部停供气人员农天宝、曾秦伟在作业完成后仅对新装阀门进行置换，未根据职责要求到管网末端（调压器）进行置换作业。在08时30分接到异常情况排查过程中仅注重现场排查动作，未及时上报异常信息，错失早期处置时机。</w:t>
      </w:r>
    </w:p>
    <w:p w14:paraId="56F203D8">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3.现场信息报送迟滞，应急响应滞后</w:t>
      </w:r>
    </w:p>
    <w:p w14:paraId="4F17A109">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自08时30分客服与运营人员抵达现场排查，至11时12分才向分管领导汇报，期间超过2小时未上报进展，未能形成有效指挥。调度中心在09时07分接到异常报告后，未能识别事件敏感性与紧急性，未及时跟进并提级管理，导致中层管理人员未能及时介入。</w:t>
      </w:r>
    </w:p>
    <w:p w14:paraId="4846155A">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4.临时供气协调不力，执行落实不到位</w:t>
      </w:r>
    </w:p>
    <w:p w14:paraId="3EB466D0">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为保障青秀小区食堂中午接待任务，运营部安排取用管网所液化气瓶临时供气，并请示李旭总协调三燃公司支援后续气源供应。但运营部人员李伟福、黎乔元执行过程中遗漏携带气瓶，导致延误保供时机，引起用户不满。</w:t>
      </w:r>
    </w:p>
    <w:p w14:paraId="2DD15F92">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5.缺乏重点小区停气专项管理机制</w:t>
      </w:r>
    </w:p>
    <w:p w14:paraId="3E945304">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公司尚未建立针对重点敏感小区的停气专项管理机制，缺乏配套的应急响应程序与资源调配预案，导致本次事件响应效率不足。</w:t>
      </w:r>
    </w:p>
    <w:p w14:paraId="5274DFC5">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3" w:firstLineChars="200"/>
        <w:textAlignment w:val="auto"/>
        <w:outlineLvl w:val="0"/>
        <w:rPr>
          <w:rFonts w:hint="eastAsia" w:ascii="楷体" w:hAnsi="楷体" w:eastAsia="楷体" w:cs="楷体"/>
          <w:b/>
          <w:bCs/>
          <w:snapToGrid w:val="0"/>
          <w:color w:val="000000" w:themeColor="text1"/>
          <w:kern w:val="0"/>
          <w:sz w:val="32"/>
          <w:szCs w:val="32"/>
          <w:lang w:val="en-US" w:eastAsia="zh-CN" w:bidi="ar"/>
          <w14:textFill>
            <w14:solidFill>
              <w14:schemeClr w14:val="tx1"/>
            </w14:solidFill>
          </w14:textFill>
        </w:rPr>
      </w:pPr>
      <w:r>
        <w:rPr>
          <w:rFonts w:hint="eastAsia" w:ascii="楷体" w:hAnsi="楷体" w:eastAsia="楷体" w:cs="楷体"/>
          <w:b/>
          <w:bCs/>
          <w:snapToGrid w:val="0"/>
          <w:color w:val="000000" w:themeColor="text1"/>
          <w:kern w:val="0"/>
          <w:sz w:val="32"/>
          <w:szCs w:val="32"/>
          <w:lang w:val="en-US" w:eastAsia="zh-CN" w:bidi="ar"/>
          <w14:textFill>
            <w14:solidFill>
              <w14:schemeClr w14:val="tx1"/>
            </w14:solidFill>
          </w14:textFill>
        </w:rPr>
        <w:t>（五）引起管道堵塞的原因</w:t>
      </w:r>
    </w:p>
    <w:p w14:paraId="7CEDCB87">
      <w:pPr>
        <w:keepNext w:val="0"/>
        <w:keepLines w:val="0"/>
        <w:pageBreakBefore w:val="0"/>
        <w:widowControl w:val="0"/>
        <w:kinsoku/>
        <w:wordWrap/>
        <w:overflowPunct/>
        <w:topLinePunct w:val="0"/>
        <w:autoSpaceDE/>
        <w:autoSpaceDN/>
        <w:bidi w:val="0"/>
        <w:adjustRightInd/>
        <w:snapToGrid/>
        <w:spacing w:before="157" w:beforeLines="50" w:after="157" w:afterLines="50" w:line="480" w:lineRule="exact"/>
        <w:ind w:firstLine="640" w:firstLineChars="200"/>
        <w:textAlignment w:val="auto"/>
        <w:outlineLvl w:val="0"/>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根据现有信息推断，涉事dn63管道管径小于周边管道，燃气流速较高，在管网前后端压差作用下易引流周边管道内杂质聚集。在正常供气状态下，杂质随气流流动不易聚集；当阀门关闭后，压力变化导致杂质向该管道汇集，形成堵塞。目前已提取堵塞物样品，正在进行成分分析，后续将根据检测结果进一步明确成因。</w:t>
      </w:r>
    </w:p>
    <w:p w14:paraId="15E933C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80" w:lineRule="exact"/>
        <w:ind w:firstLine="643" w:firstLineChars="200"/>
        <w:textAlignment w:val="auto"/>
        <w:rPr>
          <w:rFonts w:hint="eastAsia" w:ascii="楷体" w:hAnsi="楷体" w:eastAsia="楷体" w:cs="楷体"/>
          <w:b/>
          <w:bCs/>
          <w:snapToGrid w:val="0"/>
          <w:color w:val="000000" w:themeColor="text1"/>
          <w:kern w:val="0"/>
          <w:sz w:val="32"/>
          <w:szCs w:val="32"/>
          <w:lang w:val="en-US" w:eastAsia="zh-CN" w:bidi="ar"/>
          <w14:textFill>
            <w14:solidFill>
              <w14:schemeClr w14:val="tx1"/>
            </w14:solidFill>
          </w14:textFill>
        </w:rPr>
      </w:pPr>
      <w:r>
        <w:rPr>
          <w:rFonts w:hint="eastAsia" w:ascii="楷体" w:hAnsi="楷体" w:eastAsia="楷体" w:cs="楷体"/>
          <w:b/>
          <w:bCs/>
          <w:snapToGrid w:val="0"/>
          <w:color w:val="000000" w:themeColor="text1"/>
          <w:kern w:val="0"/>
          <w:sz w:val="32"/>
          <w:szCs w:val="32"/>
          <w:lang w:val="en-US" w:eastAsia="zh-CN" w:bidi="ar"/>
          <w14:textFill>
            <w14:solidFill>
              <w14:schemeClr w14:val="tx1"/>
            </w14:solidFill>
          </w14:textFill>
        </w:rPr>
        <w:t>（六）情况总结</w:t>
      </w:r>
    </w:p>
    <w:p w14:paraId="494F04A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80" w:lineRule="exact"/>
        <w:ind w:right="0" w:firstLine="640" w:firstLineChars="200"/>
        <w:textAlignment w:val="auto"/>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本次青秀小区延期供气事件，暴露出公司在带气作业方案管理、现场作业执行、信息报送机制、应急资源调配及重点用户保障等方面存在短板。</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6"/>
        <w:gridCol w:w="4246"/>
      </w:tblGrid>
      <w:tr w14:paraId="34C17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610368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right="0"/>
              <w:textAlignment w:val="auto"/>
              <w:rPr>
                <w:rFonts w:hint="eastAsia" w:ascii="仿宋" w:hAnsi="仿宋" w:eastAsia="仿宋" w:cs="仿宋"/>
                <w:snapToGrid w:val="0"/>
                <w:color w:val="000000" w:themeColor="text1"/>
                <w:kern w:val="0"/>
                <w:sz w:val="32"/>
                <w:szCs w:val="32"/>
                <w:vertAlign w:val="baseline"/>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vertAlign w:val="baseline"/>
                <w:lang w:val="en-US" w:eastAsia="zh-CN" w:bidi="ar"/>
                <w14:textFill>
                  <w14:solidFill>
                    <w14:schemeClr w14:val="tx1"/>
                  </w14:solidFill>
                </w14:textFill>
              </w:rPr>
              <w:drawing>
                <wp:inline distT="0" distB="0" distL="114300" distR="114300">
                  <wp:extent cx="2588260" cy="2122170"/>
                  <wp:effectExtent l="0" t="0" r="2540" b="11430"/>
                  <wp:docPr id="5" name="图片 5" descr="aa040e57fcff1019571ab8111e7cd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a040e57fcff1019571ab8111e7cd4ee"/>
                          <pic:cNvPicPr>
                            <a:picLocks noChangeAspect="1"/>
                          </pic:cNvPicPr>
                        </pic:nvPicPr>
                        <pic:blipFill>
                          <a:blip r:embed="rId10"/>
                          <a:stretch>
                            <a:fillRect/>
                          </a:stretch>
                        </pic:blipFill>
                        <pic:spPr>
                          <a:xfrm>
                            <a:off x="0" y="0"/>
                            <a:ext cx="2588260" cy="2122170"/>
                          </a:xfrm>
                          <a:prstGeom prst="rect">
                            <a:avLst/>
                          </a:prstGeom>
                        </pic:spPr>
                      </pic:pic>
                    </a:graphicData>
                  </a:graphic>
                </wp:inline>
              </w:drawing>
            </w:r>
          </w:p>
        </w:tc>
        <w:tc>
          <w:tcPr>
            <w:tcW w:w="4261" w:type="dxa"/>
          </w:tcPr>
          <w:p w14:paraId="5204489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right="0"/>
              <w:textAlignment w:val="auto"/>
              <w:rPr>
                <w:rFonts w:hint="eastAsia" w:ascii="仿宋" w:hAnsi="仿宋" w:eastAsia="仿宋" w:cs="仿宋"/>
                <w:snapToGrid w:val="0"/>
                <w:color w:val="000000" w:themeColor="text1"/>
                <w:kern w:val="0"/>
                <w:sz w:val="32"/>
                <w:szCs w:val="32"/>
                <w:vertAlign w:val="baseline"/>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vertAlign w:val="baseline"/>
                <w:lang w:val="en-US" w:eastAsia="zh-CN" w:bidi="ar"/>
                <w14:textFill>
                  <w14:solidFill>
                    <w14:schemeClr w14:val="tx1"/>
                  </w14:solidFill>
                </w14:textFill>
              </w:rPr>
              <w:drawing>
                <wp:inline distT="0" distB="0" distL="114300" distR="114300">
                  <wp:extent cx="2571115" cy="2092325"/>
                  <wp:effectExtent l="0" t="0" r="635" b="3175"/>
                  <wp:docPr id="6" name="图片 6" descr="d9c4df464d166908a6af4d9786e44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9c4df464d166908a6af4d9786e4473c"/>
                          <pic:cNvPicPr>
                            <a:picLocks noChangeAspect="1"/>
                          </pic:cNvPicPr>
                        </pic:nvPicPr>
                        <pic:blipFill>
                          <a:blip r:embed="rId11"/>
                          <a:stretch>
                            <a:fillRect/>
                          </a:stretch>
                        </pic:blipFill>
                        <pic:spPr>
                          <a:xfrm>
                            <a:off x="0" y="0"/>
                            <a:ext cx="2571115" cy="2092325"/>
                          </a:xfrm>
                          <a:prstGeom prst="rect">
                            <a:avLst/>
                          </a:prstGeom>
                        </pic:spPr>
                      </pic:pic>
                    </a:graphicData>
                  </a:graphic>
                </wp:inline>
              </w:drawing>
            </w:r>
          </w:p>
        </w:tc>
      </w:tr>
      <w:tr w14:paraId="6777F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EEBC16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right="0"/>
              <w:jc w:val="center"/>
              <w:textAlignment w:val="auto"/>
              <w:rPr>
                <w:rFonts w:hint="eastAsia" w:ascii="仿宋" w:hAnsi="仿宋" w:eastAsia="仿宋" w:cs="仿宋"/>
                <w:snapToGrid w:val="0"/>
                <w:color w:val="000000" w:themeColor="text1"/>
                <w:kern w:val="0"/>
                <w:sz w:val="32"/>
                <w:szCs w:val="32"/>
                <w:vertAlign w:val="baseline"/>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vertAlign w:val="baseline"/>
                <w:lang w:val="en-US" w:eastAsia="zh-CN" w:bidi="ar"/>
                <w14:textFill>
                  <w14:solidFill>
                    <w14:schemeClr w14:val="tx1"/>
                  </w14:solidFill>
                </w14:textFill>
              </w:rPr>
              <w:t>临供车临供</w:t>
            </w:r>
          </w:p>
        </w:tc>
      </w:tr>
      <w:tr w14:paraId="07B77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1FFEB7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right="0"/>
              <w:textAlignment w:val="auto"/>
              <w:rPr>
                <w:rFonts w:hint="eastAsia" w:ascii="仿宋" w:hAnsi="仿宋" w:eastAsia="仿宋" w:cs="仿宋"/>
                <w:snapToGrid w:val="0"/>
                <w:color w:val="000000" w:themeColor="text1"/>
                <w:kern w:val="0"/>
                <w:sz w:val="32"/>
                <w:szCs w:val="32"/>
                <w:vertAlign w:val="baseline"/>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vertAlign w:val="baseline"/>
                <w:lang w:val="en-US" w:eastAsia="zh-CN" w:bidi="ar"/>
                <w14:textFill>
                  <w14:solidFill>
                    <w14:schemeClr w14:val="tx1"/>
                  </w14:solidFill>
                </w14:textFill>
              </w:rPr>
              <w:drawing>
                <wp:inline distT="0" distB="0" distL="114300" distR="114300">
                  <wp:extent cx="2590165" cy="1945005"/>
                  <wp:effectExtent l="0" t="0" r="635" b="17145"/>
                  <wp:docPr id="7" name="图片 7" descr="812504fc636ba7e0fc8b7c1b434f91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12504fc636ba7e0fc8b7c1b434f91f2"/>
                          <pic:cNvPicPr>
                            <a:picLocks noChangeAspect="1"/>
                          </pic:cNvPicPr>
                        </pic:nvPicPr>
                        <pic:blipFill>
                          <a:blip r:embed="rId12"/>
                          <a:stretch>
                            <a:fillRect/>
                          </a:stretch>
                        </pic:blipFill>
                        <pic:spPr>
                          <a:xfrm>
                            <a:off x="0" y="0"/>
                            <a:ext cx="2590165" cy="1945005"/>
                          </a:xfrm>
                          <a:prstGeom prst="rect">
                            <a:avLst/>
                          </a:prstGeom>
                        </pic:spPr>
                      </pic:pic>
                    </a:graphicData>
                  </a:graphic>
                </wp:inline>
              </w:drawing>
            </w:r>
          </w:p>
        </w:tc>
        <w:tc>
          <w:tcPr>
            <w:tcW w:w="4261" w:type="dxa"/>
          </w:tcPr>
          <w:p w14:paraId="355E61B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right="0"/>
              <w:textAlignment w:val="auto"/>
              <w:rPr>
                <w:rFonts w:hint="eastAsia" w:ascii="仿宋" w:hAnsi="仿宋" w:eastAsia="仿宋" w:cs="仿宋"/>
                <w:snapToGrid w:val="0"/>
                <w:color w:val="000000" w:themeColor="text1"/>
                <w:kern w:val="0"/>
                <w:sz w:val="32"/>
                <w:szCs w:val="32"/>
                <w:vertAlign w:val="baseline"/>
                <w:lang w:val="en-US" w:eastAsia="zh-CN" w:bidi="ar"/>
                <w14:textFill>
                  <w14:solidFill>
                    <w14:schemeClr w14:val="tx1"/>
                  </w14:solidFill>
                </w14:textFill>
              </w:rPr>
            </w:pPr>
            <w:r>
              <w:rPr>
                <w:rFonts w:hint="eastAsia" w:ascii="仿宋" w:hAnsi="仿宋" w:eastAsia="仿宋" w:cs="仿宋"/>
                <w:color w:val="000000" w:themeColor="text1"/>
                <w:sz w:val="32"/>
                <w:szCs w:val="32"/>
                <w14:textFill>
                  <w14:solidFill>
                    <w14:schemeClr w14:val="tx1"/>
                  </w14:solidFill>
                </w14:textFill>
              </w:rPr>
              <w:drawing>
                <wp:inline distT="0" distB="0" distL="114300" distR="114300">
                  <wp:extent cx="2570480" cy="1943735"/>
                  <wp:effectExtent l="0" t="0" r="1270" b="1841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3"/>
                          <a:stretch>
                            <a:fillRect/>
                          </a:stretch>
                        </pic:blipFill>
                        <pic:spPr>
                          <a:xfrm>
                            <a:off x="0" y="0"/>
                            <a:ext cx="2570480" cy="1943735"/>
                          </a:xfrm>
                          <a:prstGeom prst="rect">
                            <a:avLst/>
                          </a:prstGeom>
                          <a:noFill/>
                          <a:ln>
                            <a:noFill/>
                          </a:ln>
                        </pic:spPr>
                      </pic:pic>
                    </a:graphicData>
                  </a:graphic>
                </wp:inline>
              </w:drawing>
            </w:r>
          </w:p>
        </w:tc>
      </w:tr>
    </w:tbl>
    <w:p w14:paraId="3352A46D">
      <w:pPr>
        <w:pStyle w:val="4"/>
        <w:keepNext w:val="0"/>
        <w:keepLines w:val="0"/>
        <w:pageBreakBefore w:val="0"/>
        <w:widowControl/>
        <w:numPr>
          <w:ilvl w:val="0"/>
          <w:numId w:val="1"/>
        </w:numPr>
        <w:suppressLineNumbers w:val="0"/>
        <w:shd w:val="clear" w:fill="FFFFFF"/>
        <w:kinsoku/>
        <w:wordWrap/>
        <w:overflowPunct/>
        <w:topLinePunct w:val="0"/>
        <w:autoSpaceDE/>
        <w:autoSpaceDN/>
        <w:bidi w:val="0"/>
        <w:adjustRightInd/>
        <w:snapToGrid/>
        <w:spacing w:beforeAutospacing="0" w:afterAutospacing="0" w:line="360" w:lineRule="auto"/>
        <w:ind w:right="0" w:firstLine="643" w:firstLineChars="200"/>
        <w:textAlignment w:val="auto"/>
        <w:rPr>
          <w:rFonts w:hint="eastAsia" w:ascii="仿宋" w:hAnsi="仿宋" w:eastAsia="仿宋" w:cs="仿宋"/>
          <w:b/>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b/>
          <w:snapToGrid w:val="0"/>
          <w:color w:val="000000" w:themeColor="text1"/>
          <w:kern w:val="0"/>
          <w:sz w:val="32"/>
          <w:szCs w:val="32"/>
          <w:lang w:val="en-US" w:eastAsia="zh-CN" w:bidi="ar"/>
          <w14:textFill>
            <w14:solidFill>
              <w14:schemeClr w14:val="tx1"/>
            </w14:solidFill>
          </w14:textFill>
        </w:rPr>
        <w:t>责任认定及处罚建议</w:t>
      </w:r>
    </w:p>
    <w:p w14:paraId="21ED556E">
      <w:pPr>
        <w:pStyle w:val="4"/>
        <w:keepNext w:val="0"/>
        <w:keepLines w:val="0"/>
        <w:pageBreakBefore w:val="0"/>
        <w:widowControl/>
        <w:numPr>
          <w:ilvl w:val="0"/>
          <w:numId w:val="2"/>
        </w:numPr>
        <w:suppressLineNumbers w:val="0"/>
        <w:shd w:val="clear" w:fill="FFFFFF"/>
        <w:kinsoku/>
        <w:wordWrap/>
        <w:overflowPunct/>
        <w:topLinePunct w:val="0"/>
        <w:autoSpaceDE/>
        <w:autoSpaceDN/>
        <w:bidi w:val="0"/>
        <w:adjustRightInd/>
        <w:snapToGrid/>
        <w:spacing w:beforeAutospacing="0" w:afterAutospacing="0" w:line="360" w:lineRule="auto"/>
        <w:ind w:left="0" w:leftChars="0" w:right="0" w:rightChars="0" w:firstLine="643" w:firstLineChars="200"/>
        <w:textAlignment w:val="auto"/>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b/>
          <w:bCs/>
          <w:snapToGrid w:val="0"/>
          <w:color w:val="000000" w:themeColor="text1"/>
          <w:kern w:val="0"/>
          <w:sz w:val="32"/>
          <w:szCs w:val="32"/>
          <w:lang w:val="en-US" w:eastAsia="zh-CN" w:bidi="ar"/>
          <w14:textFill>
            <w14:solidFill>
              <w14:schemeClr w14:val="tx1"/>
            </w14:solidFill>
          </w14:textFill>
        </w:rPr>
        <w:t>生产运营部维修员农天宝、曾秦伟</w:t>
      </w: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未按照《运营、客服管理分界点会议纪要》要求，在此次意外延期供气事件中执行置换作业，负直接责任。根据《生产安全事故事件管理制度》《员工安全记分管理制度》等相关管理规定，建议对农天宝、曾秦伟分别给予安全记分6分，扣罚600元。</w:t>
      </w:r>
    </w:p>
    <w:p w14:paraId="0BA98181">
      <w:pPr>
        <w:pStyle w:val="4"/>
        <w:keepNext w:val="0"/>
        <w:keepLines w:val="0"/>
        <w:pageBreakBefore w:val="0"/>
        <w:widowControl/>
        <w:numPr>
          <w:ilvl w:val="0"/>
          <w:numId w:val="2"/>
        </w:numPr>
        <w:suppressLineNumbers w:val="0"/>
        <w:shd w:val="clear" w:fill="FFFFFF"/>
        <w:kinsoku/>
        <w:wordWrap/>
        <w:overflowPunct/>
        <w:topLinePunct w:val="0"/>
        <w:autoSpaceDE/>
        <w:autoSpaceDN/>
        <w:bidi w:val="0"/>
        <w:adjustRightInd/>
        <w:snapToGrid/>
        <w:spacing w:beforeAutospacing="0" w:afterAutospacing="0" w:line="360" w:lineRule="auto"/>
        <w:ind w:left="0" w:leftChars="0" w:right="0" w:rightChars="0" w:firstLine="643" w:firstLineChars="200"/>
        <w:textAlignment w:val="auto"/>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b/>
          <w:bCs/>
          <w:snapToGrid w:val="0"/>
          <w:color w:val="000000" w:themeColor="text1"/>
          <w:kern w:val="0"/>
          <w:sz w:val="32"/>
          <w:szCs w:val="32"/>
          <w:lang w:val="en-US" w:eastAsia="zh-CN" w:bidi="ar"/>
          <w14:textFill>
            <w14:solidFill>
              <w14:schemeClr w14:val="tx1"/>
            </w14:solidFill>
          </w14:textFill>
        </w:rPr>
        <w:t>生产运营部维修员李伟福、黎乔元，</w:t>
      </w: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在此次延期供气事件中执行临供指令不当导致舆情升级，负直接责任。根据《生产安全事故事件管理制度》《员工安全记分管理制度》等相关管理规定，建议对李伟福、黎乔元分别给予安全记分6分，扣罚600元。</w:t>
      </w:r>
    </w:p>
    <w:p w14:paraId="4043F621">
      <w:pPr>
        <w:pStyle w:val="4"/>
        <w:keepNext w:val="0"/>
        <w:keepLines w:val="0"/>
        <w:pageBreakBefore w:val="0"/>
        <w:widowControl/>
        <w:numPr>
          <w:ilvl w:val="0"/>
          <w:numId w:val="2"/>
        </w:numPr>
        <w:suppressLineNumbers w:val="0"/>
        <w:shd w:val="clear" w:fill="FFFFFF"/>
        <w:kinsoku/>
        <w:wordWrap/>
        <w:overflowPunct/>
        <w:topLinePunct w:val="0"/>
        <w:autoSpaceDE/>
        <w:autoSpaceDN/>
        <w:bidi w:val="0"/>
        <w:adjustRightInd/>
        <w:snapToGrid/>
        <w:spacing w:beforeAutospacing="0" w:afterAutospacing="0" w:line="360" w:lineRule="auto"/>
        <w:ind w:left="0" w:leftChars="0" w:right="0" w:rightChars="0" w:firstLine="643" w:firstLineChars="200"/>
        <w:textAlignment w:val="auto"/>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b/>
          <w:bCs/>
          <w:snapToGrid w:val="0"/>
          <w:color w:val="000000" w:themeColor="text1"/>
          <w:kern w:val="0"/>
          <w:sz w:val="32"/>
          <w:szCs w:val="32"/>
          <w:lang w:val="en-US" w:eastAsia="zh-CN" w:bidi="ar"/>
          <w14:textFill>
            <w14:solidFill>
              <w14:schemeClr w14:val="tx1"/>
            </w14:solidFill>
          </w14:textFill>
        </w:rPr>
        <w:t>客户服务部网格长崔君，</w:t>
      </w: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在此次延期供气事件中，未能识别事件敏感性与紧急性，未及时跟进并报上级管理，负间接责任。根据《生产安全事故事件管理制度》《员工安全记分管理制度》等相关管理规定，建议对崔君给予安全记分4分，扣罚400元。</w:t>
      </w:r>
    </w:p>
    <w:p w14:paraId="7C26090B">
      <w:pPr>
        <w:pStyle w:val="4"/>
        <w:keepNext w:val="0"/>
        <w:keepLines w:val="0"/>
        <w:pageBreakBefore w:val="0"/>
        <w:widowControl/>
        <w:numPr>
          <w:ilvl w:val="0"/>
          <w:numId w:val="2"/>
        </w:numPr>
        <w:suppressLineNumbers w:val="0"/>
        <w:shd w:val="clear" w:fill="FFFFFF"/>
        <w:kinsoku/>
        <w:wordWrap/>
        <w:overflowPunct/>
        <w:topLinePunct w:val="0"/>
        <w:autoSpaceDE/>
        <w:autoSpaceDN/>
        <w:bidi w:val="0"/>
        <w:adjustRightInd/>
        <w:snapToGrid/>
        <w:spacing w:beforeAutospacing="0" w:afterAutospacing="0" w:line="360" w:lineRule="auto"/>
        <w:ind w:left="0" w:leftChars="0" w:right="0" w:rightChars="0" w:firstLine="643" w:firstLineChars="200"/>
        <w:textAlignment w:val="auto"/>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b/>
          <w:bCs/>
          <w:snapToGrid w:val="0"/>
          <w:color w:val="000000" w:themeColor="text1"/>
          <w:kern w:val="0"/>
          <w:sz w:val="32"/>
          <w:szCs w:val="32"/>
          <w:lang w:val="en-US" w:eastAsia="zh-CN" w:bidi="ar"/>
          <w14:textFill>
            <w14:solidFill>
              <w14:schemeClr w14:val="tx1"/>
            </w14:solidFill>
          </w14:textFill>
        </w:rPr>
        <w:t>生产运营部维修班长曾祥合，</w:t>
      </w: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在此次延期供气事件中，未能识别事件敏感性与紧急性，未及时跟进并报上级管理，负间接责任。根据《生产安全事故事件管理制度》《员工安全记分管理制度》等相关管理规定，建议对曾祥合给予安全记分4分，扣罚400元。</w:t>
      </w:r>
    </w:p>
    <w:p w14:paraId="646FF53B">
      <w:pPr>
        <w:pStyle w:val="4"/>
        <w:keepNext w:val="0"/>
        <w:keepLines w:val="0"/>
        <w:pageBreakBefore w:val="0"/>
        <w:widowControl/>
        <w:numPr>
          <w:ilvl w:val="0"/>
          <w:numId w:val="2"/>
        </w:numPr>
        <w:suppressLineNumbers w:val="0"/>
        <w:shd w:val="clear" w:fill="FFFFFF"/>
        <w:kinsoku/>
        <w:wordWrap/>
        <w:overflowPunct/>
        <w:topLinePunct w:val="0"/>
        <w:autoSpaceDE/>
        <w:autoSpaceDN/>
        <w:bidi w:val="0"/>
        <w:adjustRightInd/>
        <w:snapToGrid/>
        <w:spacing w:beforeAutospacing="0" w:afterAutospacing="0" w:line="360" w:lineRule="auto"/>
        <w:ind w:left="0" w:leftChars="0" w:right="0" w:rightChars="0" w:firstLine="643" w:firstLineChars="200"/>
        <w:textAlignment w:val="auto"/>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b/>
          <w:bCs/>
          <w:snapToGrid w:val="0"/>
          <w:color w:val="000000" w:themeColor="text1"/>
          <w:kern w:val="0"/>
          <w:sz w:val="32"/>
          <w:szCs w:val="32"/>
          <w:lang w:val="en-US" w:eastAsia="zh-CN" w:bidi="ar"/>
          <w14:textFill>
            <w14:solidFill>
              <w14:schemeClr w14:val="tx1"/>
            </w14:solidFill>
          </w14:textFill>
        </w:rPr>
        <w:t>客户服务部停气沟通负责人李佳洋，</w:t>
      </w: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在此次延期供气事件中，作业审批未能识别青秀小区敏感性，要求制定临供方案，负间接责任。根据《生产安全事故事件管理制度》《员工安全记分管理制度》等相关管理规定，建议对李佳洋给予安全记分4分，扣罚400元。</w:t>
      </w:r>
    </w:p>
    <w:p w14:paraId="211D186B">
      <w:pPr>
        <w:pStyle w:val="4"/>
        <w:keepNext w:val="0"/>
        <w:keepLines w:val="0"/>
        <w:pageBreakBefore w:val="0"/>
        <w:widowControl/>
        <w:numPr>
          <w:ilvl w:val="0"/>
          <w:numId w:val="2"/>
        </w:numPr>
        <w:suppressLineNumbers w:val="0"/>
        <w:shd w:val="clear" w:fill="FFFFFF"/>
        <w:kinsoku/>
        <w:wordWrap/>
        <w:overflowPunct/>
        <w:topLinePunct w:val="0"/>
        <w:autoSpaceDE/>
        <w:autoSpaceDN/>
        <w:bidi w:val="0"/>
        <w:adjustRightInd/>
        <w:snapToGrid/>
        <w:spacing w:beforeAutospacing="0" w:afterAutospacing="0" w:line="360" w:lineRule="auto"/>
        <w:ind w:left="0" w:leftChars="0" w:right="0" w:rightChars="0" w:firstLine="643" w:firstLineChars="200"/>
        <w:textAlignment w:val="auto"/>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b/>
          <w:bCs/>
          <w:snapToGrid w:val="0"/>
          <w:color w:val="000000" w:themeColor="text1"/>
          <w:kern w:val="0"/>
          <w:sz w:val="32"/>
          <w:szCs w:val="32"/>
          <w:lang w:val="en-US" w:eastAsia="zh-CN" w:bidi="ar"/>
          <w14:textFill>
            <w14:solidFill>
              <w14:schemeClr w14:val="tx1"/>
            </w14:solidFill>
          </w14:textFill>
        </w:rPr>
        <w:t>生产运营部调度中心调度员莫凯、陆曦，</w:t>
      </w: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在此次延期供气事件中，未及时跟进事件进度并上报提级管理，负间接责任。根据《生产安全事故事件管理制度》《员工安全记分管理制度》等相关管理规定，建议对莫凯、陆曦分别给予安全记分4分，扣罚400元。</w:t>
      </w:r>
    </w:p>
    <w:p w14:paraId="1EBA56FC">
      <w:pPr>
        <w:pStyle w:val="4"/>
        <w:keepNext w:val="0"/>
        <w:keepLines w:val="0"/>
        <w:pageBreakBefore w:val="0"/>
        <w:widowControl/>
        <w:numPr>
          <w:ilvl w:val="0"/>
          <w:numId w:val="2"/>
        </w:numPr>
        <w:suppressLineNumbers w:val="0"/>
        <w:shd w:val="clear" w:fill="FFFFFF"/>
        <w:kinsoku/>
        <w:wordWrap/>
        <w:overflowPunct/>
        <w:topLinePunct w:val="0"/>
        <w:autoSpaceDE/>
        <w:autoSpaceDN/>
        <w:bidi w:val="0"/>
        <w:adjustRightInd/>
        <w:snapToGrid/>
        <w:spacing w:beforeAutospacing="0" w:afterAutospacing="0" w:line="360" w:lineRule="auto"/>
        <w:ind w:left="0" w:leftChars="0" w:right="0" w:rightChars="0" w:firstLine="643" w:firstLineChars="200"/>
        <w:textAlignment w:val="auto"/>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b/>
          <w:bCs/>
          <w:snapToGrid w:val="0"/>
          <w:color w:val="000000" w:themeColor="text1"/>
          <w:kern w:val="0"/>
          <w:sz w:val="32"/>
          <w:szCs w:val="32"/>
          <w:lang w:val="en-US" w:eastAsia="zh-CN" w:bidi="ar"/>
          <w14:textFill>
            <w14:solidFill>
              <w14:schemeClr w14:val="tx1"/>
            </w14:solidFill>
          </w14:textFill>
        </w:rPr>
        <w:t>生产运营部调度中心主管易文昊，</w:t>
      </w: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存在日常管理缺失，风控意识不足，未及时跟进管理，负间接责任。根据《生产安全事故事件管理制度》《员工安全记分管理制度》等相关管理规定，建议对易文昊给予安全记分4分，扣罚400元。</w:t>
      </w:r>
    </w:p>
    <w:p w14:paraId="186C377C">
      <w:pPr>
        <w:pStyle w:val="4"/>
        <w:keepNext w:val="0"/>
        <w:keepLines w:val="0"/>
        <w:pageBreakBefore w:val="0"/>
        <w:widowControl/>
        <w:numPr>
          <w:ilvl w:val="0"/>
          <w:numId w:val="2"/>
        </w:numPr>
        <w:suppressLineNumbers w:val="0"/>
        <w:shd w:val="clear" w:fill="FFFFFF"/>
        <w:kinsoku/>
        <w:wordWrap/>
        <w:overflowPunct/>
        <w:topLinePunct w:val="0"/>
        <w:autoSpaceDE/>
        <w:autoSpaceDN/>
        <w:bidi w:val="0"/>
        <w:adjustRightInd/>
        <w:snapToGrid/>
        <w:spacing w:beforeAutospacing="0" w:afterAutospacing="0" w:line="360" w:lineRule="auto"/>
        <w:ind w:left="0" w:leftChars="0" w:right="0" w:rightChars="0" w:firstLine="643" w:firstLineChars="200"/>
        <w:textAlignment w:val="auto"/>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b/>
          <w:bCs/>
          <w:snapToGrid w:val="0"/>
          <w:color w:val="000000" w:themeColor="text1"/>
          <w:kern w:val="0"/>
          <w:sz w:val="32"/>
          <w:szCs w:val="32"/>
          <w:lang w:val="en-US" w:eastAsia="zh-CN" w:bidi="ar"/>
          <w14:textFill>
            <w14:solidFill>
              <w14:schemeClr w14:val="tx1"/>
            </w14:solidFill>
          </w14:textFill>
        </w:rPr>
        <w:t>生产运营部管网主管谢源</w:t>
      </w: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在此次延期供气事件中，未能识别事件敏感性与紧急性，未及时跟进并报上级管理，负间接责任。根据《生产安全事故事件管理制度》《员工安全记分管理制度》等相关管理规定，建议对谢源给予安全记分4分，扣罚400元。</w:t>
      </w:r>
    </w:p>
    <w:p w14:paraId="210D6BC3">
      <w:pPr>
        <w:pStyle w:val="4"/>
        <w:keepNext w:val="0"/>
        <w:keepLines w:val="0"/>
        <w:pageBreakBefore w:val="0"/>
        <w:widowControl/>
        <w:numPr>
          <w:ilvl w:val="0"/>
          <w:numId w:val="2"/>
        </w:numPr>
        <w:suppressLineNumbers w:val="0"/>
        <w:shd w:val="clear" w:fill="FFFFFF"/>
        <w:kinsoku/>
        <w:wordWrap/>
        <w:overflowPunct/>
        <w:topLinePunct w:val="0"/>
        <w:autoSpaceDE/>
        <w:autoSpaceDN/>
        <w:bidi w:val="0"/>
        <w:adjustRightInd/>
        <w:snapToGrid/>
        <w:spacing w:beforeAutospacing="0" w:afterAutospacing="0" w:line="360" w:lineRule="auto"/>
        <w:ind w:left="0" w:leftChars="0" w:right="0" w:rightChars="0" w:firstLine="643" w:firstLineChars="200"/>
        <w:textAlignment w:val="auto"/>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b/>
          <w:bCs/>
          <w:snapToGrid w:val="0"/>
          <w:color w:val="000000" w:themeColor="text1"/>
          <w:kern w:val="0"/>
          <w:sz w:val="32"/>
          <w:szCs w:val="32"/>
          <w:lang w:val="en-US" w:eastAsia="zh-CN" w:bidi="ar"/>
          <w14:textFill>
            <w14:solidFill>
              <w14:schemeClr w14:val="tx1"/>
            </w14:solidFill>
          </w14:textFill>
        </w:rPr>
        <w:t>生产运营部副经理叶慧成，</w:t>
      </w: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存在日常安全管理缺失，风控意识不足，负领导责任。根据《生产安全事故事件管理制度》《员工安全记分管理制度》等相关管理规定，建议对叶慧成给予安全记分4分，扣罚400元。</w:t>
      </w:r>
    </w:p>
    <w:p w14:paraId="3210452D">
      <w:pPr>
        <w:pStyle w:val="4"/>
        <w:keepNext w:val="0"/>
        <w:keepLines w:val="0"/>
        <w:pageBreakBefore w:val="0"/>
        <w:widowControl/>
        <w:numPr>
          <w:ilvl w:val="0"/>
          <w:numId w:val="2"/>
        </w:numPr>
        <w:suppressLineNumbers w:val="0"/>
        <w:shd w:val="clear" w:fill="FFFFFF"/>
        <w:kinsoku/>
        <w:wordWrap/>
        <w:overflowPunct/>
        <w:topLinePunct w:val="0"/>
        <w:autoSpaceDE/>
        <w:autoSpaceDN/>
        <w:bidi w:val="0"/>
        <w:adjustRightInd/>
        <w:snapToGrid/>
        <w:spacing w:beforeAutospacing="0" w:afterAutospacing="0" w:line="360" w:lineRule="auto"/>
        <w:ind w:left="0" w:leftChars="0" w:right="0" w:rightChars="0" w:firstLine="643" w:firstLineChars="200"/>
        <w:textAlignment w:val="auto"/>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b/>
          <w:bCs/>
          <w:snapToGrid w:val="0"/>
          <w:color w:val="000000" w:themeColor="text1"/>
          <w:kern w:val="0"/>
          <w:sz w:val="32"/>
          <w:szCs w:val="32"/>
          <w:lang w:val="en-US" w:eastAsia="zh-CN" w:bidi="ar"/>
          <w14:textFill>
            <w14:solidFill>
              <w14:schemeClr w14:val="tx1"/>
            </w14:solidFill>
          </w14:textFill>
        </w:rPr>
        <w:t>客户服务部副经理谢光劼，</w:t>
      </w: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存在日常安全管理缺失，风控意识不足，负领导责任。根据《生产安全事故事件管理制度》《员工安全记分管理制度》等相关管理规定，建议对谢光劼给予安全记分4分，扣罚400元。</w:t>
      </w:r>
    </w:p>
    <w:p w14:paraId="220EDD94">
      <w:pPr>
        <w:pStyle w:val="4"/>
        <w:keepNext w:val="0"/>
        <w:keepLines w:val="0"/>
        <w:pageBreakBefore w:val="0"/>
        <w:widowControl/>
        <w:numPr>
          <w:ilvl w:val="0"/>
          <w:numId w:val="2"/>
        </w:numPr>
        <w:suppressLineNumbers w:val="0"/>
        <w:shd w:val="clear" w:fill="FFFFFF"/>
        <w:kinsoku/>
        <w:wordWrap/>
        <w:overflowPunct/>
        <w:topLinePunct w:val="0"/>
        <w:autoSpaceDE/>
        <w:autoSpaceDN/>
        <w:bidi w:val="0"/>
        <w:adjustRightInd/>
        <w:snapToGrid/>
        <w:spacing w:beforeAutospacing="0" w:afterAutospacing="0" w:line="360" w:lineRule="auto"/>
        <w:ind w:left="0" w:leftChars="0" w:right="0" w:rightChars="0" w:firstLine="643" w:firstLineChars="200"/>
        <w:textAlignment w:val="auto"/>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b/>
          <w:bCs/>
          <w:snapToGrid w:val="0"/>
          <w:color w:val="000000" w:themeColor="text1"/>
          <w:kern w:val="0"/>
          <w:sz w:val="32"/>
          <w:szCs w:val="32"/>
          <w:lang w:val="en-US" w:eastAsia="zh-CN" w:bidi="ar"/>
          <w14:textFill>
            <w14:solidFill>
              <w14:schemeClr w14:val="tx1"/>
            </w14:solidFill>
          </w14:textFill>
        </w:rPr>
        <w:t>客户服务部经理黄崧宸，</w:t>
      </w: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存在日常安全管理缺失，风控意识不足，负领导责任。根据《生产安全事故事件管理制度》《员工安全记分管理制度》等相关管理规定，建议对黄崧宸给予安全记分4分，扣罚400元。</w:t>
      </w:r>
    </w:p>
    <w:p w14:paraId="26549F45">
      <w:pPr>
        <w:pStyle w:val="4"/>
        <w:keepNext w:val="0"/>
        <w:keepLines w:val="0"/>
        <w:pageBreakBefore w:val="0"/>
        <w:widowControl/>
        <w:numPr>
          <w:ilvl w:val="0"/>
          <w:numId w:val="2"/>
        </w:numPr>
        <w:suppressLineNumbers w:val="0"/>
        <w:shd w:val="clear" w:fill="FFFFFF"/>
        <w:kinsoku/>
        <w:wordWrap/>
        <w:overflowPunct/>
        <w:topLinePunct w:val="0"/>
        <w:autoSpaceDE/>
        <w:autoSpaceDN/>
        <w:bidi w:val="0"/>
        <w:adjustRightInd/>
        <w:snapToGrid/>
        <w:spacing w:beforeAutospacing="0" w:afterAutospacing="0" w:line="360" w:lineRule="auto"/>
        <w:ind w:left="0" w:leftChars="0" w:right="0" w:rightChars="0" w:firstLine="643" w:firstLineChars="200"/>
        <w:textAlignment w:val="auto"/>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b/>
          <w:bCs/>
          <w:snapToGrid w:val="0"/>
          <w:color w:val="000000" w:themeColor="text1"/>
          <w:kern w:val="0"/>
          <w:sz w:val="32"/>
          <w:szCs w:val="32"/>
          <w:lang w:val="en-US" w:eastAsia="zh-CN" w:bidi="ar"/>
          <w14:textFill>
            <w14:solidFill>
              <w14:schemeClr w14:val="tx1"/>
            </w14:solidFill>
          </w14:textFill>
        </w:rPr>
        <w:t>生产运营部经理韦荣梁，</w:t>
      </w: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存在日常安全管理缺失，风控意识不足，负领导责任。根据《生产安全事故事件管理制度》《员工安全记分管理制度》等相关管理规定，建议对韦荣梁给予安全记分4分，扣罚400元。</w:t>
      </w:r>
    </w:p>
    <w:p w14:paraId="01DFF56F">
      <w:pPr>
        <w:pStyle w:val="4"/>
        <w:keepNext w:val="0"/>
        <w:keepLines w:val="0"/>
        <w:pageBreakBefore w:val="0"/>
        <w:widowControl/>
        <w:numPr>
          <w:ilvl w:val="0"/>
          <w:numId w:val="1"/>
        </w:numPr>
        <w:suppressLineNumbers w:val="0"/>
        <w:shd w:val="clear" w:fill="FFFFFF"/>
        <w:kinsoku/>
        <w:wordWrap/>
        <w:overflowPunct/>
        <w:topLinePunct w:val="0"/>
        <w:autoSpaceDE/>
        <w:autoSpaceDN/>
        <w:bidi w:val="0"/>
        <w:adjustRightInd/>
        <w:snapToGrid/>
        <w:spacing w:beforeAutospacing="0" w:afterAutospacing="0" w:line="360" w:lineRule="auto"/>
        <w:ind w:right="0" w:firstLine="640" w:firstLineChars="200"/>
        <w:textAlignment w:val="auto"/>
        <w:rPr>
          <w:rFonts w:hint="eastAsia" w:ascii="黑体" w:hAnsi="黑体" w:eastAsia="黑体" w:cs="黑体"/>
          <w:b w:val="0"/>
          <w:bCs/>
          <w:snapToGrid w:val="0"/>
          <w:color w:val="000000" w:themeColor="text1"/>
          <w:kern w:val="0"/>
          <w:sz w:val="32"/>
          <w:szCs w:val="32"/>
          <w:lang w:val="en-US" w:eastAsia="zh-CN" w:bidi="ar"/>
          <w14:textFill>
            <w14:solidFill>
              <w14:schemeClr w14:val="tx1"/>
            </w14:solidFill>
          </w14:textFill>
        </w:rPr>
      </w:pPr>
      <w:r>
        <w:rPr>
          <w:rFonts w:hint="eastAsia" w:ascii="黑体" w:hAnsi="黑体" w:eastAsia="黑体" w:cs="黑体"/>
          <w:b w:val="0"/>
          <w:bCs/>
          <w:snapToGrid w:val="0"/>
          <w:color w:val="000000" w:themeColor="text1"/>
          <w:kern w:val="0"/>
          <w:sz w:val="32"/>
          <w:szCs w:val="32"/>
          <w:lang w:val="en-US" w:eastAsia="zh-CN" w:bidi="ar"/>
          <w14:textFill>
            <w14:solidFill>
              <w14:schemeClr w14:val="tx1"/>
            </w14:solidFill>
          </w14:textFill>
        </w:rPr>
        <w:t>改进建议</w:t>
      </w:r>
    </w:p>
    <w:p w14:paraId="60CF30B8">
      <w:pPr>
        <w:pStyle w:val="4"/>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Autospacing="0" w:afterAutospacing="0" w:line="360" w:lineRule="auto"/>
        <w:ind w:left="0" w:leftChars="0" w:right="0" w:rightChars="0" w:firstLine="640" w:firstLineChars="200"/>
        <w:textAlignment w:val="auto"/>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一）由客户服务部汇总各政治敏感等重点小区用户，形成台账设为重点保障单位，并在公司内部管网图标识标注。后续如因停气施工作业受到影响的，必须提级管理，各职责部门切实落实应急处置方案/保供方案等内容。</w:t>
      </w:r>
    </w:p>
    <w:p w14:paraId="36992886">
      <w:pPr>
        <w:pStyle w:val="4"/>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Autospacing="0" w:afterAutospacing="0" w:line="360" w:lineRule="auto"/>
        <w:ind w:left="0" w:leftChars="0" w:right="0" w:rightChars="0" w:firstLine="640" w:firstLineChars="200"/>
        <w:textAlignment w:val="auto"/>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（二）由生产运营部负责制定并落实关于管网管道杂质定期清理方案，重点对青秀区管网加强管网维护工作；落实各小区内调压设施定期清理过滤器等三级维保工作，以此检验管道洁净情况。</w:t>
      </w:r>
    </w:p>
    <w:p w14:paraId="2DBB221F">
      <w:pPr>
        <w:pStyle w:val="4"/>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Autospacing="0" w:afterAutospacing="0" w:line="360" w:lineRule="auto"/>
        <w:ind w:left="0" w:leftChars="0" w:right="0" w:rightChars="0" w:firstLine="640" w:firstLineChars="200"/>
        <w:textAlignment w:val="auto"/>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（三）加强应急准备管理，时值冬季保供时期，生产运营部各管网所需落实盘点各类应急保供物资，及时维护补充。</w:t>
      </w:r>
    </w:p>
    <w:p w14:paraId="1FC00443">
      <w:pPr>
        <w:pStyle w:val="4"/>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Autospacing="0" w:afterAutospacing="0" w:line="360" w:lineRule="auto"/>
        <w:ind w:left="0" w:leftChars="0" w:right="0" w:rightChars="0" w:firstLine="640" w:firstLineChars="200"/>
        <w:textAlignment w:val="auto"/>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（四）优化调度中心异常信息升级响应机制，落实此类重点小区升级响应时效及管理办法。</w:t>
      </w:r>
    </w:p>
    <w:p w14:paraId="2B00BF1E">
      <w:pPr>
        <w:pStyle w:val="4"/>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Autospacing="0" w:afterAutospacing="0" w:line="360" w:lineRule="auto"/>
        <w:ind w:left="0" w:leftChars="0" w:right="0" w:rightChars="0" w:firstLine="640" w:firstLineChars="200"/>
        <w:textAlignment w:val="auto"/>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（五）为避免引发舆情或引发用户不满，后期如遇到类似异常情况，明确需经过抢险总指挥授权，由现场最高指挥下达指令，统一对外回复内容。</w:t>
      </w:r>
    </w:p>
    <w:p w14:paraId="24929BE3">
      <w:pPr>
        <w:pStyle w:val="4"/>
        <w:keepNext w:val="0"/>
        <w:keepLines w:val="0"/>
        <w:pageBreakBefore w:val="0"/>
        <w:widowControl/>
        <w:numPr>
          <w:ilvl w:val="0"/>
          <w:numId w:val="1"/>
        </w:numPr>
        <w:suppressLineNumbers w:val="0"/>
        <w:shd w:val="clear" w:fill="FFFFFF"/>
        <w:kinsoku/>
        <w:wordWrap/>
        <w:overflowPunct/>
        <w:topLinePunct w:val="0"/>
        <w:autoSpaceDE/>
        <w:autoSpaceDN/>
        <w:bidi w:val="0"/>
        <w:adjustRightInd/>
        <w:snapToGrid/>
        <w:spacing w:beforeAutospacing="0" w:afterAutospacing="0" w:line="360" w:lineRule="auto"/>
        <w:ind w:right="0" w:firstLine="640" w:firstLineChars="200"/>
        <w:textAlignment w:val="auto"/>
        <w:rPr>
          <w:rFonts w:hint="eastAsia" w:ascii="黑体" w:hAnsi="黑体" w:eastAsia="黑体" w:cs="黑体"/>
          <w:b w:val="0"/>
          <w:bCs/>
          <w:snapToGrid w:val="0"/>
          <w:color w:val="000000" w:themeColor="text1"/>
          <w:kern w:val="0"/>
          <w:sz w:val="32"/>
          <w:szCs w:val="32"/>
          <w:lang w:val="en-US" w:eastAsia="zh-CN" w:bidi="ar"/>
          <w14:textFill>
            <w14:solidFill>
              <w14:schemeClr w14:val="tx1"/>
            </w14:solidFill>
          </w14:textFill>
        </w:rPr>
      </w:pPr>
      <w:r>
        <w:rPr>
          <w:rFonts w:hint="eastAsia" w:ascii="黑体" w:hAnsi="黑体" w:eastAsia="黑体" w:cs="黑体"/>
          <w:b w:val="0"/>
          <w:bCs/>
          <w:snapToGrid w:val="0"/>
          <w:color w:val="000000" w:themeColor="text1"/>
          <w:kern w:val="0"/>
          <w:sz w:val="32"/>
          <w:szCs w:val="32"/>
          <w:lang w:val="en-US" w:eastAsia="zh-CN" w:bidi="ar"/>
          <w14:textFill>
            <w14:solidFill>
              <w14:schemeClr w14:val="tx1"/>
            </w14:solidFill>
          </w14:textFill>
        </w:rPr>
        <w:t>总结</w:t>
      </w:r>
    </w:p>
    <w:p w14:paraId="5E715062">
      <w:pPr>
        <w:pStyle w:val="4"/>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Autospacing="0" w:afterAutospacing="0" w:line="360" w:lineRule="auto"/>
        <w:ind w:left="0" w:leftChars="0" w:right="0" w:rightChars="0" w:firstLine="640" w:firstLineChars="200"/>
        <w:textAlignment w:val="auto"/>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南宁中燃各级领导应将燃气保供安全作为重大政治责任与民生工程，持续健全领导引领的责任体系，层层压实，筑牢重点用户燃气供应安全防线，切实保障民生用气稳定、服务畅通，不断落实安全生产主体责任与社会责任担当。</w:t>
      </w:r>
    </w:p>
    <w:p w14:paraId="30691037">
      <w:pPr>
        <w:keepNext w:val="0"/>
        <w:keepLines w:val="0"/>
        <w:pageBreakBefore w:val="0"/>
        <w:kinsoku/>
        <w:wordWrap w:val="0"/>
        <w:overflowPunct/>
        <w:topLinePunct w:val="0"/>
        <w:autoSpaceDE/>
        <w:autoSpaceDN/>
        <w:bidi w:val="0"/>
        <w:adjustRightInd/>
        <w:snapToGrid/>
        <w:spacing w:line="540" w:lineRule="exact"/>
        <w:jc w:val="both"/>
        <w:textAlignment w:val="auto"/>
        <w:rPr>
          <w:rFonts w:hint="eastAsia" w:ascii="仿宋" w:hAnsi="仿宋" w:eastAsia="仿宋" w:cs="仿宋"/>
          <w:bCs/>
          <w:color w:val="000000" w:themeColor="text1"/>
          <w:sz w:val="32"/>
          <w:szCs w:val="32"/>
          <w14:textFill>
            <w14:solidFill>
              <w14:schemeClr w14:val="tx1"/>
            </w14:solidFill>
          </w14:textFill>
        </w:rPr>
      </w:pPr>
    </w:p>
    <w:p w14:paraId="5F57CBE4">
      <w:pPr>
        <w:keepNext w:val="0"/>
        <w:keepLines w:val="0"/>
        <w:pageBreakBefore w:val="0"/>
        <w:kinsoku/>
        <w:wordWrap w:val="0"/>
        <w:overflowPunct/>
        <w:topLinePunct w:val="0"/>
        <w:autoSpaceDE/>
        <w:autoSpaceDN/>
        <w:bidi w:val="0"/>
        <w:adjustRightInd/>
        <w:snapToGrid/>
        <w:spacing w:line="540" w:lineRule="exact"/>
        <w:jc w:val="right"/>
        <w:textAlignment w:val="auto"/>
        <w:rPr>
          <w:rFonts w:hint="eastAsia" w:ascii="仿宋" w:hAnsi="仿宋" w:eastAsia="仿宋" w:cs="仿宋"/>
          <w:bCs/>
          <w:color w:val="000000" w:themeColor="text1"/>
          <w:sz w:val="32"/>
          <w:szCs w:val="32"/>
          <w14:textFill>
            <w14:solidFill>
              <w14:schemeClr w14:val="tx1"/>
            </w14:solidFill>
          </w14:textFill>
        </w:rPr>
      </w:pPr>
    </w:p>
    <w:p w14:paraId="68C38812">
      <w:pPr>
        <w:keepNext w:val="0"/>
        <w:keepLines w:val="0"/>
        <w:pageBreakBefore w:val="0"/>
        <w:kinsoku/>
        <w:wordWrap w:val="0"/>
        <w:overflowPunct/>
        <w:topLinePunct w:val="0"/>
        <w:autoSpaceDE/>
        <w:autoSpaceDN/>
        <w:bidi w:val="0"/>
        <w:adjustRightInd/>
        <w:snapToGrid/>
        <w:spacing w:line="540" w:lineRule="exact"/>
        <w:jc w:val="right"/>
        <w:textAlignment w:val="auto"/>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 xml:space="preserve">南宁中燃城市燃气发展有限公司  </w:t>
      </w:r>
    </w:p>
    <w:p w14:paraId="6908FFA6">
      <w:pPr>
        <w:keepNext w:val="0"/>
        <w:keepLines w:val="0"/>
        <w:pageBreakBefore w:val="0"/>
        <w:kinsoku/>
        <w:wordWrap w:val="0"/>
        <w:overflowPunct/>
        <w:topLinePunct w:val="0"/>
        <w:autoSpaceDE/>
        <w:autoSpaceDN/>
        <w:bidi w:val="0"/>
        <w:adjustRightInd/>
        <w:snapToGrid/>
        <w:spacing w:line="540" w:lineRule="exact"/>
        <w:jc w:val="center"/>
        <w:textAlignment w:val="auto"/>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pPr>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 xml:space="preserve">                                2026年1</w:t>
      </w:r>
      <w:bookmarkStart w:id="0" w:name="_GoBack"/>
      <w:bookmarkEnd w:id="0"/>
      <w:r>
        <w:rPr>
          <w:rFonts w:hint="eastAsia" w:ascii="仿宋" w:hAnsi="仿宋" w:eastAsia="仿宋" w:cs="仿宋"/>
          <w:snapToGrid w:val="0"/>
          <w:color w:val="000000" w:themeColor="text1"/>
          <w:kern w:val="0"/>
          <w:sz w:val="32"/>
          <w:szCs w:val="32"/>
          <w:lang w:val="en-US" w:eastAsia="zh-CN" w:bidi="ar"/>
          <w14:textFill>
            <w14:solidFill>
              <w14:schemeClr w14:val="tx1"/>
            </w14:solidFill>
          </w14:textFill>
        </w:rPr>
        <w:t xml:space="preserve">月4日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3CE8AB"/>
    <w:multiLevelType w:val="singleLevel"/>
    <w:tmpl w:val="AB3CE8AB"/>
    <w:lvl w:ilvl="0" w:tentative="0">
      <w:start w:val="1"/>
      <w:numFmt w:val="chineseCounting"/>
      <w:suff w:val="nothing"/>
      <w:lvlText w:val="（%1）"/>
      <w:lvlJc w:val="left"/>
      <w:rPr>
        <w:rFonts w:hint="eastAsia"/>
        <w:b/>
        <w:bCs/>
      </w:rPr>
    </w:lvl>
  </w:abstractNum>
  <w:abstractNum w:abstractNumId="1">
    <w:nsid w:val="E6D6A72B"/>
    <w:multiLevelType w:val="singleLevel"/>
    <w:tmpl w:val="E6D6A72B"/>
    <w:lvl w:ilvl="0" w:tentative="0">
      <w:start w:val="4"/>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M5Njg0NTZmNDQ4MjI4NTQxZmNhMWFkZTUyMTU2ZjMifQ=="/>
  </w:docVars>
  <w:rsids>
    <w:rsidRoot w:val="00000000"/>
    <w:rsid w:val="000E3FC3"/>
    <w:rsid w:val="001C7A5F"/>
    <w:rsid w:val="00774402"/>
    <w:rsid w:val="00965BC3"/>
    <w:rsid w:val="00BF1795"/>
    <w:rsid w:val="00D23242"/>
    <w:rsid w:val="01011432"/>
    <w:rsid w:val="01145609"/>
    <w:rsid w:val="011C44BE"/>
    <w:rsid w:val="0156177E"/>
    <w:rsid w:val="016F283F"/>
    <w:rsid w:val="01713AEC"/>
    <w:rsid w:val="017C6D0A"/>
    <w:rsid w:val="019F1377"/>
    <w:rsid w:val="01A22C15"/>
    <w:rsid w:val="01BC28E7"/>
    <w:rsid w:val="01CA3EF1"/>
    <w:rsid w:val="02125B26"/>
    <w:rsid w:val="023F0464"/>
    <w:rsid w:val="026D6686"/>
    <w:rsid w:val="027125E7"/>
    <w:rsid w:val="028D5673"/>
    <w:rsid w:val="032F2286"/>
    <w:rsid w:val="0352555D"/>
    <w:rsid w:val="03541EFC"/>
    <w:rsid w:val="035E4919"/>
    <w:rsid w:val="03891CDA"/>
    <w:rsid w:val="03922815"/>
    <w:rsid w:val="03B53832"/>
    <w:rsid w:val="03BB7FBE"/>
    <w:rsid w:val="03CB018A"/>
    <w:rsid w:val="03DD25A2"/>
    <w:rsid w:val="03E57564"/>
    <w:rsid w:val="042042C5"/>
    <w:rsid w:val="043B10FF"/>
    <w:rsid w:val="044B1A22"/>
    <w:rsid w:val="046441B2"/>
    <w:rsid w:val="047E4489"/>
    <w:rsid w:val="048B3E34"/>
    <w:rsid w:val="048E4561"/>
    <w:rsid w:val="04B05649"/>
    <w:rsid w:val="04B51F40"/>
    <w:rsid w:val="04DF1A8A"/>
    <w:rsid w:val="05012FA5"/>
    <w:rsid w:val="05760640"/>
    <w:rsid w:val="057647B8"/>
    <w:rsid w:val="058D7738"/>
    <w:rsid w:val="059874F0"/>
    <w:rsid w:val="05AF5900"/>
    <w:rsid w:val="05D65ED9"/>
    <w:rsid w:val="05F11A75"/>
    <w:rsid w:val="05F15F19"/>
    <w:rsid w:val="06065EDE"/>
    <w:rsid w:val="06233BF8"/>
    <w:rsid w:val="062C6F51"/>
    <w:rsid w:val="062F6A41"/>
    <w:rsid w:val="06EE1C9C"/>
    <w:rsid w:val="070329A5"/>
    <w:rsid w:val="07276F2B"/>
    <w:rsid w:val="076369A2"/>
    <w:rsid w:val="0773068B"/>
    <w:rsid w:val="079E4C52"/>
    <w:rsid w:val="07A757F0"/>
    <w:rsid w:val="07DE24CD"/>
    <w:rsid w:val="07FF5678"/>
    <w:rsid w:val="083A772E"/>
    <w:rsid w:val="08713341"/>
    <w:rsid w:val="0874698D"/>
    <w:rsid w:val="088A7F5F"/>
    <w:rsid w:val="088D2C15"/>
    <w:rsid w:val="089112ED"/>
    <w:rsid w:val="08F54BF0"/>
    <w:rsid w:val="090656F1"/>
    <w:rsid w:val="094E17A6"/>
    <w:rsid w:val="0950709A"/>
    <w:rsid w:val="09C53944"/>
    <w:rsid w:val="09E35B78"/>
    <w:rsid w:val="09ED4606"/>
    <w:rsid w:val="09F65845"/>
    <w:rsid w:val="0A890E50"/>
    <w:rsid w:val="0A8C461A"/>
    <w:rsid w:val="0AA72CFA"/>
    <w:rsid w:val="0AD66D9D"/>
    <w:rsid w:val="0B8A7068"/>
    <w:rsid w:val="0B961269"/>
    <w:rsid w:val="0BB21CA6"/>
    <w:rsid w:val="0BD90008"/>
    <w:rsid w:val="0BE4623A"/>
    <w:rsid w:val="0BF92308"/>
    <w:rsid w:val="0C8F023A"/>
    <w:rsid w:val="0C985340"/>
    <w:rsid w:val="0CC2416B"/>
    <w:rsid w:val="0D1945AF"/>
    <w:rsid w:val="0D4252AC"/>
    <w:rsid w:val="0D906017"/>
    <w:rsid w:val="0DE14AC5"/>
    <w:rsid w:val="0DFE7425"/>
    <w:rsid w:val="0DFF7055"/>
    <w:rsid w:val="0E1E681F"/>
    <w:rsid w:val="0E2055ED"/>
    <w:rsid w:val="0E344BF5"/>
    <w:rsid w:val="0E383917"/>
    <w:rsid w:val="0E8D27D4"/>
    <w:rsid w:val="0EBE0962"/>
    <w:rsid w:val="0EDF4008"/>
    <w:rsid w:val="0EE550F1"/>
    <w:rsid w:val="0EEE7499"/>
    <w:rsid w:val="0EEF66DD"/>
    <w:rsid w:val="0EF21655"/>
    <w:rsid w:val="0F360E40"/>
    <w:rsid w:val="0F661726"/>
    <w:rsid w:val="0F9811B3"/>
    <w:rsid w:val="0FD41301"/>
    <w:rsid w:val="0FE409A7"/>
    <w:rsid w:val="0FE50C13"/>
    <w:rsid w:val="10486980"/>
    <w:rsid w:val="107B4D5D"/>
    <w:rsid w:val="10DE709A"/>
    <w:rsid w:val="10FD39C4"/>
    <w:rsid w:val="11001706"/>
    <w:rsid w:val="11220CD7"/>
    <w:rsid w:val="11250330"/>
    <w:rsid w:val="11785681"/>
    <w:rsid w:val="118B5473"/>
    <w:rsid w:val="119F4A7B"/>
    <w:rsid w:val="11A227BD"/>
    <w:rsid w:val="11D706B9"/>
    <w:rsid w:val="121A67F7"/>
    <w:rsid w:val="12241424"/>
    <w:rsid w:val="124D7E8C"/>
    <w:rsid w:val="12631F4C"/>
    <w:rsid w:val="126C39E2"/>
    <w:rsid w:val="126D4B79"/>
    <w:rsid w:val="127A543D"/>
    <w:rsid w:val="129E2F84"/>
    <w:rsid w:val="12A97AB5"/>
    <w:rsid w:val="12C64289"/>
    <w:rsid w:val="12F90683"/>
    <w:rsid w:val="12F95231"/>
    <w:rsid w:val="13014880"/>
    <w:rsid w:val="1312127D"/>
    <w:rsid w:val="13316DBA"/>
    <w:rsid w:val="134614CD"/>
    <w:rsid w:val="1351449B"/>
    <w:rsid w:val="138278A7"/>
    <w:rsid w:val="13FA41EA"/>
    <w:rsid w:val="140456AC"/>
    <w:rsid w:val="146855F8"/>
    <w:rsid w:val="147541B9"/>
    <w:rsid w:val="14AA7792"/>
    <w:rsid w:val="14B307DB"/>
    <w:rsid w:val="15110485"/>
    <w:rsid w:val="152139F9"/>
    <w:rsid w:val="15233C15"/>
    <w:rsid w:val="157B75AD"/>
    <w:rsid w:val="158C2BF3"/>
    <w:rsid w:val="158D58AC"/>
    <w:rsid w:val="15AB588A"/>
    <w:rsid w:val="15AF6136"/>
    <w:rsid w:val="15CA22E2"/>
    <w:rsid w:val="16047EBF"/>
    <w:rsid w:val="160E21CF"/>
    <w:rsid w:val="161135E8"/>
    <w:rsid w:val="161A5018"/>
    <w:rsid w:val="163F54FD"/>
    <w:rsid w:val="167A1613"/>
    <w:rsid w:val="167C35DD"/>
    <w:rsid w:val="168626AD"/>
    <w:rsid w:val="16940FBF"/>
    <w:rsid w:val="16BE5549"/>
    <w:rsid w:val="172C5003"/>
    <w:rsid w:val="17710C68"/>
    <w:rsid w:val="182932F0"/>
    <w:rsid w:val="182F0113"/>
    <w:rsid w:val="18481E81"/>
    <w:rsid w:val="184D10E7"/>
    <w:rsid w:val="186322E1"/>
    <w:rsid w:val="186407CC"/>
    <w:rsid w:val="189D316B"/>
    <w:rsid w:val="18A816E8"/>
    <w:rsid w:val="190B50EC"/>
    <w:rsid w:val="190F698A"/>
    <w:rsid w:val="19317661"/>
    <w:rsid w:val="19502AFF"/>
    <w:rsid w:val="195645B9"/>
    <w:rsid w:val="19566367"/>
    <w:rsid w:val="199A2C49"/>
    <w:rsid w:val="199D3F96"/>
    <w:rsid w:val="19CE23A1"/>
    <w:rsid w:val="19FE4D6B"/>
    <w:rsid w:val="1A362432"/>
    <w:rsid w:val="1A5A7107"/>
    <w:rsid w:val="1A7D3DC7"/>
    <w:rsid w:val="1A86235E"/>
    <w:rsid w:val="1A8D2345"/>
    <w:rsid w:val="1A93448C"/>
    <w:rsid w:val="1A954C6D"/>
    <w:rsid w:val="1AB06118"/>
    <w:rsid w:val="1AE63222"/>
    <w:rsid w:val="1B137458"/>
    <w:rsid w:val="1B177D78"/>
    <w:rsid w:val="1B785BC3"/>
    <w:rsid w:val="1BCC692C"/>
    <w:rsid w:val="1BD73ED7"/>
    <w:rsid w:val="1BEA46F2"/>
    <w:rsid w:val="1BF2581B"/>
    <w:rsid w:val="1BF34341"/>
    <w:rsid w:val="1BF400B9"/>
    <w:rsid w:val="1C1B3898"/>
    <w:rsid w:val="1C1D3D57"/>
    <w:rsid w:val="1C2E5379"/>
    <w:rsid w:val="1C314E69"/>
    <w:rsid w:val="1C5D17BA"/>
    <w:rsid w:val="1C617448"/>
    <w:rsid w:val="1C9378D2"/>
    <w:rsid w:val="1CB75047"/>
    <w:rsid w:val="1CBC75AB"/>
    <w:rsid w:val="1D0205B4"/>
    <w:rsid w:val="1D0C0933"/>
    <w:rsid w:val="1D1902C6"/>
    <w:rsid w:val="1D5F5A06"/>
    <w:rsid w:val="1D6B6B14"/>
    <w:rsid w:val="1D813BCE"/>
    <w:rsid w:val="1D903E12"/>
    <w:rsid w:val="1DBD6A22"/>
    <w:rsid w:val="1E5906A7"/>
    <w:rsid w:val="1E6257AE"/>
    <w:rsid w:val="1E7B6870"/>
    <w:rsid w:val="1EB461E8"/>
    <w:rsid w:val="1EC51899"/>
    <w:rsid w:val="1EDC641E"/>
    <w:rsid w:val="1EF06916"/>
    <w:rsid w:val="1EF1268E"/>
    <w:rsid w:val="1F1C595D"/>
    <w:rsid w:val="1F8A7562"/>
    <w:rsid w:val="1F8E33B1"/>
    <w:rsid w:val="1FC658C9"/>
    <w:rsid w:val="1FE72E94"/>
    <w:rsid w:val="20100D4E"/>
    <w:rsid w:val="203618AD"/>
    <w:rsid w:val="20463726"/>
    <w:rsid w:val="204D443F"/>
    <w:rsid w:val="20514B81"/>
    <w:rsid w:val="205556D2"/>
    <w:rsid w:val="20A41D67"/>
    <w:rsid w:val="20B322F1"/>
    <w:rsid w:val="210112AE"/>
    <w:rsid w:val="210260DF"/>
    <w:rsid w:val="211D776A"/>
    <w:rsid w:val="21723F5A"/>
    <w:rsid w:val="2188244D"/>
    <w:rsid w:val="21B93C8E"/>
    <w:rsid w:val="21FA0AEA"/>
    <w:rsid w:val="2208041A"/>
    <w:rsid w:val="220F3CC3"/>
    <w:rsid w:val="22250FCC"/>
    <w:rsid w:val="2234120F"/>
    <w:rsid w:val="224156DA"/>
    <w:rsid w:val="22691450"/>
    <w:rsid w:val="226B2757"/>
    <w:rsid w:val="2294110E"/>
    <w:rsid w:val="22C72083"/>
    <w:rsid w:val="22D402FC"/>
    <w:rsid w:val="22FA4207"/>
    <w:rsid w:val="231057D9"/>
    <w:rsid w:val="235D2431"/>
    <w:rsid w:val="23AE4FF1"/>
    <w:rsid w:val="23DF164F"/>
    <w:rsid w:val="23EA14E8"/>
    <w:rsid w:val="240D4A36"/>
    <w:rsid w:val="240D7F6A"/>
    <w:rsid w:val="241772D9"/>
    <w:rsid w:val="245072D4"/>
    <w:rsid w:val="247749FB"/>
    <w:rsid w:val="249D3D32"/>
    <w:rsid w:val="24AF399C"/>
    <w:rsid w:val="24E231A5"/>
    <w:rsid w:val="24F45C2D"/>
    <w:rsid w:val="25430CDE"/>
    <w:rsid w:val="255838C8"/>
    <w:rsid w:val="25675458"/>
    <w:rsid w:val="257B4C0D"/>
    <w:rsid w:val="25805979"/>
    <w:rsid w:val="25900E53"/>
    <w:rsid w:val="25BA534D"/>
    <w:rsid w:val="25C845C4"/>
    <w:rsid w:val="25D36F91"/>
    <w:rsid w:val="26235365"/>
    <w:rsid w:val="263317DE"/>
    <w:rsid w:val="263A2B6C"/>
    <w:rsid w:val="26B15D41"/>
    <w:rsid w:val="26C07516"/>
    <w:rsid w:val="26C1503C"/>
    <w:rsid w:val="26CD39E1"/>
    <w:rsid w:val="26F32941"/>
    <w:rsid w:val="275B0FEC"/>
    <w:rsid w:val="275B723E"/>
    <w:rsid w:val="27B4672A"/>
    <w:rsid w:val="27B84691"/>
    <w:rsid w:val="27BF1D64"/>
    <w:rsid w:val="27D17500"/>
    <w:rsid w:val="28100AEC"/>
    <w:rsid w:val="281A3657"/>
    <w:rsid w:val="28463A4A"/>
    <w:rsid w:val="285A12A4"/>
    <w:rsid w:val="285F3562"/>
    <w:rsid w:val="28844573"/>
    <w:rsid w:val="28C00F33"/>
    <w:rsid w:val="28C07998"/>
    <w:rsid w:val="294C06BC"/>
    <w:rsid w:val="296E23EE"/>
    <w:rsid w:val="296F5223"/>
    <w:rsid w:val="29A22F02"/>
    <w:rsid w:val="29BF1D06"/>
    <w:rsid w:val="29E75037"/>
    <w:rsid w:val="2A2B114A"/>
    <w:rsid w:val="2A663F30"/>
    <w:rsid w:val="2A773F3F"/>
    <w:rsid w:val="2A985FE8"/>
    <w:rsid w:val="2AA809EC"/>
    <w:rsid w:val="2AB92F9E"/>
    <w:rsid w:val="2ACB5A11"/>
    <w:rsid w:val="2AE44BA5"/>
    <w:rsid w:val="2AF53506"/>
    <w:rsid w:val="2B25527B"/>
    <w:rsid w:val="2B6C37C8"/>
    <w:rsid w:val="2B6D09C0"/>
    <w:rsid w:val="2BC06835"/>
    <w:rsid w:val="2BE041B6"/>
    <w:rsid w:val="2C2C7CA9"/>
    <w:rsid w:val="2C5323E4"/>
    <w:rsid w:val="2C5B1B92"/>
    <w:rsid w:val="2CD45AC9"/>
    <w:rsid w:val="2CD77367"/>
    <w:rsid w:val="2CDB3525"/>
    <w:rsid w:val="2CE37ABA"/>
    <w:rsid w:val="2CFC0B7C"/>
    <w:rsid w:val="2D060A04"/>
    <w:rsid w:val="2D151C3D"/>
    <w:rsid w:val="2D435438"/>
    <w:rsid w:val="2D5377D8"/>
    <w:rsid w:val="2D834DF9"/>
    <w:rsid w:val="2D99461C"/>
    <w:rsid w:val="2DC66E85"/>
    <w:rsid w:val="2DDD2831"/>
    <w:rsid w:val="2DDD65EA"/>
    <w:rsid w:val="2E132621"/>
    <w:rsid w:val="2E856535"/>
    <w:rsid w:val="2E8A30BD"/>
    <w:rsid w:val="2E9223FD"/>
    <w:rsid w:val="2F0C2FEA"/>
    <w:rsid w:val="2F1877C3"/>
    <w:rsid w:val="2F2A5C1F"/>
    <w:rsid w:val="2F552731"/>
    <w:rsid w:val="2F6C3027"/>
    <w:rsid w:val="2FC33BD3"/>
    <w:rsid w:val="300E12F2"/>
    <w:rsid w:val="302F7939"/>
    <w:rsid w:val="30461D65"/>
    <w:rsid w:val="3088670C"/>
    <w:rsid w:val="308A649E"/>
    <w:rsid w:val="309A48BD"/>
    <w:rsid w:val="30F229C1"/>
    <w:rsid w:val="31300933"/>
    <w:rsid w:val="31363E8A"/>
    <w:rsid w:val="31783122"/>
    <w:rsid w:val="32004C6A"/>
    <w:rsid w:val="3229372E"/>
    <w:rsid w:val="322A01FF"/>
    <w:rsid w:val="3253123E"/>
    <w:rsid w:val="32747406"/>
    <w:rsid w:val="32A550C7"/>
    <w:rsid w:val="32BA306B"/>
    <w:rsid w:val="32F81DE5"/>
    <w:rsid w:val="3304373B"/>
    <w:rsid w:val="3317670F"/>
    <w:rsid w:val="33462B51"/>
    <w:rsid w:val="33501C21"/>
    <w:rsid w:val="33983AC4"/>
    <w:rsid w:val="33C148CD"/>
    <w:rsid w:val="34014CC9"/>
    <w:rsid w:val="34276848"/>
    <w:rsid w:val="34861B39"/>
    <w:rsid w:val="348953EB"/>
    <w:rsid w:val="34A8451E"/>
    <w:rsid w:val="35AB1606"/>
    <w:rsid w:val="35B8321E"/>
    <w:rsid w:val="35CB558F"/>
    <w:rsid w:val="36827A11"/>
    <w:rsid w:val="369938DF"/>
    <w:rsid w:val="369B586E"/>
    <w:rsid w:val="36DE12F2"/>
    <w:rsid w:val="36F51978"/>
    <w:rsid w:val="372F3E15"/>
    <w:rsid w:val="37C56E8B"/>
    <w:rsid w:val="37D921E5"/>
    <w:rsid w:val="38004CDB"/>
    <w:rsid w:val="38213C8E"/>
    <w:rsid w:val="38314519"/>
    <w:rsid w:val="38526DEC"/>
    <w:rsid w:val="387B6DBB"/>
    <w:rsid w:val="38CD7870"/>
    <w:rsid w:val="38D32A7B"/>
    <w:rsid w:val="38D34E86"/>
    <w:rsid w:val="38D86941"/>
    <w:rsid w:val="392E6561"/>
    <w:rsid w:val="393578EF"/>
    <w:rsid w:val="394A0EC1"/>
    <w:rsid w:val="39530AD8"/>
    <w:rsid w:val="395B6657"/>
    <w:rsid w:val="39DF785B"/>
    <w:rsid w:val="39F5707E"/>
    <w:rsid w:val="39FC7DAF"/>
    <w:rsid w:val="3A2F44FC"/>
    <w:rsid w:val="3A51791E"/>
    <w:rsid w:val="3A6F6E31"/>
    <w:rsid w:val="3AA50161"/>
    <w:rsid w:val="3BF375EE"/>
    <w:rsid w:val="3C237ED3"/>
    <w:rsid w:val="3C251621"/>
    <w:rsid w:val="3C6A5B02"/>
    <w:rsid w:val="3C9012E0"/>
    <w:rsid w:val="3CCD42E3"/>
    <w:rsid w:val="3CEF73FC"/>
    <w:rsid w:val="3CF658AA"/>
    <w:rsid w:val="3D3E1947"/>
    <w:rsid w:val="3D4520CB"/>
    <w:rsid w:val="3D575A56"/>
    <w:rsid w:val="3D9A41C5"/>
    <w:rsid w:val="3DB6561F"/>
    <w:rsid w:val="3DD07BE6"/>
    <w:rsid w:val="3DD1225F"/>
    <w:rsid w:val="3DFF3D43"/>
    <w:rsid w:val="3E3F52C4"/>
    <w:rsid w:val="3E432AAE"/>
    <w:rsid w:val="3E663D60"/>
    <w:rsid w:val="3E830663"/>
    <w:rsid w:val="3EA13331"/>
    <w:rsid w:val="3EB21A3A"/>
    <w:rsid w:val="3EE17BD1"/>
    <w:rsid w:val="3F6D76B7"/>
    <w:rsid w:val="3F934C4B"/>
    <w:rsid w:val="3F9B4224"/>
    <w:rsid w:val="3FCE0156"/>
    <w:rsid w:val="3FD248DF"/>
    <w:rsid w:val="3FE908F4"/>
    <w:rsid w:val="40093884"/>
    <w:rsid w:val="401144E6"/>
    <w:rsid w:val="40907B01"/>
    <w:rsid w:val="40970E8F"/>
    <w:rsid w:val="40B61D99"/>
    <w:rsid w:val="40D31425"/>
    <w:rsid w:val="41541072"/>
    <w:rsid w:val="415E3BFF"/>
    <w:rsid w:val="417C5B1A"/>
    <w:rsid w:val="41886A2A"/>
    <w:rsid w:val="41B25855"/>
    <w:rsid w:val="421728B5"/>
    <w:rsid w:val="422C3859"/>
    <w:rsid w:val="4241546F"/>
    <w:rsid w:val="42665F8E"/>
    <w:rsid w:val="42964435"/>
    <w:rsid w:val="42C623E0"/>
    <w:rsid w:val="42DE525B"/>
    <w:rsid w:val="43397FDC"/>
    <w:rsid w:val="43880EE9"/>
    <w:rsid w:val="43996C39"/>
    <w:rsid w:val="43B65AD0"/>
    <w:rsid w:val="44240C8C"/>
    <w:rsid w:val="44CE29A6"/>
    <w:rsid w:val="44D41AD2"/>
    <w:rsid w:val="44DD0E3B"/>
    <w:rsid w:val="45012D7B"/>
    <w:rsid w:val="450B3994"/>
    <w:rsid w:val="454B2480"/>
    <w:rsid w:val="459D644F"/>
    <w:rsid w:val="45A2455E"/>
    <w:rsid w:val="45A831F7"/>
    <w:rsid w:val="45D4223E"/>
    <w:rsid w:val="45DD5596"/>
    <w:rsid w:val="45E701C3"/>
    <w:rsid w:val="4628387F"/>
    <w:rsid w:val="46AB7443"/>
    <w:rsid w:val="46AC71B7"/>
    <w:rsid w:val="46AE0CE1"/>
    <w:rsid w:val="46CB1893"/>
    <w:rsid w:val="46D63D94"/>
    <w:rsid w:val="470323D1"/>
    <w:rsid w:val="47182144"/>
    <w:rsid w:val="473E02B7"/>
    <w:rsid w:val="473F5DDD"/>
    <w:rsid w:val="47413903"/>
    <w:rsid w:val="477C7AFE"/>
    <w:rsid w:val="47815904"/>
    <w:rsid w:val="47EA5D49"/>
    <w:rsid w:val="47F04714"/>
    <w:rsid w:val="48425B85"/>
    <w:rsid w:val="484511D1"/>
    <w:rsid w:val="487065CC"/>
    <w:rsid w:val="48A67764"/>
    <w:rsid w:val="48AA3F5E"/>
    <w:rsid w:val="48B23AEE"/>
    <w:rsid w:val="48BC5937"/>
    <w:rsid w:val="48E867FC"/>
    <w:rsid w:val="48E924A4"/>
    <w:rsid w:val="48F0177F"/>
    <w:rsid w:val="48F836CD"/>
    <w:rsid w:val="494559D9"/>
    <w:rsid w:val="49583186"/>
    <w:rsid w:val="49BC1967"/>
    <w:rsid w:val="49E14257"/>
    <w:rsid w:val="49E84536"/>
    <w:rsid w:val="4A5D0A54"/>
    <w:rsid w:val="4ABB1EFA"/>
    <w:rsid w:val="4AC061AE"/>
    <w:rsid w:val="4AEF35CA"/>
    <w:rsid w:val="4B2F3F16"/>
    <w:rsid w:val="4B3D0885"/>
    <w:rsid w:val="4B5300A9"/>
    <w:rsid w:val="4B83098E"/>
    <w:rsid w:val="4BCE14DD"/>
    <w:rsid w:val="4BDB3F72"/>
    <w:rsid w:val="4C152207"/>
    <w:rsid w:val="4D5A3320"/>
    <w:rsid w:val="4DF40B1C"/>
    <w:rsid w:val="4E1A6C5C"/>
    <w:rsid w:val="4E634C11"/>
    <w:rsid w:val="4E86398B"/>
    <w:rsid w:val="4EB35104"/>
    <w:rsid w:val="4ED36436"/>
    <w:rsid w:val="4ED57C04"/>
    <w:rsid w:val="4F0F1A87"/>
    <w:rsid w:val="4F3A75B6"/>
    <w:rsid w:val="4F3E697A"/>
    <w:rsid w:val="4F602D94"/>
    <w:rsid w:val="4F724174"/>
    <w:rsid w:val="4F9C1C34"/>
    <w:rsid w:val="4FD1527D"/>
    <w:rsid w:val="503A35E5"/>
    <w:rsid w:val="504220ED"/>
    <w:rsid w:val="50483F54"/>
    <w:rsid w:val="50577CF3"/>
    <w:rsid w:val="50586C67"/>
    <w:rsid w:val="50850D04"/>
    <w:rsid w:val="508B5BEF"/>
    <w:rsid w:val="50A21BEF"/>
    <w:rsid w:val="50C8299F"/>
    <w:rsid w:val="50D37CC2"/>
    <w:rsid w:val="50F41FE2"/>
    <w:rsid w:val="514566E6"/>
    <w:rsid w:val="51504FF8"/>
    <w:rsid w:val="515F0633"/>
    <w:rsid w:val="51AB6549"/>
    <w:rsid w:val="51D57A6A"/>
    <w:rsid w:val="522E543B"/>
    <w:rsid w:val="523200B5"/>
    <w:rsid w:val="52383B54"/>
    <w:rsid w:val="524E559D"/>
    <w:rsid w:val="525E584E"/>
    <w:rsid w:val="528B1ED6"/>
    <w:rsid w:val="529B480F"/>
    <w:rsid w:val="52A9626E"/>
    <w:rsid w:val="52B7716F"/>
    <w:rsid w:val="530C74BB"/>
    <w:rsid w:val="53191BD8"/>
    <w:rsid w:val="532A5B93"/>
    <w:rsid w:val="5383446C"/>
    <w:rsid w:val="538708F0"/>
    <w:rsid w:val="53DF016F"/>
    <w:rsid w:val="53FD32A8"/>
    <w:rsid w:val="540B0A8E"/>
    <w:rsid w:val="54471365"/>
    <w:rsid w:val="545A4256"/>
    <w:rsid w:val="546C38C4"/>
    <w:rsid w:val="54856A08"/>
    <w:rsid w:val="54AB2899"/>
    <w:rsid w:val="54CA13DC"/>
    <w:rsid w:val="54EC0B47"/>
    <w:rsid w:val="54EF6444"/>
    <w:rsid w:val="55197C6D"/>
    <w:rsid w:val="552A2FF6"/>
    <w:rsid w:val="552C79A0"/>
    <w:rsid w:val="556709D9"/>
    <w:rsid w:val="558F6181"/>
    <w:rsid w:val="559B1D70"/>
    <w:rsid w:val="55B43646"/>
    <w:rsid w:val="55CF47D0"/>
    <w:rsid w:val="561E78CA"/>
    <w:rsid w:val="563A7E9B"/>
    <w:rsid w:val="563E2521"/>
    <w:rsid w:val="56714C64"/>
    <w:rsid w:val="567754A8"/>
    <w:rsid w:val="56B57F8C"/>
    <w:rsid w:val="56BA5480"/>
    <w:rsid w:val="56D05E2D"/>
    <w:rsid w:val="571A47AF"/>
    <w:rsid w:val="571C1C97"/>
    <w:rsid w:val="57250D0D"/>
    <w:rsid w:val="57392849"/>
    <w:rsid w:val="578735B4"/>
    <w:rsid w:val="57887B01"/>
    <w:rsid w:val="57922CF4"/>
    <w:rsid w:val="57EC43C1"/>
    <w:rsid w:val="581806B0"/>
    <w:rsid w:val="58276B45"/>
    <w:rsid w:val="583152CE"/>
    <w:rsid w:val="585A6501"/>
    <w:rsid w:val="5889510A"/>
    <w:rsid w:val="58B76C7B"/>
    <w:rsid w:val="59260BAB"/>
    <w:rsid w:val="592A16DC"/>
    <w:rsid w:val="593C7935"/>
    <w:rsid w:val="597931D9"/>
    <w:rsid w:val="59BA0205"/>
    <w:rsid w:val="59CD7DF4"/>
    <w:rsid w:val="59FC0C7E"/>
    <w:rsid w:val="5A0D3EC9"/>
    <w:rsid w:val="5A20427A"/>
    <w:rsid w:val="5A2450EA"/>
    <w:rsid w:val="5A567AFB"/>
    <w:rsid w:val="5ACE5056"/>
    <w:rsid w:val="5AE30DF1"/>
    <w:rsid w:val="5B04316E"/>
    <w:rsid w:val="5B1D0985"/>
    <w:rsid w:val="5B294982"/>
    <w:rsid w:val="5B2D76DB"/>
    <w:rsid w:val="5B321A89"/>
    <w:rsid w:val="5B3D683F"/>
    <w:rsid w:val="5B8B1538"/>
    <w:rsid w:val="5C036F81"/>
    <w:rsid w:val="5C3655A9"/>
    <w:rsid w:val="5C5509EB"/>
    <w:rsid w:val="5C6475FD"/>
    <w:rsid w:val="5C6914DA"/>
    <w:rsid w:val="5C734107"/>
    <w:rsid w:val="5CAB5675"/>
    <w:rsid w:val="5CB84210"/>
    <w:rsid w:val="5CEE7C31"/>
    <w:rsid w:val="5CF07506"/>
    <w:rsid w:val="5D7155C9"/>
    <w:rsid w:val="5D79574D"/>
    <w:rsid w:val="5DAB167E"/>
    <w:rsid w:val="5DB606CA"/>
    <w:rsid w:val="5E8B4364"/>
    <w:rsid w:val="5EEB267A"/>
    <w:rsid w:val="5F351B48"/>
    <w:rsid w:val="5F5F4F7D"/>
    <w:rsid w:val="5FB94527"/>
    <w:rsid w:val="5FDE2E3A"/>
    <w:rsid w:val="5FF217E7"/>
    <w:rsid w:val="60261490"/>
    <w:rsid w:val="608F60C8"/>
    <w:rsid w:val="609D1752"/>
    <w:rsid w:val="60AE3960"/>
    <w:rsid w:val="60B3541A"/>
    <w:rsid w:val="60E66B0E"/>
    <w:rsid w:val="610B7004"/>
    <w:rsid w:val="612E2B77"/>
    <w:rsid w:val="614C4F26"/>
    <w:rsid w:val="61873A47"/>
    <w:rsid w:val="618A29D3"/>
    <w:rsid w:val="619C0283"/>
    <w:rsid w:val="61E67009"/>
    <w:rsid w:val="61FC4B9F"/>
    <w:rsid w:val="62270009"/>
    <w:rsid w:val="6300421A"/>
    <w:rsid w:val="63327C9B"/>
    <w:rsid w:val="63540F8E"/>
    <w:rsid w:val="63913AC0"/>
    <w:rsid w:val="64287309"/>
    <w:rsid w:val="643F0889"/>
    <w:rsid w:val="645273AA"/>
    <w:rsid w:val="64756940"/>
    <w:rsid w:val="64BD6867"/>
    <w:rsid w:val="64C265C5"/>
    <w:rsid w:val="64C86FBA"/>
    <w:rsid w:val="64F34AB8"/>
    <w:rsid w:val="64FD6C64"/>
    <w:rsid w:val="650925A6"/>
    <w:rsid w:val="652366B8"/>
    <w:rsid w:val="65240694"/>
    <w:rsid w:val="652860F3"/>
    <w:rsid w:val="652A2D73"/>
    <w:rsid w:val="656C3DE9"/>
    <w:rsid w:val="65752C9E"/>
    <w:rsid w:val="659B647C"/>
    <w:rsid w:val="662B15AE"/>
    <w:rsid w:val="662E109F"/>
    <w:rsid w:val="663366B5"/>
    <w:rsid w:val="66577444"/>
    <w:rsid w:val="6672542F"/>
    <w:rsid w:val="66882EA5"/>
    <w:rsid w:val="669B1935"/>
    <w:rsid w:val="66A45B45"/>
    <w:rsid w:val="66AD26EE"/>
    <w:rsid w:val="67062EC3"/>
    <w:rsid w:val="672A5D0A"/>
    <w:rsid w:val="676F7BC1"/>
    <w:rsid w:val="67A23AF2"/>
    <w:rsid w:val="67AE6F7F"/>
    <w:rsid w:val="67B13B73"/>
    <w:rsid w:val="680E2F36"/>
    <w:rsid w:val="682855D7"/>
    <w:rsid w:val="68580655"/>
    <w:rsid w:val="688D1196"/>
    <w:rsid w:val="69054339"/>
    <w:rsid w:val="690D7691"/>
    <w:rsid w:val="694239BF"/>
    <w:rsid w:val="695D23C7"/>
    <w:rsid w:val="697F058F"/>
    <w:rsid w:val="698C4A5A"/>
    <w:rsid w:val="699063A2"/>
    <w:rsid w:val="69BC106D"/>
    <w:rsid w:val="69E46644"/>
    <w:rsid w:val="6A0E694B"/>
    <w:rsid w:val="6A276531"/>
    <w:rsid w:val="6A413A96"/>
    <w:rsid w:val="6A633A0D"/>
    <w:rsid w:val="6A721EA2"/>
    <w:rsid w:val="6AA26B7E"/>
    <w:rsid w:val="6AAF0A00"/>
    <w:rsid w:val="6AB853DB"/>
    <w:rsid w:val="6AB93D93"/>
    <w:rsid w:val="6ADB31F9"/>
    <w:rsid w:val="6ADB40DC"/>
    <w:rsid w:val="6B3D5C05"/>
    <w:rsid w:val="6BF1329A"/>
    <w:rsid w:val="6C0A3459"/>
    <w:rsid w:val="6C0F5640"/>
    <w:rsid w:val="6C3C2767"/>
    <w:rsid w:val="6CB56076"/>
    <w:rsid w:val="6CDF30F3"/>
    <w:rsid w:val="6CE64481"/>
    <w:rsid w:val="6D090170"/>
    <w:rsid w:val="6D0A1C4F"/>
    <w:rsid w:val="6D12171A"/>
    <w:rsid w:val="6D9E4D5C"/>
    <w:rsid w:val="6DF62725"/>
    <w:rsid w:val="6E080427"/>
    <w:rsid w:val="6E5024FA"/>
    <w:rsid w:val="6E7F4B8D"/>
    <w:rsid w:val="6E953A18"/>
    <w:rsid w:val="6E9C573F"/>
    <w:rsid w:val="6EA73AE9"/>
    <w:rsid w:val="6EAA777D"/>
    <w:rsid w:val="6F305926"/>
    <w:rsid w:val="6F653D83"/>
    <w:rsid w:val="6F745D74"/>
    <w:rsid w:val="6FDF79DD"/>
    <w:rsid w:val="6FE51CF0"/>
    <w:rsid w:val="702459EC"/>
    <w:rsid w:val="70900B8F"/>
    <w:rsid w:val="70D50A94"/>
    <w:rsid w:val="716B0BFD"/>
    <w:rsid w:val="71F4319C"/>
    <w:rsid w:val="721101F2"/>
    <w:rsid w:val="722A4E10"/>
    <w:rsid w:val="723D2D95"/>
    <w:rsid w:val="724C3D2E"/>
    <w:rsid w:val="72907369"/>
    <w:rsid w:val="72970871"/>
    <w:rsid w:val="72A85AE3"/>
    <w:rsid w:val="72AC687E"/>
    <w:rsid w:val="72B80000"/>
    <w:rsid w:val="72CB65F3"/>
    <w:rsid w:val="72E21F59"/>
    <w:rsid w:val="72FF44EF"/>
    <w:rsid w:val="72FF629D"/>
    <w:rsid w:val="730D09BA"/>
    <w:rsid w:val="730E028E"/>
    <w:rsid w:val="73155AC0"/>
    <w:rsid w:val="73221F8B"/>
    <w:rsid w:val="73257E81"/>
    <w:rsid w:val="73373C88"/>
    <w:rsid w:val="73634D65"/>
    <w:rsid w:val="737128BD"/>
    <w:rsid w:val="73A3131E"/>
    <w:rsid w:val="73D43285"/>
    <w:rsid w:val="7400712B"/>
    <w:rsid w:val="7431692A"/>
    <w:rsid w:val="746F2FAE"/>
    <w:rsid w:val="747B1953"/>
    <w:rsid w:val="74BB785D"/>
    <w:rsid w:val="74C652C4"/>
    <w:rsid w:val="74CB28DA"/>
    <w:rsid w:val="74F11C15"/>
    <w:rsid w:val="75023E22"/>
    <w:rsid w:val="75076A10"/>
    <w:rsid w:val="751D6EAE"/>
    <w:rsid w:val="756920F3"/>
    <w:rsid w:val="75752846"/>
    <w:rsid w:val="7581079F"/>
    <w:rsid w:val="75A7088F"/>
    <w:rsid w:val="75B23A9A"/>
    <w:rsid w:val="75E8126A"/>
    <w:rsid w:val="761A519B"/>
    <w:rsid w:val="76263B40"/>
    <w:rsid w:val="763E2335"/>
    <w:rsid w:val="769431A0"/>
    <w:rsid w:val="76C5219A"/>
    <w:rsid w:val="76D11515"/>
    <w:rsid w:val="76EC4D8A"/>
    <w:rsid w:val="773E0A45"/>
    <w:rsid w:val="77644920"/>
    <w:rsid w:val="77701517"/>
    <w:rsid w:val="77E872FF"/>
    <w:rsid w:val="77F75794"/>
    <w:rsid w:val="780F6F82"/>
    <w:rsid w:val="78165BF2"/>
    <w:rsid w:val="782B0D66"/>
    <w:rsid w:val="782D701F"/>
    <w:rsid w:val="78672ABE"/>
    <w:rsid w:val="78770683"/>
    <w:rsid w:val="788A6608"/>
    <w:rsid w:val="78E75FCF"/>
    <w:rsid w:val="793F41D1"/>
    <w:rsid w:val="795A247F"/>
    <w:rsid w:val="795F6947"/>
    <w:rsid w:val="79A951B4"/>
    <w:rsid w:val="7A24483B"/>
    <w:rsid w:val="7A5C6FA2"/>
    <w:rsid w:val="7A6743F2"/>
    <w:rsid w:val="7A6A04A0"/>
    <w:rsid w:val="7A714F26"/>
    <w:rsid w:val="7A843F98"/>
    <w:rsid w:val="7AB57072"/>
    <w:rsid w:val="7B1372CE"/>
    <w:rsid w:val="7B362A78"/>
    <w:rsid w:val="7B4738E3"/>
    <w:rsid w:val="7B607AF4"/>
    <w:rsid w:val="7BF070CA"/>
    <w:rsid w:val="7BFA5853"/>
    <w:rsid w:val="7C1754FD"/>
    <w:rsid w:val="7C1D7794"/>
    <w:rsid w:val="7C2E19A1"/>
    <w:rsid w:val="7CB00608"/>
    <w:rsid w:val="7D313D4F"/>
    <w:rsid w:val="7D4F1DA3"/>
    <w:rsid w:val="7D8E0949"/>
    <w:rsid w:val="7DA168CE"/>
    <w:rsid w:val="7DAF266D"/>
    <w:rsid w:val="7DB87774"/>
    <w:rsid w:val="7E1B2FAF"/>
    <w:rsid w:val="7E2334D6"/>
    <w:rsid w:val="7E3E518C"/>
    <w:rsid w:val="7EDD56F4"/>
    <w:rsid w:val="7F2257ED"/>
    <w:rsid w:val="7F5B0CFF"/>
    <w:rsid w:val="7FF7751B"/>
    <w:rsid w:val="7FFD1DB6"/>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39"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1"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unhideWhenUsed/>
    <w:qFormat/>
    <w:uiPriority w:val="99"/>
    <w:pPr>
      <w:keepNext/>
      <w:keepLines/>
      <w:spacing w:before="240" w:after="240" w:line="408" w:lineRule="auto"/>
      <w:jc w:val="left"/>
      <w:outlineLvl w:val="1"/>
    </w:pPr>
    <w:rPr>
      <w:rFonts w:asciiTheme="majorHAnsi" w:hAnsiTheme="majorHAnsi" w:eastAsiaTheme="majorEastAsia" w:cstheme="majorBidi"/>
      <w:b/>
      <w:bCs/>
      <w:color w:val="000000"/>
      <w:sz w:val="32"/>
      <w:szCs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toc 2"/>
    <w:basedOn w:val="1"/>
    <w:next w:val="1"/>
    <w:semiHidden/>
    <w:unhideWhenUsed/>
    <w:qFormat/>
    <w:uiPriority w:val="39"/>
    <w:pPr>
      <w:ind w:left="420" w:leftChars="200"/>
    </w:p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paragraph" w:styleId="5">
    <w:name w:val="index 2"/>
    <w:basedOn w:val="1"/>
    <w:next w:val="1"/>
    <w:unhideWhenUsed/>
    <w:qFormat/>
    <w:uiPriority w:val="0"/>
    <w:pPr>
      <w:ind w:left="200" w:leftChars="200"/>
    </w:pPr>
  </w:style>
  <w:style w:type="table" w:styleId="7">
    <w:name w:val="Table Grid"/>
    <w:basedOn w:val="6"/>
    <w:qFormat/>
    <w:uiPriority w:val="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Emphasis"/>
    <w:basedOn w:val="8"/>
    <w:qFormat/>
    <w:uiPriority w:val="0"/>
    <w:rPr>
      <w:i/>
    </w:rPr>
  </w:style>
  <w:style w:type="paragraph" w:customStyle="1" w:styleId="11">
    <w:name w:val="左侧第一标题"/>
    <w:basedOn w:val="3"/>
    <w:next w:val="5"/>
    <w:qFormat/>
    <w:uiPriority w:val="0"/>
    <w:pPr>
      <w:tabs>
        <w:tab w:val="left" w:pos="567"/>
      </w:tabs>
      <w:spacing w:before="100" w:beforeAutospacing="1" w:after="100" w:afterAutospacing="1" w:line="400" w:lineRule="exact"/>
      <w:ind w:left="0" w:leftChars="0"/>
      <w:jc w:val="left"/>
      <w:outlineLvl w:val="2"/>
    </w:pPr>
    <w:rPr>
      <w:rFonts w:ascii="宋体" w:hAnsi="宋体" w:eastAsia="宋体" w:cs="Calibri"/>
      <w:b/>
      <w:sz w:val="32"/>
      <w:szCs w:val="32"/>
    </w:rPr>
  </w:style>
  <w:style w:type="character" w:customStyle="1" w:styleId="12">
    <w:name w:val="NormalCharacter"/>
    <w:semiHidden/>
    <w:qFormat/>
    <w:uiPriority w:val="0"/>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7b186f5b-044f-413b-9434-8cc57f59504d</errorID>
      <errorWord>（</errorWord>
      <group>L1_Punc</group>
      <groupName>标点问题</groupName>
      <ability>L2_Punc</ability>
      <abilityName>标点符号检查</abilityName>
      <candidateList/>
      <explain/>
      <paraID>71B8C5E8</paraID>
      <start>56</start>
      <end>57</end>
      <status>ignored</status>
      <modifiedWord/>
      <trackRevisions>false</trackRevisions>
    </reviewItem>
    <reviewItem>
      <errorID>6fb044b1-9881-4b3b-bfb2-f8aff8f389bc</errorID>
      <errorWord>(</errorWord>
      <group>L1_Format</group>
      <groupName>格式问题</groupName>
      <ability>L2_HalfPunc</ability>
      <abilityName>全半角检查</abilityName>
      <candidateList>
        <item>（</item>
      </candidateList>
      <explain>文本全半角错误。</explain>
      <paraID>36525789</paraID>
      <start>46</start>
      <end>47</end>
      <status>ignored</status>
      <modifiedWord/>
      <trackRevisions>false</trackRevisions>
    </reviewItem>
    <reviewItem>
      <errorID>46918a74-cf44-43d2-8574-08886810649d</errorID>
      <errorWord>)</errorWord>
      <group>L1_Format</group>
      <groupName>格式问题</groupName>
      <ability>L2_HalfPunc</ability>
      <abilityName>全半角检查</abilityName>
      <candidateList>
        <item>）</item>
      </candidateList>
      <explain>文本全半角错误。</explain>
      <paraID>36525789</paraID>
      <start>59</start>
      <end>60</end>
      <status>ignored</status>
      <modifiedWord/>
      <trackRevisions>false</trackRevisions>
    </reviewItem>
    <reviewItem>
      <errorID>417dc1d8-ef81-409c-891a-a5454086b32a</errorID>
      <errorWord>--</errorWord>
      <group>L1_Punc</group>
      <groupName>标点问题</groupName>
      <ability>L2_Punc</ability>
      <abilityName>标点符号检查</abilityName>
      <candidateList>
        <item>——</item>
      </candidateList>
      <explain>破折号或连接号疑似使用错误。</explain>
      <paraID>300530B4</paraID>
      <start>12</start>
      <end>14</end>
      <status>ignored</status>
      <modifiedWord/>
      <trackRevisions>false</trackRevisions>
    </reviewItem>
    <reviewItem>
      <errorID>cea6b43d-c440-4fb1-b837-107cfb888163</errorID>
      <errorWord>（</errorWord>
      <group>L1_Punc</group>
      <groupName>标点问题</groupName>
      <ability>L2_Punc</ability>
      <abilityName>标点符号检查</abilityName>
      <candidateList/>
      <explain/>
      <paraID>300530B4</paraID>
      <start>30</start>
      <end>31</end>
      <status>ignored</status>
      <modifiedWord/>
      <trackRevisions>false</trackRevisions>
    </reviewItem>
    <reviewItem>
      <errorID>c0d55483-8866-48be-b64b-fec9b6c413c6</errorID>
      <errorWord>)</errorWord>
      <group>L1_Format</group>
      <groupName>格式问题</groupName>
      <ability>L2_HalfPunc</ability>
      <abilityName>全半角检查</abilityName>
      <candidateList>
        <item>）</item>
      </candidateList>
      <explain>文本全半角错误。</explain>
      <paraID>40D68EA8</paraID>
      <start>32</start>
      <end>33</end>
      <status>ignored</status>
      <modifiedWord/>
      <trackRevisions>false</trackRevisions>
    </reviewItem>
    <reviewItem>
      <errorID>db111eb9-f822-484c-85df-87b2ef82c184</errorID>
      <errorWord>期间</errorWord>
      <group>L1_Word</group>
      <groupName>字词问题</groupName>
      <ability>L2_Typo</ability>
      <abilityName>字词错误</abilityName>
      <candidateList>
        <item>其间</item>
      </candidateList>
      <explain>〈名〉方位词。❶那中间；其中：厕身～｜～定有缘故。❷指某一段时间：离开学校已经好几年了，这～，他在科学研究上取得了显著成绩。</explain>
      <paraID>4F17A109</paraID>
      <start>38</start>
      <end>40</end>
      <status>ignored</status>
      <modifiedWord/>
      <trackRevisions>false</trackRevisions>
    </reviewItem>
    <reviewItem>
      <errorID>35584422-e02e-4868-8132-988eb029cb27</errorID>
      <errorWord>杂质聚集</errorWord>
      <group>L1_Grammar</group>
      <groupName>语法问题</groupName>
      <ability>L2_Order</ability>
      <abilityName>语序不当</abilityName>
      <candidateList>
        <item>杂质</item>
      </candidateList>
      <explain>句子可能没有遵循时空、逻辑顺序，或者介词、关联词等位置不当。</explain>
      <paraID>7CEDCB87</paraID>
      <start>54</start>
      <end>58</end>
      <status>ignored</status>
      <modifiedWord/>
      <trackRevisions>false</trackRevisions>
    </reviewItem>
  </reviewItems>
  <config/>
</contractReview>
</file>

<file path=customXml/itemProps1.xml><?xml version="1.0" encoding="utf-8"?>
<ds:datastoreItem xmlns:ds="http://schemas.openxmlformats.org/officeDocument/2006/customXml" ds:itemID="{d7cd8ea9-9ddb-4a5d-9353-36930aa22182}">
  <ds:schemaRefs/>
</ds:datastoreItem>
</file>

<file path=docProps/app.xml><?xml version="1.0" encoding="utf-8"?>
<Properties xmlns="http://schemas.openxmlformats.org/officeDocument/2006/extended-properties" xmlns:vt="http://schemas.openxmlformats.org/officeDocument/2006/docPropsVTypes">
  <Pages>12</Pages>
  <Words>4945</Words>
  <Characters>5245</Characters>
  <TotalTime>9</TotalTime>
  <ScaleCrop>false</ScaleCrop>
  <LinksUpToDate>false</LinksUpToDate>
  <CharactersWithSpaces>5293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2024-07-04T20:14:00Z</dcterms:created>
  <dc:creator>Administrator</dc:creator>
  <cp:lastModifiedBy>啊稚</cp:lastModifiedBy>
  <dcterms:modified xsi:type="dcterms:W3CDTF">2026-01-04T09:07:09Z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47388B121BA44BD7B322E35EE65CD5CD_13</vt:lpwstr>
  </property>
  <property fmtid="{D5CDD505-2E9C-101B-9397-08002B2CF9AE}" pid="4" name="KSOTemplateDocerSaveRecord">
    <vt:lpwstr>eyJoZGlkIjoiYWQ4ODk2ZWY5ZmNmZWNlOGIyZThmMWY1MGExOWRkNTQiLCJ1c2VySWQiOiIzNzkzNzQ1NzAifQ==</vt:lpwstr>
  </property>
</Properties>
</file>