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rPr>
          <w:rFonts w:ascii="Times New Roman" w:hAnsi="Times New Roman"/>
          <w:color w:val="000000"/>
        </w:rPr>
        <w:t xml:space="preserve">Период</w:t>
      </w:r>
      <w:r>
        <w:rPr>
          <w:rFonts w:ascii="Times New Roman" w:hAnsi="Times New Roman"/>
          <w:color w:val="000000"/>
        </w:rPr>
        <w:t xml:space="preserve"> </w:t>
      </w:r>
      <w:r>
        <w:rPr>
          <w:rFonts w:ascii="Times New Roman" w:hAnsi="Times New Roman"/>
          <w:color w:val="000000"/>
        </w:rPr>
        <w:t xml:space="preserve">скраббинга</w:t>
      </w:r>
      <w:r>
        <w:rPr>
          <w:rFonts w:ascii="Times New Roman" w:hAnsi="Times New Roman"/>
          <w:color w:val="000000"/>
        </w:rPr>
        <w:t xml:space="preserve"> </w:t>
      </w:r>
      <w:r>
        <w:rPr>
          <w:rFonts w:ascii="Times New Roman" w:hAnsi="Times New Roman"/>
          <w:color w:val="000000"/>
        </w:rPr>
        <w:t xml:space="preserve">статической</w:t>
      </w:r>
      <w:r>
        <w:rPr>
          <w:rFonts w:ascii="Times New Roman" w:hAnsi="Times New Roman"/>
          <w:color w:val="000000"/>
        </w:rPr>
        <w:t xml:space="preserve"> </w:t>
      </w:r>
      <w:r>
        <w:rPr>
          <w:rFonts w:ascii="Times New Roman" w:hAnsi="Times New Roman"/>
          <w:color w:val="000000"/>
        </w:rPr>
        <w:t xml:space="preserve">памяти</w:t>
      </w:r>
      <w:r>
        <w:rPr>
          <w:rFonts w:ascii="Times New Roman" w:hAnsi="Times New Roman"/>
          <w:color w:val="000000"/>
        </w:rPr>
        <w:t xml:space="preserve"> </w:t>
      </w:r>
      <w:r>
        <w:rPr>
          <w:rFonts w:ascii="Times New Roman" w:hAnsi="Times New Roman"/>
          <w:color w:val="000000"/>
        </w:rPr>
        <w:t xml:space="preserve">с</w:t>
      </w:r>
      <w:r>
        <w:rPr>
          <w:rFonts w:ascii="Times New Roman" w:hAnsi="Times New Roman"/>
          <w:color w:val="000000"/>
        </w:rPr>
        <w:t xml:space="preserve"> </w:t>
      </w:r>
      <w:r>
        <w:rPr>
          <w:rFonts w:ascii="Times New Roman" w:hAnsi="Times New Roman"/>
          <w:color w:val="000000"/>
        </w:rPr>
        <w:t xml:space="preserve">учётом</w:t>
      </w:r>
      <w:r>
        <w:rPr>
          <w:rFonts w:ascii="Times New Roman" w:hAnsi="Times New Roman"/>
          <w:color w:val="000000"/>
        </w:rPr>
        <w:t xml:space="preserve"> </w:t>
      </w:r>
      <w:r>
        <w:rPr>
          <w:rFonts w:ascii="Times New Roman" w:hAnsi="Times New Roman"/>
          <w:color w:val="000000"/>
        </w:rPr>
        <w:t xml:space="preserve">множественных</w:t>
      </w:r>
      <w:r>
        <w:rPr>
          <w:rFonts w:ascii="Times New Roman" w:hAnsi="Times New Roman"/>
          <w:color w:val="000000"/>
        </w:rPr>
        <w:t xml:space="preserve"> </w:t>
      </w:r>
      <w:r>
        <w:rPr>
          <w:rFonts w:ascii="Times New Roman" w:hAnsi="Times New Roman"/>
          <w:color w:val="000000"/>
        </w:rPr>
        <w:t xml:space="preserve">сбоев</w:t>
      </w:r>
      <w:r>
        <w:rPr>
          <w:rFonts w:ascii="Times New Roman" w:hAnsi="Times New Roman"/>
          <w:color w:val="000000"/>
        </w:rPr>
        <w:t xml:space="preserve"> </w:t>
      </w:r>
      <w:r>
        <w:rPr>
          <w:rFonts w:ascii="Times New Roman" w:hAnsi="Times New Roman"/>
          <w:color w:val="000000"/>
        </w:rPr>
        <w:t xml:space="preserve">в</w:t>
      </w:r>
      <w:r>
        <w:rPr>
          <w:rFonts w:ascii="Times New Roman" w:hAnsi="Times New Roman"/>
          <w:color w:val="000000"/>
        </w:rPr>
        <w:t xml:space="preserve"> </w:t>
      </w:r>
      <w:r>
        <w:rPr>
          <w:rFonts w:ascii="Times New Roman" w:hAnsi="Times New Roman"/>
          <w:color w:val="000000"/>
        </w:rPr>
        <w:t xml:space="preserve">пределах</w:t>
      </w:r>
      <w:r>
        <w:rPr>
          <w:rFonts w:ascii="Times New Roman" w:hAnsi="Times New Roman"/>
          <w:color w:val="000000"/>
        </w:rPr>
        <w:t xml:space="preserve"> </w:t>
      </w:r>
      <w:r>
        <w:rPr>
          <w:rFonts w:ascii="Times New Roman" w:hAnsi="Times New Roman"/>
          <w:color w:val="000000"/>
        </w:rPr>
        <w:t xml:space="preserve">слова</w:t>
      </w:r>
    </w:p>
    <w:p>
      <w:pPr>
        <w:pStyle w:val="FirstParagraph"/>
        <w:widowControl/>
      </w:pPr>
      <w:r>
        <w:rPr>
          <w:iCs/>
          <w:i/>
        </w:rPr>
        <w:t xml:space="preserve">Предложен расчётно-экспериментальный метод оценки допустимого периода скраббинга памяти с кодом, исправляющим одну ошибку в слове. Вероятность появления слова с неисправимой ошибкой за срок активного существования ограничена снизу не зависящей от периода скраббинга вероятностью множественного сбоя в пределах слова от одной частицы (SMU, single-word multiple-bit upset), а сверху — суммой этой вероятности и ожидаемого числа пар накопившихся ошибок. Оценка накопления требует только пиковой частоты ошибок и их ожидаемого числа за срок активного существования и не требует задания временного профиля солнечного события. Метод применён к открытым данным о 173 802 кластерах сбоев в статическом оперативном запоминающем устройстве (СОЗУ) CY62167GE30 с проектной нормой 65 нм. По этим данным восстановлена формула отображения координат ячеек во внешние адреса. Показано, что размещение информационных разрядов слова в одной строке исключает SMU от наблюдавшихся кластеров. Для геостационарной орбиты (10 лет, допустимая вероятность 10⁻³, алюминиевая защита 1,5–4,0 г/см²) допустимый постоянный период составляет 80–178 с при учёте только галактических космических лучей, а с учётом солнечных космических лучей — 0,010–0,45 с, т. е. сравним со временем полного цикла опроса памяти. Среди рассмотренных значений защиты непрерывный скраббинг впервые удовлетворяет достаточному условию при 2,0–3,5 г/см² в зависимости от способа опроса. При защите 1,5–4,0 г/см² точечная оценка ожидаемого числа SMU для слова в разных строках в 21–41 раз ниже допустимой вероятности, однако по принятой методике требование не подтверждается. При размещении слова в одной строке для подтверждения нужны облучение ионами с линейными потерями энергии не менее 57 МэВ·см²/мг без SMU с дополнительным флюенсом 10⁵–5·10⁵ см⁻² и испытания при наклонном падении.</w:t>
      </w:r>
    </w:p>
    <w:p>
      <w:pPr>
        <w:pStyle w:val="BodyText"/>
        <w:widowControl/>
      </w:pPr>
      <w:r>
        <w:rPr>
          <w:bCs/>
          <w:b/>
        </w:rPr>
        <w:t xml:space="preserve">Ключевые слова:</w:t>
      </w:r>
      <w:r>
        <w:t xml:space="preserve"> </w:t>
      </w:r>
      <w:r>
        <w:t xml:space="preserve">статическое оперативное запоминающее устройство, одиночные радиационные эффекты, множественный сбой, код Хэмминга, перемежение разрядов, скраббинг, солнечные космические лучи, геостационарная орбита.</w:t>
      </w:r>
    </w:p>
    <w:bookmarkStart w:id="20" w:name="введение"/>
    <w:p>
      <w:pPr>
        <w:pStyle w:val="Heading1"/>
        <w:widowControl/>
      </w:pPr>
      <w:r>
        <w:rPr>
          <w:rFonts w:ascii="Times New Roman" w:hAnsi="Times New Roman"/>
          <w:color w:val="000000"/>
        </w:rPr>
        <w:t xml:space="preserve">Введение</w:t>
      </w:r>
    </w:p>
    <w:p>
      <w:pPr>
        <w:pStyle w:val="FirstParagraph"/>
        <w:widowControl/>
      </w:pPr>
      <w:r>
        <w:t xml:space="preserve">В бортовой аппаратуре космических аппаратов применяются статические оперативные запоминающие устройства (СОЗУ) коммерческого исполнения со встроенным кодом, исправляющим одну ошибку в слове. Защиту от одиночных сбоев в такой памяти обеспечивают код и скраббинг — периодическая проверка памяти с исправлением ошибки и обратной записью [1]. С уменьшением проектной нормы растёт доля множественных сбоев (МС), при которых одна частица вызывает сбои нескольких соседних ячеек [2–4]. Если две такие ячейки принадлежат одному кодовому слову, возникает множественный сбой в пределах одного слова (SMU — single-word multiple-bit upset) [5], который код не исправляет [6, 7].</w:t>
      </w:r>
    </w:p>
    <w:p>
      <w:pPr>
        <w:pStyle w:val="BodyText"/>
        <w:widowControl/>
      </w:pPr>
      <w:r>
        <w:t xml:space="preserve">Изготовитель рассматриваемой ниже микросхемы указывает для наземных условий интенсивность отказов менее 0,1 FIT (FIT — один отказ за 10⁹ ч работы) на мегабит и оценивает только накопление одиночных ошибок [7, 8]. В [9] неисправимая ошибка непосредственно от МС связывается с тем, что размер МС превышает шаг перемежения разрядов, в [10–12] неисправимые ошибки от МС учитываются совместно с накоплением, в [13, 14] рассматривается накопление при периодическом скраббинге. В [15] вероятность нескольких ошибок в блоке памяти оценивается с учётом солнечных событий и периодического скраббинга; сбоеустойчивость СОЗУ с исправлением одиночных сбоев исследовалась в [16, 17]. Если организация памяти неизвестна, смежные ячейки и структуру перемежения восстанавливают по статистике адресов [18–21]. В отличие от этих работ, предлагаемая оценка ограничивает накопление через пиковую частоту и ожидаемое число ошибок, а статистика SMU входит в критерий выбора периода отдельно от накопления.</w:t>
      </w:r>
    </w:p>
    <w:p>
      <w:pPr>
        <w:pStyle w:val="BodyText"/>
        <w:widowControl/>
      </w:pPr>
      <w:r>
        <w:t xml:space="preserve">При оценке по результатам испытаний остаются три трудности. Частоту SMU приходится оценивать по единичным событиям. Она зависит от неизвестного соответствия ячеек внутренним кодовым словам. Оценка вероятности накопления квадратично зависит от частоты ошибок, поэтому чувствительна к временному профилю солнечного события, который известен плохо.</w:t>
      </w:r>
    </w:p>
    <w:p>
      <w:pPr>
        <w:pStyle w:val="BodyText"/>
        <w:widowControl/>
      </w:pPr>
      <w:r>
        <w:t xml:space="preserve">Цель работы — разработать метод оценки допустимого периода скраббинга, который раздельно учитывает SMU и накопление ошибок, требует для накопления только пиковой частоты и ожидаемого числа ошибок и позволяет оценить запас по частоте SMU при малой статистике. Метод применён к открытым данным для СОЗУ CY62167GE30 [22]: восстановлено отображение координат ячеек во внешние адреса, установлены геометрические условия SMU и выполнен расчёт для геостационарной орбиты с учётом галактических (ГКЛ) и солнечных (СКЛ) космических лучей.</w:t>
      </w:r>
    </w:p>
    <w:bookmarkEnd w:id="20"/>
    <w:bookmarkStart w:id="24" w:name="метод"/>
    <w:p>
      <w:pPr>
        <w:pStyle w:val="Heading1"/>
        <w:widowControl/>
      </w:pPr>
      <w:r>
        <w:rPr>
          <w:rFonts w:ascii="Times New Roman" w:hAnsi="Times New Roman"/>
          <w:color w:val="000000"/>
        </w:rPr>
        <w:t xml:space="preserve">Метод</w:t>
      </w:r>
    </w:p>
    <w:p>
      <w:pPr>
        <w:pStyle w:val="FirstParagraph"/>
        <w:widowControl/>
      </w:pPr>
      <w:r>
        <w:t xml:space="preserve">Память содержит</w:t>
      </w:r>
      <w:r>
        <w:t xml:space="preserve"> </w:t>
      </w:r>
      <m:oMath>
        <m:sSub>
          <m:e>
            <m:r>
              <m:t>N</m:t>
            </m:r>
          </m:e>
          <m:sub>
            <m:r>
              <m:rPr>
                <m:nor/>
                <m:sty m:val="p"/>
              </m:rPr>
              <m:t>сл</m:t>
            </m:r>
          </m:sub>
        </m:sSub>
      </m:oMath>
      <w:r>
        <w:t xml:space="preserve"> </w:t>
      </w:r>
      <w:r>
        <w:t xml:space="preserve">кодовых слов по</w:t>
      </w:r>
      <w:r>
        <w:t xml:space="preserve"> </w:t>
      </w:r>
      <m:oMath>
        <m:r>
          <m:t>n</m:t>
        </m:r>
      </m:oMath>
      <w:r>
        <w:t xml:space="preserve"> </w:t>
      </w:r>
      <w:r>
        <w:t xml:space="preserve">разрядов, всего</w:t>
      </w:r>
      <w:r>
        <w:t xml:space="preserve"> </w:t>
      </w:r>
      <m:oMath>
        <m:sSub>
          <m:e>
            <m:r>
              <m:t>N</m:t>
            </m:r>
          </m:e>
          <m:sub>
            <m:r>
              <m:rPr>
                <m:nor/>
                <m:sty m:val="p"/>
              </m:rPr>
              <m:t>полн</m:t>
            </m:r>
          </m:sub>
        </m:sSub>
        <m:r>
          <m:rPr>
            <m:sty m:val="p"/>
          </m:rPr>
          <m:t>=</m:t>
        </m:r>
        <m:r>
          <m:t>n</m:t>
        </m:r>
        <m:sSub>
          <m:e>
            <m:r>
              <m:t>N</m:t>
            </m:r>
          </m:e>
          <m:sub>
            <m:r>
              <m:rPr>
                <m:nor/>
                <m:sty m:val="p"/>
              </m:rPr>
              <m:t>сл</m:t>
            </m:r>
          </m:sub>
        </m:sSub>
      </m:oMath>
      <w:r>
        <w:t xml:space="preserve"> </w:t>
      </w:r>
      <w:r>
        <w:t xml:space="preserve">разрядов. Код исправляет одну ошибку; слово содержит неисправимую ошибку, если число ошибочных разрядов в нём больше одного. Период скраббинга</w:t>
      </w:r>
      <w:r>
        <w:t xml:space="preserve"> </w:t>
      </w:r>
      <m:oMath>
        <m:r>
          <m:t>τ</m:t>
        </m:r>
      </m:oMath>
      <w:r>
        <w:t xml:space="preserve"> </w:t>
      </w:r>
      <w:r>
        <w:t xml:space="preserve">— наибольший интервал между последовательными проверками одного слова; после проверки слово восстанавливается полностью, в начальный момент память исправна.</w:t>
      </w:r>
    </w:p>
    <w:p>
      <w:pPr>
        <w:pStyle w:val="BodyText"/>
        <w:widowControl/>
      </w:pPr>
      <w:r>
        <w:t xml:space="preserve">Зарегистрированное событие</w:t>
      </w:r>
      <w:r>
        <w:t xml:space="preserve"> </w:t>
      </w:r>
      <m:oMath>
        <m:r>
          <m:t>Z</m:t>
        </m:r>
      </m:oMath>
      <w:r>
        <w:t xml:space="preserve"> </w:t>
      </w:r>
      <w:r>
        <w:t xml:space="preserve">содержит</w:t>
      </w:r>
      <w:r>
        <w:t xml:space="preserve"> </w:t>
      </w:r>
      <m:oMath>
        <m:r>
          <m:t>m</m:t>
        </m:r>
      </m:oMath>
      <w:r>
        <w:t xml:space="preserve"> </w:t>
      </w:r>
      <w:r>
        <w:t xml:space="preserve">различных ошибочных ячеек. Отображение</w:t>
      </w:r>
      <w:r>
        <w:t xml:space="preserve"> </w:t>
      </w:r>
      <m:oMath>
        <m:r>
          <m:t>W</m:t>
        </m:r>
        <m:d>
          <m:dPr>
            <m:begChr m:val="("/>
            <m:endChr m:val=")"/>
            <m:sepChr m:val=""/>
            <m:grow/>
          </m:dPr>
          <m:e>
            <m:r>
              <m:t>c</m:t>
            </m:r>
          </m:e>
        </m:d>
      </m:oMath>
      <w:r>
        <w:t xml:space="preserve"> </w:t>
      </w:r>
      <w:r>
        <w:t xml:space="preserve">ставит в соответствие ячейке</w:t>
      </w:r>
      <w:r>
        <w:t xml:space="preserve"> </w:t>
      </w:r>
      <m:oMath>
        <m:r>
          <m:t>c</m:t>
        </m:r>
      </m:oMath>
      <w:r>
        <w:t xml:space="preserve"> </w:t>
      </w:r>
      <w:r>
        <w:t xml:space="preserve">номер кодового слова; индикатор</w:t>
      </w:r>
      <w:r>
        <w:t xml:space="preserve"> </w:t>
      </w:r>
      <m:oMath>
        <m:sSub>
          <m:e>
            <m:r>
              <m:t>D</m:t>
            </m:r>
          </m:e>
          <m:sub>
            <m:r>
              <m:t>W</m:t>
            </m:r>
          </m:sub>
        </m:sSub>
        <m:d>
          <m:dPr>
            <m:begChr m:val="("/>
            <m:endChr m:val=")"/>
            <m:sepChr m:val=""/>
            <m:grow/>
          </m:dPr>
          <m:e>
            <m:r>
              <m:t>Z</m:t>
            </m:r>
          </m:e>
        </m:d>
      </m:oMath>
      <w:r>
        <w:t xml:space="preserve"> </w:t>
      </w:r>
      <w:r>
        <w:t xml:space="preserve">равен 1, если хотя бы две ячейки события принадлежат одному слову (SMU), и 0 в остальных случаях; SMU считается приводящим к неисправимой ошибке. События образуют пуассоновский поток интенсивности</w:t>
      </w:r>
      <w:r>
        <w:t xml:space="preserve"> </w:t>
      </w:r>
      <m:oMath>
        <m:r>
          <m:t>λ</m:t>
        </m:r>
        <m:d>
          <m:dPr>
            <m:begChr m:val="("/>
            <m:endChr m:val=")"/>
            <m:sepChr m:val=""/>
            <m:grow/>
          </m:dPr>
          <m:e>
            <m:r>
              <m:t>t</m:t>
            </m:r>
          </m:e>
        </m:d>
      </m:oMath>
      <w:r>
        <w:t xml:space="preserve">; положения разных событий в массиве независимы и равномерно распределены, форма события задаётся по результатам испытаний. Частоты SMU и ошибочных разрядов остальных событий:</w:t>
      </w:r>
    </w:p>
    <w:p>
      <w:pPr>
        <w:pStyle w:val="BodyText"/>
        <w:keepLines/>
        <w:widowControl/>
        <w:tabs>
          <w:tab w:pos="4706" w:val="center"/>
          <w:tab w:pos="9638" w:val="right"/>
        </w:tabs>
        <w:ind w:firstLine="0"/>
        <w:jc w:val="left"/>
      </w:pPr>
      <w:r>
        <w:tab/>
      </w:r>
      <m:oMath>
        <m:sSub>
          <m:e>
            <m:r>
              <m:t>ν</m:t>
            </m:r>
          </m:e>
          <m:sub>
            <m:r>
              <m:t>1</m:t>
            </m:r>
          </m:sub>
        </m:sSub>
        <m:d>
          <m:dPr>
            <m:begChr m:val="("/>
            <m:endChr m:val=")"/>
            <m:sepChr m:val=""/>
            <m:grow/>
          </m:dPr>
          <m:e>
            <m:r>
              <m:t>t</m:t>
            </m:r>
          </m:e>
        </m:d>
        <m:r>
          <m:rPr>
            <m:sty m:val="p"/>
          </m:rPr>
          <m:t>=</m:t>
        </m:r>
        <m:r>
          <m:t>λ</m:t>
        </m:r>
        <m:d>
          <m:dPr>
            <m:begChr m:val="("/>
            <m:endChr m:val=")"/>
            <m:sepChr m:val=""/>
            <m:grow/>
          </m:dPr>
          <m:e>
            <m:r>
              <m:t>t</m:t>
            </m:r>
          </m:e>
        </m:d>
        <m:r>
          <m:t> </m:t>
        </m:r>
        <m:r>
          <m:rPr>
            <m:sty m:val="p"/>
          </m:rPr>
          <m:t>P</m:t>
        </m:r>
        <m:r>
          <m:rPr>
            <m:sty m:val="p"/>
          </m:rPr>
          <m:t>{</m:t>
        </m:r>
        <m:sSub>
          <m:e>
            <m:r>
              <m:t>D</m:t>
            </m:r>
          </m:e>
          <m:sub>
            <m:r>
              <m:t>W</m:t>
            </m:r>
          </m:sub>
        </m:sSub>
        <m:d>
          <m:dPr>
            <m:begChr m:val="("/>
            <m:endChr m:val=")"/>
            <m:sepChr m:val=""/>
            <m:grow/>
          </m:dPr>
          <m:e>
            <m:r>
              <m:t>Z</m:t>
            </m:r>
          </m:e>
        </m:d>
        <m:r>
          <m:rPr>
            <m:sty m:val="p"/>
          </m:rPr>
          <m:t>=</m:t>
        </m:r>
        <m:r>
          <m:t>1</m:t>
        </m:r>
        <m:r>
          <m:rPr>
            <m:sty m:val="p"/>
          </m:rPr>
          <m:t>}</m:t>
        </m:r>
        <m:r>
          <m:rPr>
            <m:sty m:val="p"/>
          </m:rPr>
          <m:t>,</m:t>
        </m:r>
        <m:r>
          <m:t>  </m:t>
        </m:r>
        <m:sSub>
          <m:e>
            <m:r>
              <m:t>ν</m:t>
            </m:r>
          </m:e>
          <m:sub>
            <m:r>
              <m:rPr>
                <m:nor/>
                <m:sty m:val="p"/>
              </m:rPr>
              <m:t>нак</m:t>
            </m:r>
          </m:sub>
        </m:sSub>
        <m:d>
          <m:dPr>
            <m:begChr m:val="("/>
            <m:endChr m:val=")"/>
            <m:sepChr m:val=""/>
            <m:grow/>
          </m:dPr>
          <m:e>
            <m:r>
              <m:t>t</m:t>
            </m:r>
          </m:e>
        </m:d>
        <m:r>
          <m:rPr>
            <m:sty m:val="p"/>
          </m:rPr>
          <m:t>=</m:t>
        </m:r>
        <m:r>
          <m:t>λ</m:t>
        </m:r>
        <m:d>
          <m:dPr>
            <m:begChr m:val="("/>
            <m:endChr m:val=")"/>
            <m:sepChr m:val=""/>
            <m:grow/>
          </m:dPr>
          <m:e>
            <m:r>
              <m:t>t</m:t>
            </m:r>
          </m:e>
        </m:d>
        <m:r>
          <m:t> </m:t>
        </m:r>
        <m:r>
          <m:rPr>
            <m:sty m:val="p"/>
          </m:rPr>
          <m:t>E</m:t>
        </m:r>
        <m:r>
          <m:t> </m:t>
        </m:r>
        <m:d>
          <m:dPr>
            <m:begChr m:val="["/>
            <m:endChr m:val="]"/>
            <m:sepChr m:val=""/>
            <m:grow/>
          </m:dPr>
          <m:e>
            <m:r>
              <m:t>m</m:t>
            </m:r>
            <m:r>
              <m:t> </m:t>
            </m:r>
            <m:d>
              <m:dPr>
                <m:begChr m:val="("/>
                <m:endChr m:val=")"/>
                <m:sepChr m:val=""/>
                <m:grow/>
              </m:dPr>
              <m:e>
                <m:r>
                  <m:t>1</m:t>
                </m:r>
                <m:r>
                  <m:rPr>
                    <m:sty m:val="p"/>
                  </m:rPr>
                  <m:t>−</m:t>
                </m:r>
                <m:sSub>
                  <m:e>
                    <m:r>
                      <m:t>D</m:t>
                    </m:r>
                  </m:e>
                  <m:sub>
                    <m:r>
                      <m:t>W</m:t>
                    </m:r>
                  </m:sub>
                </m:sSub>
                <m:d>
                  <m:dPr>
                    <m:begChr m:val="("/>
                    <m:endChr m:val=")"/>
                    <m:sepChr m:val=""/>
                    <m:grow/>
                  </m:dPr>
                  <m:e>
                    <m:r>
                      <m:t>Z</m:t>
                    </m:r>
                  </m:e>
                </m:d>
              </m:e>
            </m:d>
          </m:e>
        </m:d>
        <m:r>
          <m:rPr>
            <m:sty m:val="p"/>
          </m:rPr>
          <m:t>.</m:t>
        </m:r>
      </m:oMath>
      <w:r>
        <w:tab/>
        <w:t>(1)</w:t>
      </w:r>
    </w:p>
    <w:p>
      <w:pPr>
        <w:pStyle w:val="FirstParagraph"/>
        <w:widowControl/>
      </w:pPr>
      <w:r>
        <w:t xml:space="preserve">Два пути появления неисправимой ошибки показаны на рис. 1.</w:t>
      </w:r>
    </w:p>
    <w:p>
      <w:pPr>
        <w:pStyle w:val="CaptionedFigure"/>
        <w:keepNext/>
        <w:keepLines/>
        <w:widowControl/>
      </w:pPr>
      <w:r>
        <w:drawing>
          <wp:inline>
            <wp:extent cx="5334000" cy="1974850"/>
            <wp:effectExtent b="0" l="0" r="0" t="0"/>
            <wp:docPr descr="Рис. 1. Два пути появления неисправимой ошибки в интервале между проверками: а — две ошибки одного слова от одной частицы (SMU); б — накопление ошибок от разных частиц" title="" id="22" name="Picture"/>
            <a:graphic>
              <a:graphicData uri="http://schemas.openxmlformats.org/drawingml/2006/picture">
                <pic:pic>
                  <pic:nvPicPr>
                    <pic:cNvPr descr="fig/v20_fig1.png" id="23" name="Picture"/>
                    <pic:cNvPicPr>
                      <a:picLocks noChangeArrowheads="1" noChangeAspect="1"/>
                    </pic:cNvPicPr>
                  </pic:nvPicPr>
                  <pic:blipFill>
                    <a:blip r:embed="rId21"/>
                    <a:stretch>
                      <a:fillRect/>
                    </a:stretch>
                  </pic:blipFill>
                  <pic:spPr bwMode="auto">
                    <a:xfrm>
                      <a:off x="0" y="0"/>
                      <a:ext cx="5334000" cy="1974850"/>
                    </a:xfrm>
                    <a:prstGeom prst="rect">
                      <a:avLst/>
                    </a:prstGeom>
                    <a:noFill/>
                    <a:ln w="9525">
                      <a:noFill/>
                      <a:headEnd/>
                      <a:tailEnd/>
                    </a:ln>
                  </pic:spPr>
                </pic:pic>
              </a:graphicData>
            </a:graphic>
          </wp:inline>
        </w:drawing>
      </w:r>
    </w:p>
    <w:p>
      <w:pPr>
        <w:pStyle w:val="ImageCaption"/>
        <w:keepLines/>
        <w:widowControl/>
      </w:pPr>
      <w:r>
        <w:t xml:space="preserve">Рис. 1. Два пути появления неисправимой ошибки в интервале между проверками: а — две ошибки одного слова от одной частицы (SMU); б — накопление ошибок от разных частиц</w:t>
      </w:r>
    </w:p>
    <w:p>
      <w:pPr>
        <w:pStyle w:val="BodyText"/>
        <w:widowControl/>
      </w:pPr>
      <w:r>
        <w:t xml:space="preserve">Пусть</w:t>
      </w:r>
      <w:r>
        <w:t xml:space="preserve"> </w:t>
      </w:r>
      <m:oMath>
        <m:r>
          <m:t>Q</m:t>
        </m:r>
        <m:d>
          <m:dPr>
            <m:begChr m:val="("/>
            <m:endChr m:val=")"/>
            <m:sepChr m:val=""/>
            <m:grow/>
          </m:dPr>
          <m:e>
            <m:r>
              <m:t>T</m:t>
            </m:r>
            <m:r>
              <m:rPr>
                <m:sty m:val="p"/>
              </m:rPr>
              <m:t>,</m:t>
            </m:r>
            <m:r>
              <m:t>τ</m:t>
            </m:r>
          </m:e>
        </m:d>
      </m:oMath>
      <w:r>
        <w:t xml:space="preserve"> </w:t>
      </w:r>
      <w:r>
        <w:t xml:space="preserve">— вероятность того, что за срок активного существования (САС)</w:t>
      </w:r>
      <w:r>
        <w:t xml:space="preserve"> </w:t>
      </w:r>
      <m:oMath>
        <m:r>
          <m:t>T</m:t>
        </m:r>
      </m:oMath>
      <w:r>
        <w:t xml:space="preserve"> </w:t>
      </w:r>
      <w:r>
        <w:t xml:space="preserve">хотя бы одно слово хотя бы один раз будет содержать неисправимую ошибку,</w:t>
      </w:r>
      <w:r>
        <w:t xml:space="preserve"> </w:t>
      </w:r>
      <m:oMath>
        <m:sSub>
          <m:e>
            <m:r>
              <m:t>Λ</m:t>
            </m:r>
          </m:e>
          <m:sub>
            <m:r>
              <m:t>1</m:t>
            </m:r>
          </m:sub>
        </m:sSub>
        <m:r>
          <m:rPr>
            <m:sty m:val="p"/>
          </m:rPr>
          <m:t>=</m:t>
        </m:r>
        <m:nary>
          <m:naryPr>
            <m:chr m:val="∫"/>
            <m:limLoc m:val="subSup"/>
            <m:subHide m:val="off"/>
            <m:supHide m:val="off"/>
          </m:naryPr>
          <m:sub>
            <m:r>
              <m:t>0</m:t>
            </m:r>
          </m:sub>
          <m:sup>
            <m:r>
              <m:t>T</m:t>
            </m:r>
          </m:sup>
          <m:e>
            <m:sSub>
              <m:e>
                <m:r>
                  <m:t>ν</m:t>
                </m:r>
              </m:e>
              <m:sub>
                <m:r>
                  <m:t>1</m:t>
                </m:r>
              </m:sub>
            </m:sSub>
          </m:e>
        </m:nary>
        <m:r>
          <m:t> </m:t>
        </m:r>
        <m:r>
          <m:t>d</m:t>
        </m:r>
        <m:r>
          <m:t>t</m:t>
        </m:r>
      </m:oMath>
      <w:r>
        <w:t xml:space="preserve"> </w:t>
      </w:r>
      <w:r>
        <w:t xml:space="preserve">— ожидаемое число SMU,</w:t>
      </w:r>
      <w:r>
        <w:t xml:space="preserve"> </w:t>
      </w:r>
      <m:oMath>
        <m:r>
          <m:t>β</m:t>
        </m:r>
        <m:r>
          <m:rPr>
            <m:sty m:val="p"/>
          </m:rPr>
          <m:t>=</m:t>
        </m:r>
        <m:d>
          <m:dPr>
            <m:begChr m:val="("/>
            <m:endChr m:val=")"/>
            <m:sepChr m:val=""/>
            <m:grow/>
          </m:dPr>
          <m:e>
            <m:r>
              <m:t>n</m:t>
            </m:r>
            <m:r>
              <m:rPr>
                <m:sty m:val="p"/>
              </m:rPr>
              <m:t>−</m:t>
            </m:r>
            <m:r>
              <m:t>1</m:t>
            </m:r>
          </m:e>
        </m:d>
        <m:r>
          <m:rPr>
            <m:sty m:val="p"/>
          </m:rPr>
          <m:t>/</m:t>
        </m:r>
        <m:d>
          <m:dPr>
            <m:begChr m:val="("/>
            <m:endChr m:val=")"/>
            <m:sepChr m:val=""/>
            <m:grow/>
          </m:dPr>
          <m:e>
            <m:r>
              <m:t>2</m:t>
            </m:r>
            <m:sSub>
              <m:e>
                <m:r>
                  <m:t>N</m:t>
                </m:r>
              </m:e>
              <m:sub>
                <m:r>
                  <m:rPr>
                    <m:nor/>
                    <m:sty m:val="p"/>
                  </m:rPr>
                  <m:t>полн</m:t>
                </m:r>
              </m:sub>
            </m:sSub>
          </m:e>
        </m:d>
      </m:oMath>
      <w:r>
        <w:t xml:space="preserve">. Тогда справедливы оценки</w:t>
      </w:r>
    </w:p>
    <w:p>
      <w:pPr>
        <w:pStyle w:val="BodyText"/>
        <w:keepLines/>
        <w:widowControl/>
        <w:tabs>
          <w:tab w:pos="4706" w:val="center"/>
          <w:tab w:pos="9638" w:val="right"/>
        </w:tabs>
        <w:ind w:firstLine="0"/>
        <w:jc w:val="left"/>
      </w:pPr>
      <w:r>
        <w:tab/>
      </w:r>
      <m:oMath>
        <m:r>
          <m:t>1</m:t>
        </m:r>
        <m:r>
          <m:rPr>
            <m:sty m:val="p"/>
          </m:rPr>
          <m:t>−</m:t>
        </m:r>
        <m:sSup>
          <m:e>
            <m:r>
              <m:t>e</m:t>
            </m:r>
          </m:e>
          <m:sup>
            <m:r>
              <m:rPr>
                <m:sty m:val="p"/>
              </m:rPr>
              <m:t>−</m:t>
            </m:r>
            <m:sSub>
              <m:e>
                <m:r>
                  <m:t>Λ</m:t>
                </m:r>
              </m:e>
              <m:sub>
                <m:r>
                  <m:t>1</m:t>
                </m:r>
              </m:sub>
            </m:sSub>
          </m:sup>
        </m:sSup>
        <m:r>
          <m:t> </m:t>
        </m:r>
        <m:r>
          <m:rPr>
            <m:sty m:val="p"/>
          </m:rPr>
          <m:t>≤</m:t>
        </m:r>
        <m:r>
          <m:t> </m:t>
        </m:r>
        <m:r>
          <m:t>Q</m:t>
        </m:r>
        <m:d>
          <m:dPr>
            <m:begChr m:val="("/>
            <m:endChr m:val=")"/>
            <m:sepChr m:val=""/>
            <m:grow/>
          </m:dPr>
          <m:e>
            <m:r>
              <m:t>T</m:t>
            </m:r>
            <m:r>
              <m:rPr>
                <m:sty m:val="p"/>
              </m:rPr>
              <m:t>,</m:t>
            </m:r>
            <m:r>
              <m:t>τ</m:t>
            </m:r>
          </m:e>
        </m:d>
        <m:r>
          <m:t> </m:t>
        </m:r>
        <m:r>
          <m:rPr>
            <m:sty m:val="p"/>
          </m:rPr>
          <m:t>≤</m:t>
        </m:r>
        <m:r>
          <m:t> </m:t>
        </m:r>
        <m:r>
          <m:t>1</m:t>
        </m:r>
        <m:r>
          <m:rPr>
            <m:sty m:val="p"/>
          </m:rPr>
          <m:t>−</m:t>
        </m:r>
        <m:sSup>
          <m:e>
            <m:r>
              <m:t>e</m:t>
            </m:r>
          </m:e>
          <m:sup>
            <m:r>
              <m:rPr>
                <m:sty m:val="p"/>
              </m:rPr>
              <m:t>−</m:t>
            </m:r>
            <m:sSub>
              <m:e>
                <m:r>
                  <m:t>Λ</m:t>
                </m:r>
              </m:e>
              <m:sub>
                <m:r>
                  <m:t>1</m:t>
                </m:r>
              </m:sub>
            </m:sSub>
          </m:sup>
        </m:sSup>
        <m:r>
          <m:rPr>
            <m:sty m:val="p"/>
          </m:rPr>
          <m:t>+</m:t>
        </m:r>
        <m:r>
          <m:t>β</m:t>
        </m:r>
        <m:r>
          <m:t> </m:t>
        </m:r>
        <m:r>
          <m:t>τ</m:t>
        </m:r>
        <m:nary>
          <m:naryPr>
            <m:chr m:val="∫"/>
            <m:limLoc m:val="subSup"/>
            <m:subHide m:val="off"/>
            <m:supHide m:val="off"/>
          </m:naryPr>
          <m:sub>
            <m:r>
              <m:t>0</m:t>
            </m:r>
          </m:sub>
          <m:sup>
            <m:r>
              <m:t>T</m:t>
            </m:r>
          </m:sup>
          <m:e>
            <m:sSubSup>
              <m:e>
                <m:r>
                  <m:t>ν</m:t>
                </m:r>
              </m:e>
              <m:sub>
                <m:r>
                  <m:rPr>
                    <m:nor/>
                    <m:sty m:val="p"/>
                  </m:rPr>
                  <m:t>нак</m:t>
                </m:r>
              </m:sub>
              <m:sup>
                <m:r>
                  <m:t>2</m:t>
                </m:r>
              </m:sup>
            </m:sSubSup>
          </m:e>
        </m:nary>
        <m:r>
          <m:t> </m:t>
        </m:r>
        <m:r>
          <m:t>d</m:t>
        </m:r>
        <m:r>
          <m:t>t</m:t>
        </m:r>
        <m:r>
          <m:rPr>
            <m:sty m:val="p"/>
          </m:rPr>
          <m:t>.</m:t>
        </m:r>
      </m:oMath>
      <w:r>
        <w:tab/>
        <w:t>(2)</w:t>
      </w:r>
    </w:p>
    <w:p>
      <w:pPr>
        <w:pStyle w:val="BodyText"/>
        <w:widowControl/>
      </w:pPr>
      <w:r>
        <w:t xml:space="preserve">Число SMU за САС распределено по Пуассону с параметром</w:t>
      </w:r>
      <w:r>
        <w:t xml:space="preserve"> </w:t>
      </w:r>
      <m:oMath>
        <m:sSub>
          <m:e>
            <m:r>
              <m:t>Λ</m:t>
            </m:r>
          </m:e>
          <m:sub>
            <m:r>
              <m:t>1</m:t>
            </m:r>
          </m:sub>
        </m:sSub>
      </m:oMath>
      <w:r>
        <w:t xml:space="preserve">, поэтому вероятность хотя бы одного SMU равна</w:t>
      </w:r>
      <w:r>
        <w:t xml:space="preserve"> </w:t>
      </w:r>
      <m:oMath>
        <m:r>
          <m:t>1</m:t>
        </m:r>
        <m:r>
          <m:rPr>
            <m:sty m:val="p"/>
          </m:rPr>
          <m:t>−</m:t>
        </m:r>
        <m:sSup>
          <m:e>
            <m:r>
              <m:t>e</m:t>
            </m:r>
          </m:e>
          <m:sup>
            <m:r>
              <m:rPr>
                <m:sty m:val="p"/>
              </m:rPr>
              <m:t>−</m:t>
            </m:r>
            <m:sSub>
              <m:e>
                <m:r>
                  <m:t>Λ</m:t>
                </m:r>
              </m:e>
              <m:sub>
                <m:r>
                  <m:t>1</m:t>
                </m:r>
              </m:sub>
            </m:sSub>
          </m:sup>
        </m:sSup>
      </m:oMath>
      <w:r>
        <w:t xml:space="preserve">; это нижняя граница</w:t>
      </w:r>
      <w:r>
        <w:t xml:space="preserve"> </w:t>
      </w:r>
      <m:oMath>
        <m:r>
          <m:t>Q</m:t>
        </m:r>
        <m:d>
          <m:dPr>
            <m:begChr m:val="("/>
            <m:endChr m:val=")"/>
            <m:sepChr m:val=""/>
            <m:grow/>
          </m:dPr>
          <m:e>
            <m:r>
              <m:t>T</m:t>
            </m:r>
            <m:r>
              <m:rPr>
                <m:sty m:val="p"/>
              </m:rPr>
              <m:t>,</m:t>
            </m:r>
            <m:r>
              <m:t>τ</m:t>
            </m:r>
          </m:e>
        </m:d>
      </m:oMath>
      <w:r>
        <w:t xml:space="preserve">.</w:t>
      </w:r>
    </w:p>
    <w:p>
      <w:pPr>
        <w:pStyle w:val="BodyText"/>
        <w:widowControl/>
      </w:pPr>
      <w:r>
        <w:t xml:space="preserve">Остальные события не затрагивают два разряда одного слова, поэтому для слова</w:t>
      </w:r>
      <w:r>
        <w:t xml:space="preserve"> </w:t>
      </w:r>
      <m:oMath>
        <m:r>
          <m:t>j</m:t>
        </m:r>
      </m:oMath>
      <w:r>
        <w:t xml:space="preserve"> </w:t>
      </w:r>
      <w:r>
        <w:t xml:space="preserve">и его</w:t>
      </w:r>
      <w:r>
        <w:t xml:space="preserve"> </w:t>
      </w:r>
      <m:oMath>
        <m:r>
          <m:t>l</m:t>
        </m:r>
      </m:oMath>
      <w:r>
        <w:t xml:space="preserve">-го интервала между проверками</w:t>
      </w:r>
      <w:r>
        <w:t xml:space="preserve"> </w:t>
      </w:r>
      <m:oMath>
        <m:sSub>
          <m:e>
            <m:r>
              <m:t>Δ</m:t>
            </m:r>
          </m:e>
          <m:sub>
            <m:r>
              <m:t>j</m:t>
            </m:r>
            <m:r>
              <m:t>l</m:t>
            </m:r>
          </m:sub>
        </m:sSub>
      </m:oMath>
      <w:r>
        <w:t xml:space="preserve"> </w:t>
      </w:r>
      <w:r>
        <w:t xml:space="preserve">(длиной не более</w:t>
      </w:r>
      <w:r>
        <w:t xml:space="preserve"> </w:t>
      </w:r>
      <m:oMath>
        <m:r>
          <m:t>τ</m:t>
        </m:r>
      </m:oMath>
      <w:r>
        <w:t xml:space="preserve">) числа ошибок</w:t>
      </w:r>
      <w:r>
        <w:t xml:space="preserve"> </w:t>
      </w:r>
      <m:oMath>
        <m:r>
          <m:t>X</m:t>
        </m:r>
      </m:oMath>
      <w:r>
        <w:t xml:space="preserve"> </w:t>
      </w:r>
      <w:r>
        <w:t xml:space="preserve">и</w:t>
      </w:r>
      <w:r>
        <w:t xml:space="preserve"> </w:t>
      </w:r>
      <m:oMath>
        <m:r>
          <m:t>Y</m:t>
        </m:r>
      </m:oMath>
      <w:r>
        <w:t xml:space="preserve">, внесённых в два разных разряда этого слова, — независимые пуассоновские величины (непересекающиеся прореживания исходного потока). При равномерном расположении событий их средние равны</w:t>
      </w:r>
      <w:r>
        <w:t xml:space="preserve"> </w:t>
      </w:r>
      <m:oMath>
        <m:sSub>
          <m:e>
            <m:r>
              <m:t>Λ</m:t>
            </m:r>
          </m:e>
          <m:sub>
            <m:r>
              <m:t>j</m:t>
            </m:r>
            <m:r>
              <m:t>l</m:t>
            </m:r>
          </m:sub>
        </m:sSub>
        <m:r>
          <m:rPr>
            <m:sty m:val="p"/>
          </m:rPr>
          <m:t>/</m:t>
        </m:r>
        <m:sSub>
          <m:e>
            <m:r>
              <m:t>N</m:t>
            </m:r>
          </m:e>
          <m:sub>
            <m:r>
              <m:rPr>
                <m:nor/>
                <m:sty m:val="p"/>
              </m:rPr>
              <m:t>полн</m:t>
            </m:r>
          </m:sub>
        </m:sSub>
      </m:oMath>
      <w:r>
        <w:t xml:space="preserve">, где</w:t>
      </w:r>
      <w:r>
        <w:t xml:space="preserve"> </w:t>
      </w:r>
      <m:oMath>
        <m:sSub>
          <m:e>
            <m:r>
              <m:t>Λ</m:t>
            </m:r>
          </m:e>
          <m:sub>
            <m:r>
              <m:t>j</m:t>
            </m:r>
            <m:r>
              <m:t>l</m:t>
            </m:r>
          </m:sub>
        </m:sSub>
        <m:r>
          <m:rPr>
            <m:sty m:val="p"/>
          </m:rPr>
          <m:t>=</m:t>
        </m:r>
        <m:nary>
          <m:naryPr>
            <m:chr m:val="∫"/>
            <m:limLoc m:val="subSup"/>
            <m:subHide m:val="off"/>
            <m:supHide m:val="on"/>
          </m:naryPr>
          <m:sub>
            <m:sSub>
              <m:e>
                <m:r>
                  <m:t>Δ</m:t>
                </m:r>
              </m:e>
              <m:sub>
                <m:r>
                  <m:t>j</m:t>
                </m:r>
                <m:r>
                  <m:t>l</m:t>
                </m:r>
              </m:sub>
            </m:sSub>
          </m:sub>
          <m:sup>
            <m:r>
              <m:t>​</m:t>
            </m:r>
          </m:sup>
          <m:e>
            <m:sSub>
              <m:e>
                <m:r>
                  <m:t>ν</m:t>
                </m:r>
              </m:e>
              <m:sub>
                <m:r>
                  <m:rPr>
                    <m:nor/>
                    <m:sty m:val="p"/>
                  </m:rPr>
                  <m:t>нак</m:t>
                </m:r>
              </m:sub>
            </m:sSub>
          </m:e>
        </m:nary>
        <m:r>
          <m:t> </m:t>
        </m:r>
        <m:r>
          <m:t>d</m:t>
        </m:r>
        <m:r>
          <m:t>t</m:t>
        </m:r>
      </m:oMath>
      <w:r>
        <w:t xml:space="preserve">. Ожидаемое число пар ошибок в слове</w:t>
      </w:r>
      <w:r>
        <w:t xml:space="preserve"> </w:t>
      </w:r>
      <m:oMath>
        <m:r>
          <m:t>j</m:t>
        </m:r>
      </m:oMath>
      <w:r>
        <w:t xml:space="preserve"> </w:t>
      </w:r>
      <w:r>
        <w:t xml:space="preserve">за интервал равно</w:t>
      </w:r>
      <w:r>
        <w:t xml:space="preserve"> </w:t>
      </w:r>
      <m:oMath>
        <m:f>
          <m:fPr>
            <m:type m:val="bar"/>
          </m:fPr>
          <m:num>
            <m:r>
              <m:t>n</m:t>
            </m:r>
            <m:d>
              <m:dPr>
                <m:begChr m:val="("/>
                <m:endChr m:val=")"/>
                <m:sepChr m:val=""/>
                <m:grow/>
              </m:dPr>
              <m:e>
                <m:r>
                  <m:t>n</m:t>
                </m:r>
                <m:r>
                  <m:rPr>
                    <m:sty m:val="p"/>
                  </m:rPr>
                  <m:t>−</m:t>
                </m:r>
                <m:r>
                  <m:t>1</m:t>
                </m:r>
              </m:e>
            </m:d>
          </m:num>
          <m:den>
            <m:r>
              <m:t>2</m:t>
            </m:r>
          </m:den>
        </m:f>
        <m:sSup>
          <m:e>
            <m:d>
              <m:dPr>
                <m:begChr m:val="("/>
                <m:endChr m:val=")"/>
                <m:sepChr m:val=""/>
                <m:grow/>
              </m:dPr>
              <m:e>
                <m:sSub>
                  <m:e>
                    <m:r>
                      <m:t>Λ</m:t>
                    </m:r>
                  </m:e>
                  <m:sub>
                    <m:r>
                      <m:t>j</m:t>
                    </m:r>
                    <m:r>
                      <m:t>l</m:t>
                    </m:r>
                  </m:sub>
                </m:sSub>
                <m:r>
                  <m:rPr>
                    <m:sty m:val="p"/>
                  </m:rPr>
                  <m:t>/</m:t>
                </m:r>
                <m:sSub>
                  <m:e>
                    <m:r>
                      <m:t>N</m:t>
                    </m:r>
                  </m:e>
                  <m:sub>
                    <m:r>
                      <m:rPr>
                        <m:nor/>
                        <m:sty m:val="p"/>
                      </m:rPr>
                      <m:t>полн</m:t>
                    </m:r>
                  </m:sub>
                </m:sSub>
              </m:e>
            </m:d>
          </m:e>
          <m:sup>
            <m:r>
              <m:t>2</m:t>
            </m:r>
          </m:sup>
        </m:sSup>
      </m:oMath>
      <w:r>
        <w:t xml:space="preserve">, а по неравенству Коши — Буняковского</w:t>
      </w:r>
      <w:r>
        <w:t xml:space="preserve"> </w:t>
      </w:r>
      <m:oMath>
        <m:sSubSup>
          <m:e>
            <m:r>
              <m:t>Λ</m:t>
            </m:r>
          </m:e>
          <m:sub>
            <m:r>
              <m:t>j</m:t>
            </m:r>
            <m:r>
              <m:t>l</m:t>
            </m:r>
          </m:sub>
          <m:sup>
            <m:r>
              <m:t>2</m:t>
            </m:r>
          </m:sup>
        </m:sSubSup>
        <m:r>
          <m:rPr>
            <m:sty m:val="p"/>
          </m:rPr>
          <m:t>≤</m:t>
        </m:r>
        <m:r>
          <m:t>τ</m:t>
        </m:r>
        <m:nary>
          <m:naryPr>
            <m:chr m:val="∫"/>
            <m:limLoc m:val="subSup"/>
            <m:subHide m:val="off"/>
            <m:supHide m:val="on"/>
          </m:naryPr>
          <m:sub>
            <m:sSub>
              <m:e>
                <m:r>
                  <m:t>Δ</m:t>
                </m:r>
              </m:e>
              <m:sub>
                <m:r>
                  <m:t>j</m:t>
                </m:r>
                <m:r>
                  <m:t>l</m:t>
                </m:r>
              </m:sub>
            </m:sSub>
          </m:sub>
          <m:sup>
            <m:r>
              <m:t>​</m:t>
            </m:r>
          </m:sup>
          <m:e>
            <m:sSubSup>
              <m:e>
                <m:r>
                  <m:t>ν</m:t>
                </m:r>
              </m:e>
              <m:sub>
                <m:r>
                  <m:rPr>
                    <m:nor/>
                    <m:sty m:val="p"/>
                  </m:rPr>
                  <m:t>нак</m:t>
                </m:r>
              </m:sub>
              <m:sup>
                <m:r>
                  <m:t>2</m:t>
                </m:r>
              </m:sup>
            </m:sSubSup>
          </m:e>
        </m:nary>
        <m:r>
          <m:t>d</m:t>
        </m:r>
        <m:r>
          <m:t>t</m:t>
        </m:r>
      </m:oMath>
      <w:r>
        <w:t xml:space="preserve">. Суммирование по интервалам каждого слова, а затем по</w:t>
      </w:r>
      <w:r>
        <w:t xml:space="preserve"> </w:t>
      </w:r>
      <m:oMath>
        <m:sSub>
          <m:e>
            <m:r>
              <m:t>N</m:t>
            </m:r>
          </m:e>
          <m:sub>
            <m:r>
              <m:rPr>
                <m:nor/>
                <m:sty m:val="p"/>
              </m:rPr>
              <m:t>сл</m:t>
            </m:r>
          </m:sub>
        </m:sSub>
      </m:oMath>
      <w:r>
        <w:t xml:space="preserve"> </w:t>
      </w:r>
      <w:r>
        <w:t xml:space="preserve">словам даёт не более</w:t>
      </w:r>
      <w:r>
        <w:t xml:space="preserve"> </w:t>
      </w:r>
      <m:oMath>
        <m:sSub>
          <m:e>
            <m:r>
              <m:t>N</m:t>
            </m:r>
          </m:e>
          <m:sub>
            <m:r>
              <m:rPr>
                <m:nor/>
                <m:sty m:val="p"/>
              </m:rPr>
              <m:t>сл</m:t>
            </m:r>
          </m:sub>
        </m:sSub>
        <m:f>
          <m:fPr>
            <m:type m:val="bar"/>
          </m:fPr>
          <m:num>
            <m:r>
              <m:t>n</m:t>
            </m:r>
            <m:d>
              <m:dPr>
                <m:begChr m:val="("/>
                <m:endChr m:val=")"/>
                <m:sepChr m:val=""/>
                <m:grow/>
              </m:dPr>
              <m:e>
                <m:r>
                  <m:t>n</m:t>
                </m:r>
                <m:r>
                  <m:rPr>
                    <m:sty m:val="p"/>
                  </m:rPr>
                  <m:t>−</m:t>
                </m:r>
                <m:r>
                  <m:t>1</m:t>
                </m:r>
              </m:e>
            </m:d>
          </m:num>
          <m:den>
            <m:r>
              <m:t>2</m:t>
            </m:r>
          </m:den>
        </m:f>
        <m:f>
          <m:fPr>
            <m:type m:val="bar"/>
          </m:fPr>
          <m:num>
            <m:r>
              <m:t>τ</m:t>
            </m:r>
          </m:num>
          <m:den>
            <m:sSubSup>
              <m:e>
                <m:r>
                  <m:t>N</m:t>
                </m:r>
              </m:e>
              <m:sub>
                <m:r>
                  <m:rPr>
                    <m:nor/>
                    <m:sty m:val="p"/>
                  </m:rPr>
                  <m:t>полн</m:t>
                </m:r>
              </m:sub>
              <m:sup>
                <m:r>
                  <m:t>2</m:t>
                </m:r>
              </m:sup>
            </m:sSubSup>
          </m:den>
        </m:f>
        <m:nary>
          <m:naryPr>
            <m:chr m:val="∫"/>
            <m:limLoc m:val="subSup"/>
            <m:subHide m:val="off"/>
            <m:supHide m:val="off"/>
          </m:naryPr>
          <m:sub>
            <m:r>
              <m:t>0</m:t>
            </m:r>
          </m:sub>
          <m:sup>
            <m:r>
              <m:t>T</m:t>
            </m:r>
          </m:sup>
          <m:e>
            <m:sSubSup>
              <m:e>
                <m:r>
                  <m:t>ν</m:t>
                </m:r>
              </m:e>
              <m:sub>
                <m:r>
                  <m:rPr>
                    <m:nor/>
                    <m:sty m:val="p"/>
                  </m:rPr>
                  <m:t>нак</m:t>
                </m:r>
              </m:sub>
              <m:sup>
                <m:r>
                  <m:t>2</m:t>
                </m:r>
              </m:sup>
            </m:sSubSup>
          </m:e>
        </m:nary>
        <m:r>
          <m:t>d</m:t>
        </m:r>
        <m:r>
          <m:t>t</m:t>
        </m:r>
        <m:r>
          <m:rPr>
            <m:sty m:val="p"/>
          </m:rPr>
          <m:t>=</m:t>
        </m:r>
        <m:r>
          <m:t>β</m:t>
        </m:r>
        <m:r>
          <m:t>τ</m:t>
        </m:r>
        <m:nary>
          <m:naryPr>
            <m:chr m:val="∫"/>
            <m:limLoc m:val="subSup"/>
            <m:subHide m:val="off"/>
            <m:supHide m:val="off"/>
          </m:naryPr>
          <m:sub>
            <m:r>
              <m:t>0</m:t>
            </m:r>
          </m:sub>
          <m:sup>
            <m:r>
              <m:t>T</m:t>
            </m:r>
          </m:sup>
          <m:e>
            <m:sSubSup>
              <m:e>
                <m:r>
                  <m:t>ν</m:t>
                </m:r>
              </m:e>
              <m:sub>
                <m:r>
                  <m:rPr>
                    <m:nor/>
                    <m:sty m:val="p"/>
                  </m:rPr>
                  <m:t>нак</m:t>
                </m:r>
              </m:sub>
              <m:sup>
                <m:r>
                  <m:t>2</m:t>
                </m:r>
              </m:sup>
            </m:sSubSup>
          </m:e>
        </m:nary>
        <m:r>
          <m:t>d</m:t>
        </m:r>
        <m:r>
          <m:t>t</m:t>
        </m:r>
      </m:oMath>
      <w:r>
        <w:t xml:space="preserve">. Вероятность хотя бы одной пары не превышает ожидаемого числа пар; объединение с вероятностью SMU по неравенству Буля даёт (2).</w:t>
      </w:r>
    </w:p>
    <w:p>
      <w:pPr>
        <w:pStyle w:val="FirstParagraph"/>
        <w:widowControl/>
      </w:pPr>
      <w:r>
        <w:t xml:space="preserve">Нижняя граница не зависит от</w:t>
      </w:r>
      <w:r>
        <w:t xml:space="preserve"> </w:t>
      </w:r>
      <m:oMath>
        <m:r>
          <m:t>τ</m:t>
        </m:r>
      </m:oMath>
      <w:r>
        <w:t xml:space="preserve">: сокращение периода скраббинга не уменьшает вклад SMU. Интеграл в (2) оценивается без временного профиля солнечного события. Пусть частота ошибок от ГКЛ не превышает</w:t>
      </w:r>
      <w:r>
        <w:t xml:space="preserve"> </w:t>
      </w:r>
      <m:oMath>
        <m:sSub>
          <m:e>
            <m:r>
              <m:t>ν</m:t>
            </m:r>
          </m:e>
          <m:sub>
            <m:r>
              <m:rPr>
                <m:nor/>
                <m:sty m:val="p"/>
              </m:rPr>
              <m:t>Г</m:t>
            </m:r>
          </m:sub>
        </m:sSub>
      </m:oMath>
      <w:r>
        <w:t xml:space="preserve"> </w:t>
      </w:r>
      <w:r>
        <w:t xml:space="preserve">(расчёт по спектру максимальной плотности потока), от СКЛ —</w:t>
      </w:r>
      <w:r>
        <w:t xml:space="preserve"> </w:t>
      </w:r>
      <m:oMath>
        <m:sSub>
          <m:e>
            <m:r>
              <m:t>ν</m:t>
            </m:r>
          </m:e>
          <m:sub>
            <m:r>
              <m:rPr>
                <m:nor/>
                <m:sty m:val="p"/>
              </m:rPr>
              <m:t>С</m:t>
            </m:r>
          </m:sub>
        </m:sSub>
      </m:oMath>
      <w:r>
        <w:t xml:space="preserve"> </w:t>
      </w:r>
      <w:r>
        <w:t xml:space="preserve">(расчёт по пиковой плотности потока).</w:t>
      </w:r>
    </w:p>
    <w:p>
      <w:pPr>
        <w:pStyle w:val="BodyText"/>
        <w:widowControl/>
      </w:pPr>
      <w:r>
        <w:t xml:space="preserve">Пусть </w:t>
      </w:r>
      <m:oMath>
        <m:sSub>
          <m:e>
            <m:r>
              <m:t>ν</m:t>
            </m:r>
          </m:e>
          <m:sub>
            <m:r>
              <m:rPr>
                <m:nor/>
                <m:sty m:val="p"/>
              </m:rPr>
              <m:t>нак</m:t>
            </m:r>
          </m:sub>
        </m:sSub>
        <m:r>
          <m:rPr>
            <m:sty m:val="p"/>
          </m:rPr>
          <m:t>=</m:t>
        </m:r>
        <m:sSub>
          <m:e>
            <m:r>
              <m:t>g</m:t>
            </m:r>
          </m:e>
          <m:sub>
            <m:r>
              <m:rPr>
                <m:nor/>
                <m:sty m:val="p"/>
              </m:rPr>
              <m:t>Г</m:t>
            </m:r>
          </m:sub>
        </m:sSub>
        <m:r>
          <m:rPr>
            <m:sty m:val="p"/>
          </m:rPr>
          <m:t>+</m:t>
        </m:r>
        <m:sSub>
          <m:e>
            <m:r>
              <m:t>g</m:t>
            </m:r>
          </m:e>
          <m:sub>
            <m:r>
              <m:rPr>
                <m:nor/>
                <m:sty m:val="p"/>
              </m:rPr>
              <m:t>С</m:t>
            </m:r>
          </m:sub>
        </m:sSub>
      </m:oMath>
      <w:r>
        <w:t xml:space="preserve">, </w:t>
      </w:r>
      <m:oMath>
        <m:sSub>
          <m:e>
            <m:r>
              <m:t>g</m:t>
            </m:r>
          </m:e>
          <m:sub>
            <m:r>
              <m:rPr>
                <m:nor/>
                <m:sty m:val="p"/>
              </m:rPr>
              <m:t>Г</m:t>
            </m:r>
          </m:sub>
        </m:sSub>
        <m:r>
          <m:rPr>
            <m:sty m:val="p"/>
          </m:rPr>
          <m:t>≤</m:t>
        </m:r>
        <m:sSub>
          <m:e>
            <m:r>
              <m:t>ν</m:t>
            </m:r>
          </m:e>
          <m:sub>
            <m:r>
              <m:rPr>
                <m:nor/>
                <m:sty m:val="p"/>
              </m:rPr>
              <m:t>Г</m:t>
            </m:r>
          </m:sub>
        </m:sSub>
      </m:oMath>
      <w:r>
        <w:t xml:space="preserve"> и </w:t>
      </w:r>
      <m:oMath>
        <m:sSub>
          <m:e>
            <m:r>
              <m:t>g</m:t>
            </m:r>
          </m:e>
          <m:sub>
            <m:r>
              <m:rPr>
                <m:nor/>
                <m:sty m:val="p"/>
              </m:rPr>
              <m:t>С</m:t>
            </m:r>
          </m:sub>
        </m:sSub>
        <m:r>
          <m:rPr>
            <m:sty m:val="p"/>
          </m:rPr>
          <m:t>≤</m:t>
        </m:r>
        <m:sSub>
          <m:e>
            <m:r>
              <m:t>ν</m:t>
            </m:r>
          </m:e>
          <m:sub>
            <m:r>
              <m:rPr>
                <m:nor/>
                <m:sty m:val="p"/>
              </m:rPr>
              <m:t>С</m:t>
            </m:r>
          </m:sub>
        </m:sSub>
      </m:oMath>
      <w:r>
        <w:t xml:space="preserve">, а </w:t>
      </w:r>
      <m:oMath>
        <m:sSub>
          <m:e>
            <m:r>
              <m:rPr>
                <m:sty m:val="p"/>
                <m:scr m:val="script"/>
              </m:rPr>
              <m:t>N</m:t>
            </m:r>
          </m:e>
          <m:sub>
            <m:r>
              <m:rPr>
                <m:nor/>
                <m:sty m:val="p"/>
              </m:rPr>
              <m:t>С</m:t>
            </m:r>
          </m:sub>
        </m:sSub>
        <m:r>
          <m:rPr>
            <m:sty m:val="p"/>
          </m:rPr>
          <m:t>=</m:t>
        </m:r>
        <m:sSubSup>
          <m:e>
            <m:r>
              <m:rPr>
                <m:sty m:val="p"/>
              </m:rPr>
              <m:t>∫</m:t>
            </m:r>
          </m:e>
          <m:sub>
            <m:r>
              <m:t>0</m:t>
            </m:r>
          </m:sub>
          <m:sup>
            <m:r>
              <m:t>T</m:t>
            </m:r>
          </m:sup>
        </m:sSubSup>
        <m:sSub>
          <m:e>
            <m:r>
              <m:t>g</m:t>
            </m:r>
          </m:e>
          <m:sub>
            <m:r>
              <m:rPr>
                <m:nor/>
                <m:sty m:val="p"/>
              </m:rPr>
              <m:t>С</m:t>
            </m:r>
          </m:sub>
        </m:sSub>
        <m:r>
          <m:t> </m:t>
        </m:r>
        <m:r>
          <m:t>d</m:t>
        </m:r>
        <m:r>
          <m:t>t</m:t>
        </m:r>
      </m:oMath>
      <w:r>
        <w:t xml:space="preserve"> — ожидаемое число ошибок от СКЛ за САС. Тогда</w:t>
      </w:r>
    </w:p>
    <w:p>
      <w:pPr>
        <w:pStyle w:val="BodyText"/>
        <w:keepNext/>
        <w:widowControl/>
      </w:pPr>
      <m:oMathPara>
        <m:oMathParaPr>
          <m:jc m:val="center"/>
        </m:oMathParaPr>
        <m:oMath>
          <m:nary>
            <m:naryPr>
              <m:chr m:val="∫"/>
              <m:limLoc m:val="subSup"/>
              <m:subHide m:val="off"/>
              <m:supHide m:val="off"/>
            </m:naryPr>
            <m:sub>
              <m:r>
                <m:t>0</m:t>
              </m:r>
            </m:sub>
            <m:sup>
              <m:r>
                <m:t>T</m:t>
              </m:r>
            </m:sup>
            <m:e>
              <m:sSup>
                <m:e>
                  <m:d>
                    <m:dPr>
                      <m:begChr m:val="("/>
                      <m:endChr m:val=")"/>
                      <m:sepChr m:val=""/>
                      <m:grow/>
                    </m:dPr>
                    <m:e>
                      <m:sSub>
                        <m:e>
                          <m:r>
                            <m:t>g</m:t>
                          </m:r>
                        </m:e>
                        <m:sub>
                          <m:r>
                            <m:rPr>
                              <m:nor/>
                              <m:sty m:val="p"/>
                            </m:rPr>
                            <m:t>Г</m:t>
                          </m:r>
                        </m:sub>
                      </m:sSub>
                      <m:r>
                        <m:rPr>
                          <m:sty m:val="p"/>
                        </m:rPr>
                        <m:t>+</m:t>
                      </m:r>
                      <m:sSub>
                        <m:e>
                          <m:r>
                            <m:t>g</m:t>
                          </m:r>
                        </m:e>
                        <m:sub>
                          <m:r>
                            <m:rPr>
                              <m:nor/>
                              <m:sty m:val="p"/>
                            </m:rPr>
                            <m:t>С</m:t>
                          </m:r>
                        </m:sub>
                      </m:sSub>
                    </m:e>
                  </m:d>
                </m:e>
                <m:sup>
                  <m:r>
                    <m:t>2</m:t>
                  </m:r>
                </m:sup>
              </m:sSup>
            </m:e>
          </m:nary>
          <m:r>
            <m:t>d</m:t>
          </m:r>
          <m:r>
            <m:t>t</m:t>
          </m:r>
          <m:r>
            <m:rPr>
              <m:sty m:val="p"/>
            </m:rPr>
            <m:t>≤</m:t>
          </m:r>
          <m:r>
            <m:t>T</m:t>
          </m:r>
          <m:sSubSup>
            <m:e>
              <m:r>
                <m:t>ν</m:t>
              </m:r>
            </m:e>
            <m:sub>
              <m:r>
                <m:rPr>
                  <m:nor/>
                  <m:sty m:val="p"/>
                </m:rPr>
                <m:t>Г</m:t>
              </m:r>
            </m:sub>
            <m:sup>
              <m:r>
                <m:t>2</m:t>
              </m:r>
            </m:sup>
          </m:sSubSup>
          <m:r>
            <m:rPr>
              <m:sty m:val="p"/>
            </m:rPr>
            <m:t>+</m:t>
          </m:r>
          <m:d>
            <m:dPr>
              <m:begChr m:val="("/>
              <m:endChr m:val=")"/>
              <m:sepChr m:val=""/>
              <m:grow/>
            </m:dPr>
            <m:e>
              <m:r>
                <m:t>2</m:t>
              </m:r>
              <m:sSub>
                <m:e>
                  <m:r>
                    <m:t>ν</m:t>
                  </m:r>
                </m:e>
                <m:sub>
                  <m:r>
                    <m:rPr>
                      <m:nor/>
                      <m:sty m:val="p"/>
                    </m:rPr>
                    <m:t>Г</m:t>
                  </m:r>
                </m:sub>
              </m:sSub>
              <m:r>
                <m:rPr>
                  <m:sty m:val="p"/>
                </m:rPr>
                <m:t>+</m:t>
              </m:r>
              <m:sSub>
                <m:e>
                  <m:r>
                    <m:t>ν</m:t>
                  </m:r>
                </m:e>
                <m:sub>
                  <m:r>
                    <m:rPr>
                      <m:nor/>
                      <m:sty m:val="p"/>
                    </m:rPr>
                    <m:t>С</m:t>
                  </m:r>
                </m:sub>
              </m:sSub>
            </m:e>
          </m:d>
          <m:r>
            <m:t> </m:t>
          </m:r>
          <m:sSub>
            <m:e>
              <m:r>
                <m:rPr>
                  <m:sty m:val="p"/>
                  <m:scr m:val="script"/>
                </m:rPr>
                <m:t>N</m:t>
              </m:r>
            </m:e>
            <m:sub>
              <m:r>
                <m:rPr>
                  <m:nor/>
                  <m:sty m:val="p"/>
                </m:rPr>
                <m:t>С</m:t>
              </m:r>
            </m:sub>
          </m:sSub>
          <m:r>
            <m:rPr>
              <m:sty m:val="p"/>
            </m:rPr>
            <m:t>.</m:t>
          </m:r>
        </m:oMath>
      </m:oMathPara>
    </w:p>
    <w:p>
      <w:pPr>
        <w:pStyle w:val="BodyText"/>
        <w:widowControl/>
      </w:pPr>
      <w:r>
        <w:t xml:space="preserve">В качестве </w:t>
      </w:r>
      <m:oMath>
        <m:sSub>
          <m:e>
            <m:r>
              <m:t>T</m:t>
            </m:r>
          </m:e>
          <m:sub>
            <m:r>
              <m:rPr>
                <m:nor/>
                <m:sty m:val="p"/>
              </m:rPr>
              <m:t>эф</m:t>
            </m:r>
          </m:sub>
        </m:sSub>
      </m:oMath>
      <w:r>
        <w:t xml:space="preserve"> достаточно взять верхнюю границу отношения флюенса к пиковой плотности потока по компонентам спектра СКЛ на орбите. </w:t>
      </w:r>
      <w:r>
        <w:t xml:space="preserve">Если флюенс</w:t>
      </w:r>
      <w:r>
        <w:t xml:space="preserve"> </w:t>
      </w:r>
      <m:oMath>
        <m:sSub>
          <m:e>
            <m:r>
              <m:t>Φ</m:t>
            </m:r>
          </m:e>
          <m:sub>
            <m:r>
              <m:t>i</m:t>
            </m:r>
          </m:sub>
        </m:sSub>
      </m:oMath>
      <w:r>
        <w:t xml:space="preserve"> </w:t>
      </w:r>
      <w:r>
        <w:t xml:space="preserve">и пиковая плотность потока</w:t>
      </w:r>
      <w:r>
        <w:t xml:space="preserve"> </w:t>
      </w:r>
      <m:oMath>
        <m:sSub>
          <m:e>
            <m:r>
              <m:t>φ</m:t>
            </m:r>
          </m:e>
          <m:sub>
            <m:r>
              <m:t>i</m:t>
            </m:r>
          </m:sub>
        </m:sSub>
      </m:oMath>
      <w:r>
        <w:t xml:space="preserve"> </w:t>
      </w:r>
      <w:r>
        <w:t xml:space="preserve">каждого компонента спектра СКЛ на орбите связаны неравенством</w:t>
      </w:r>
      <w:r>
        <w:t xml:space="preserve"> </w:t>
      </w:r>
      <m:oMath>
        <m:sSub>
          <m:e>
            <m:r>
              <m:t>Φ</m:t>
            </m:r>
          </m:e>
          <m:sub>
            <m:r>
              <m:t>i</m:t>
            </m:r>
          </m:sub>
        </m:sSub>
        <m:r>
          <m:rPr>
            <m:sty m:val="p"/>
          </m:rPr>
          <m:t>≤</m:t>
        </m:r>
        <m:sSub>
          <m:e>
            <m:r>
              <m:t>T</m:t>
            </m:r>
          </m:e>
          <m:sub>
            <m:r>
              <m:rPr>
                <m:nor/>
                <m:sty m:val="p"/>
              </m:rPr>
              <m:t>эф</m:t>
            </m:r>
          </m:sub>
        </m:sSub>
        <m:sSub>
          <m:e>
            <m:r>
              <m:t>φ</m:t>
            </m:r>
          </m:e>
          <m:sub>
            <m:r>
              <m:t>i</m:t>
            </m:r>
          </m:sub>
        </m:sSub>
      </m:oMath>
      <w:r>
        <w:t xml:space="preserve">, то, поскольку перенос через защиту и интегрирование с неотрицательным сечением — положительные линейные операции,</w:t>
      </w:r>
      <w:r>
        <w:t xml:space="preserve"> </w:t>
      </w:r>
      <m:oMath>
        <m:sSub>
          <m:e>
            <m:r>
              <m:rPr>
                <m:sty m:val="p"/>
                <m:scr m:val="script"/>
              </m:rPr>
              <m:t>N</m:t>
            </m:r>
          </m:e>
          <m:sub>
            <m:r>
              <m:rPr>
                <m:nor/>
                <m:sty m:val="p"/>
              </m:rPr>
              <m:t>С</m:t>
            </m:r>
          </m:sub>
        </m:sSub>
        <m:r>
          <m:rPr>
            <m:sty m:val="p"/>
          </m:rPr>
          <m:t>≤</m:t>
        </m:r>
        <m:sSub>
          <m:e>
            <m:r>
              <m:t>T</m:t>
            </m:r>
          </m:e>
          <m:sub>
            <m:r>
              <m:rPr>
                <m:nor/>
                <m:sty m:val="p"/>
              </m:rPr>
              <m:t>эф</m:t>
            </m:r>
          </m:sub>
        </m:sSub>
        <m:sSub>
          <m:e>
            <m:r>
              <m:t>ν</m:t>
            </m:r>
          </m:e>
          <m:sub>
            <m:r>
              <m:rPr>
                <m:nor/>
                <m:sty m:val="p"/>
              </m:rPr>
              <m:t>С</m:t>
            </m:r>
          </m:sub>
        </m:sSub>
      </m:oMath>
      <w:r>
        <w:t xml:space="preserve">.</w:t>
      </w:r>
    </w:p>
    <w:p>
      <w:pPr>
        <w:pStyle w:val="BodyText"/>
        <w:widowControl/>
      </w:pPr>
      <w:r>
        <w:t xml:space="preserve">После подстановки этих оценок в (2) допустимый период — наибольший период, при котором полученная верхняя оценка вероятности не превышает </w:t>
      </w:r>
      <m:oMath>
        <m:sSub>
          <m:e>
            <m:r>
              <m:t>Q</m:t>
            </m:r>
          </m:e>
          <m:sub>
            <m:r>
              <m:rPr>
                <m:nor/>
                <m:sty m:val="p"/>
              </m:rPr>
              <m:t>доп</m:t>
            </m:r>
          </m:sub>
        </m:sSub>
      </m:oMath>
      <w:r>
        <w:t xml:space="preserve">, — равен</w:t>
      </w:r>
    </w:p>
    <w:p>
      <w:pPr>
        <w:pStyle w:val="BodyText"/>
        <w:keepLines/>
        <w:widowControl/>
        <w:tabs>
          <w:tab w:pos="4706" w:val="center"/>
          <w:tab w:pos="9638" w:val="right"/>
        </w:tabs>
        <w:ind w:firstLine="0"/>
        <w:jc w:val="left"/>
      </w:pPr>
      <w:r>
        <w:tab/>
      </w:r>
      <m:oMath>
        <m:sSub>
          <m:e>
            <m:r>
              <m:t>τ</m:t>
            </m:r>
          </m:e>
          <m:sub>
            <m:r>
              <m:rPr>
                <m:sty m:val="p"/>
              </m:rPr>
              <m:t>max</m:t>
            </m:r>
          </m:sub>
        </m:sSub>
        <m:r>
          <m:rPr>
            <m:sty m:val="p"/>
          </m:rPr>
          <m:t>=</m:t>
        </m:r>
        <m:f>
          <m:fPr>
            <m:type m:val="bar"/>
          </m:fPr>
          <m:num>
            <m:sSub>
              <m:e>
                <m:r>
                  <m:t>Q</m:t>
                </m:r>
              </m:e>
              <m:sub>
                <m:r>
                  <m:rPr>
                    <m:nor/>
                    <m:sty m:val="p"/>
                  </m:rPr>
                  <m:t>доп</m:t>
                </m:r>
              </m:sub>
            </m:sSub>
            <m:r>
              <m:rPr>
                <m:sty m:val="p"/>
              </m:rPr>
              <m:t>−</m:t>
            </m:r>
            <m:d>
              <m:dPr>
                <m:begChr m:val="("/>
                <m:endChr m:val=")"/>
                <m:sepChr m:val=""/>
                <m:grow/>
              </m:dPr>
              <m:e>
                <m:r>
                  <m:t>1</m:t>
                </m:r>
                <m:r>
                  <m:rPr>
                    <m:sty m:val="p"/>
                  </m:rPr>
                  <m:t>−</m:t>
                </m:r>
                <m:sSup>
                  <m:e>
                    <m:r>
                      <m:t>e</m:t>
                    </m:r>
                  </m:e>
                  <m:sup>
                    <m:r>
                      <m:rPr>
                        <m:sty m:val="p"/>
                      </m:rPr>
                      <m:t>−</m:t>
                    </m:r>
                    <m:sSub>
                      <m:e>
                        <m:r>
                          <m:t>Λ</m:t>
                        </m:r>
                      </m:e>
                      <m:sub>
                        <m:r>
                          <m:t>1</m:t>
                        </m:r>
                      </m:sub>
                    </m:sSub>
                  </m:sup>
                </m:sSup>
              </m:e>
            </m:d>
          </m:num>
          <m:den>
            <m:r>
              <m:t>β</m:t>
            </m:r>
            <m:d>
              <m:dPr>
                <m:begChr m:val="["/>
                <m:endChr m:val="]"/>
                <m:sepChr m:val=""/>
                <m:grow/>
              </m:dPr>
              <m:e>
                <m:r>
                  <m:t>T</m:t>
                </m:r>
                <m:sSubSup>
                  <m:e>
                    <m:r>
                      <m:t>ν</m:t>
                    </m:r>
                  </m:e>
                  <m:sub>
                    <m:r>
                      <m:rPr>
                        <m:nor/>
                        <m:sty m:val="p"/>
                      </m:rPr>
                      <m:t>Г</m:t>
                    </m:r>
                  </m:sub>
                  <m:sup>
                    <m:r>
                      <m:t>2</m:t>
                    </m:r>
                  </m:sup>
                </m:sSubSup>
                <m:r>
                  <m:rPr>
                    <m:sty m:val="p"/>
                  </m:rPr>
                  <m:t>+</m:t>
                </m:r>
                <m:sSub>
                  <m:e>
                    <m:r>
                      <m:t>T</m:t>
                    </m:r>
                  </m:e>
                  <m:sub>
                    <m:r>
                      <m:rPr>
                        <m:nor/>
                        <m:sty m:val="p"/>
                      </m:rPr>
                      <m:t>эф</m:t>
                    </m:r>
                  </m:sub>
                </m:sSub>
                <m:sSub>
                  <m:e>
                    <m:r>
                      <m:t>ν</m:t>
                    </m:r>
                  </m:e>
                  <m:sub>
                    <m:r>
                      <m:rPr>
                        <m:nor/>
                        <m:sty m:val="p"/>
                      </m:rPr>
                      <m:t>С</m:t>
                    </m:r>
                  </m:sub>
                </m:sSub>
                <m:d>
                  <m:dPr>
                    <m:begChr m:val="("/>
                    <m:endChr m:val=")"/>
                    <m:sepChr m:val=""/>
                    <m:grow/>
                  </m:dPr>
                  <m:e>
                    <m:sSub>
                      <m:e>
                        <m:r>
                          <m:t>ν</m:t>
                        </m:r>
                      </m:e>
                      <m:sub>
                        <m:r>
                          <m:rPr>
                            <m:nor/>
                            <m:sty m:val="p"/>
                          </m:rPr>
                          <m:t>С</m:t>
                        </m:r>
                      </m:sub>
                    </m:sSub>
                    <m:r>
                      <m:rPr>
                        <m:sty m:val="p"/>
                      </m:rPr>
                      <m:t>+</m:t>
                    </m:r>
                    <m:r>
                      <m:t>2</m:t>
                    </m:r>
                    <m:sSub>
                      <m:e>
                        <m:r>
                          <m:t>ν</m:t>
                        </m:r>
                      </m:e>
                      <m:sub>
                        <m:r>
                          <m:rPr>
                            <m:nor/>
                            <m:sty m:val="p"/>
                          </m:rPr>
                          <m:t>Г</m:t>
                        </m:r>
                      </m:sub>
                    </m:sSub>
                  </m:e>
                </m:d>
              </m:e>
            </m:d>
          </m:den>
        </m:f>
        <m:r>
          <m:rPr>
            <m:sty m:val="p"/>
          </m:rPr>
          <m:t>,</m:t>
        </m:r>
      </m:oMath>
      <w:r>
        <w:tab/>
        <w:t>(3)</w:t>
      </w:r>
    </w:p>
    <w:p>
      <w:pPr>
        <w:pStyle w:val="FirstParagraph"/>
        <w:widowControl/>
      </w:pPr>
      <w:r>
        <w:t xml:space="preserve">где слагаемое</w:t>
      </w:r>
      <w:r>
        <w:t xml:space="preserve"> </w:t>
      </w:r>
      <m:oMath>
        <m:r>
          <m:t>2</m:t>
        </m:r>
        <m:sSub>
          <m:e>
            <m:r>
              <m:t>ν</m:t>
            </m:r>
          </m:e>
          <m:sub>
            <m:r>
              <m:rPr>
                <m:nor/>
                <m:sty m:val="p"/>
              </m:rPr>
              <m:t>Г</m:t>
            </m:r>
          </m:sub>
        </m:sSub>
        <m:sSub>
          <m:e>
            <m:r>
              <m:t>ν</m:t>
            </m:r>
          </m:e>
          <m:sub>
            <m:r>
              <m:rPr>
                <m:nor/>
                <m:sty m:val="p"/>
              </m:rPr>
              <m:t>С</m:t>
            </m:r>
          </m:sub>
        </m:sSub>
      </m:oMath>
      <w:r>
        <w:t xml:space="preserve"> </w:t>
      </w:r>
      <w:r>
        <w:t xml:space="preserve">учитывает пары ошибок, одна из которых вызвана ГКЛ, а другая — СКЛ. Если</w:t>
      </w:r>
      <w:r>
        <w:t xml:space="preserve"> </w:t>
      </w:r>
      <m:oMath>
        <m:r>
          <m:t>1</m:t>
        </m:r>
        <m:r>
          <m:rPr>
            <m:sty m:val="p"/>
          </m:rPr>
          <m:t>−</m:t>
        </m:r>
        <m:sSup>
          <m:e>
            <m:r>
              <m:t>e</m:t>
            </m:r>
          </m:e>
          <m:sup>
            <m:r>
              <m:rPr>
                <m:sty m:val="p"/>
              </m:rPr>
              <m:t>−</m:t>
            </m:r>
            <m:sSub>
              <m:e>
                <m:r>
                  <m:t>Λ</m:t>
                </m:r>
              </m:e>
              <m:sub>
                <m:r>
                  <m:t>1</m:t>
                </m:r>
              </m:sub>
            </m:sSub>
          </m:sup>
        </m:sSup>
        <m:r>
          <m:rPr>
            <m:sty m:val="p"/>
          </m:rPr>
          <m:t>&gt;</m:t>
        </m:r>
        <m:sSub>
          <m:e>
            <m:r>
              <m:t>Q</m:t>
            </m:r>
          </m:e>
          <m:sub>
            <m:r>
              <m:rPr>
                <m:nor/>
                <m:sty m:val="p"/>
              </m:rPr>
              <m:t>доп</m:t>
            </m:r>
          </m:sub>
        </m:sSub>
      </m:oMath>
      <w:r>
        <w:t xml:space="preserve">, требование нельзя выполнить выбором периода скраббинга. Оценка (2) применима и к переменному периоду, если учесть вклады всех интервалов между проверками, включая переходные; такой режим здесь не рассматривается.</w:t>
      </w:r>
    </w:p>
    <w:p>
      <w:pPr>
        <w:pStyle w:val="BodyText"/>
        <w:widowControl/>
      </w:pPr>
      <w:r>
        <w:t xml:space="preserve">Частота SMU оценивается по малому числу событий, поэтому важно, во сколько раз её можно увеличить без нарушения требования. Если</w:t>
      </w:r>
      <w:r>
        <w:t xml:space="preserve"> </w:t>
      </w:r>
      <m:oMath>
        <m:sSub>
          <m:e>
            <m:r>
              <m:t>Λ</m:t>
            </m:r>
          </m:e>
          <m:sub>
            <m:r>
              <m:t>1</m:t>
            </m:r>
          </m:sub>
        </m:sSub>
        <m:r>
          <m:rPr>
            <m:sty m:val="p"/>
          </m:rPr>
          <m:t>=</m:t>
        </m:r>
        <m:r>
          <m:t>k</m:t>
        </m:r>
        <m:sSubSup>
          <m:e>
            <m:r>
              <m:t>Λ</m:t>
            </m:r>
          </m:e>
          <m:sub>
            <m:r>
              <m:t>1</m:t>
            </m:r>
          </m:sub>
          <m:sup>
            <m:d>
              <m:dPr>
                <m:begChr m:val="("/>
                <m:endChr m:val=")"/>
                <m:sepChr m:val=""/>
                <m:grow/>
              </m:dPr>
              <m:e>
                <m:r>
                  <m:t>0</m:t>
                </m:r>
              </m:e>
            </m:d>
          </m:sup>
        </m:sSubSup>
      </m:oMath>
      <w:r>
        <w:t xml:space="preserve">, где</w:t>
      </w:r>
      <w:r>
        <w:t xml:space="preserve"> </w:t>
      </w:r>
      <m:oMath>
        <m:sSubSup>
          <m:e>
            <m:r>
              <m:t>Λ</m:t>
            </m:r>
          </m:e>
          <m:sub>
            <m:r>
              <m:t>1</m:t>
            </m:r>
          </m:sub>
          <m:sup>
            <m:d>
              <m:dPr>
                <m:begChr m:val="("/>
                <m:endChr m:val=")"/>
                <m:sepChr m:val=""/>
                <m:grow/>
              </m:dPr>
              <m:e>
                <m:r>
                  <m:t>0</m:t>
                </m:r>
              </m:e>
            </m:d>
          </m:sup>
        </m:sSubSup>
      </m:oMath>
      <w:r>
        <w:t xml:space="preserve"> </w:t>
      </w:r>
      <w:r>
        <w:t xml:space="preserve">— точечная оценка, требование выполнимо при</w:t>
      </w:r>
      <w:r>
        <w:t xml:space="preserve"> </w:t>
      </w:r>
      <m:oMath>
        <m:r>
          <m:t>k</m:t>
        </m:r>
        <m:r>
          <m:rPr>
            <m:sty m:val="p"/>
          </m:rPr>
          <m:t>&lt;</m:t>
        </m:r>
        <m:sSup>
          <m:e>
            <m:r>
              <m:t>k</m:t>
            </m:r>
          </m:e>
          <m:sup>
            <m:r>
              <m:rPr>
                <m:sty m:val="p"/>
              </m:rPr>
              <m:t>*</m:t>
            </m:r>
          </m:sup>
        </m:sSup>
      </m:oMath>
      <w:r>
        <w:t xml:space="preserve">:</w:t>
      </w:r>
    </w:p>
    <w:p>
      <w:pPr>
        <w:pStyle w:val="BodyText"/>
        <w:keepLines/>
        <w:widowControl/>
        <w:tabs>
          <w:tab w:pos="4706" w:val="center"/>
          <w:tab w:pos="9638" w:val="right"/>
        </w:tabs>
        <w:ind w:firstLine="0"/>
        <w:jc w:val="left"/>
      </w:pPr>
      <w:r>
        <w:tab/>
      </w:r>
      <m:oMath>
        <m:sSup>
          <m:e>
            <m:r>
              <m:t>k</m:t>
            </m:r>
          </m:e>
          <m:sup>
            <m:r>
              <m:rPr>
                <m:sty m:val="p"/>
              </m:rPr>
              <m:t>*</m:t>
            </m:r>
          </m:sup>
        </m:sSup>
        <m:r>
          <m:rPr>
            <m:sty m:val="p"/>
          </m:rPr>
          <m:t>=</m:t>
        </m:r>
        <m:f>
          <m:fPr>
            <m:type m:val="bar"/>
          </m:fPr>
          <m:num>
            <m:r>
              <m:rPr>
                <m:sty m:val="p"/>
              </m:rPr>
              <m:t>−</m:t>
            </m:r>
            <m:r>
              <m:rPr>
                <m:sty m:val="p"/>
              </m:rPr>
              <m:t>ln</m:t>
            </m:r>
            <m:d>
              <m:dPr>
                <m:begChr m:val="("/>
                <m:endChr m:val=")"/>
                <m:sepChr m:val=""/>
                <m:grow/>
              </m:dPr>
              <m:e>
                <m:r>
                  <m:t>1</m:t>
                </m:r>
                <m:r>
                  <m:rPr>
                    <m:sty m:val="p"/>
                  </m:rPr>
                  <m:t>−</m:t>
                </m:r>
                <m:sSub>
                  <m:e>
                    <m:r>
                      <m:t>Q</m:t>
                    </m:r>
                  </m:e>
                  <m:sub>
                    <m:r>
                      <m:rPr>
                        <m:nor/>
                        <m:sty m:val="p"/>
                      </m:rPr>
                      <m:t>доп</m:t>
                    </m:r>
                  </m:sub>
                </m:sSub>
              </m:e>
            </m:d>
          </m:num>
          <m:den>
            <m:sSubSup>
              <m:e>
                <m:r>
                  <m:t>Λ</m:t>
                </m:r>
              </m:e>
              <m:sub>
                <m:r>
                  <m:t>1</m:t>
                </m:r>
              </m:sub>
              <m:sup>
                <m:d>
                  <m:dPr>
                    <m:begChr m:val="("/>
                    <m:endChr m:val=")"/>
                    <m:sepChr m:val=""/>
                    <m:grow/>
                  </m:dPr>
                  <m:e>
                    <m:r>
                      <m:t>0</m:t>
                    </m:r>
                  </m:e>
                </m:d>
              </m:sup>
            </m:sSubSup>
          </m:den>
        </m:f>
        <m:r>
          <m:rPr>
            <m:sty m:val="p"/>
          </m:rPr>
          <m:t>≈</m:t>
        </m:r>
        <m:f>
          <m:fPr>
            <m:type m:val="bar"/>
          </m:fPr>
          <m:num>
            <m:sSub>
              <m:e>
                <m:r>
                  <m:t>Q</m:t>
                </m:r>
              </m:e>
              <m:sub>
                <m:r>
                  <m:rPr>
                    <m:nor/>
                    <m:sty m:val="p"/>
                  </m:rPr>
                  <m:t>доп</m:t>
                </m:r>
              </m:sub>
            </m:sSub>
          </m:num>
          <m:den>
            <m:sSubSup>
              <m:e>
                <m:r>
                  <m:t>Λ</m:t>
                </m:r>
              </m:e>
              <m:sub>
                <m:r>
                  <m:t>1</m:t>
                </m:r>
              </m:sub>
              <m:sup>
                <m:d>
                  <m:dPr>
                    <m:begChr m:val="("/>
                    <m:endChr m:val=")"/>
                    <m:sepChr m:val=""/>
                    <m:grow/>
                  </m:dPr>
                  <m:e>
                    <m:r>
                      <m:t>0</m:t>
                    </m:r>
                  </m:e>
                </m:d>
              </m:sup>
            </m:sSubSup>
          </m:den>
        </m:f>
        <m:r>
          <m:rPr>
            <m:sty m:val="p"/>
          </m:rPr>
          <m:t>.</m:t>
        </m:r>
      </m:oMath>
      <w:r>
        <w:tab/>
        <w:t>(4)</w:t>
      </w:r>
    </w:p>
    <w:p>
      <w:pPr>
        <w:pStyle w:val="FirstParagraph"/>
        <w:widowControl/>
      </w:pPr>
      <w:r>
        <w:t xml:space="preserve">Величина</w:t>
      </w:r>
      <w:r>
        <w:t xml:space="preserve"> </w:t>
      </w:r>
      <m:oMath>
        <m:sSup>
          <m:e>
            <m:r>
              <m:t>k</m:t>
            </m:r>
          </m:e>
          <m:sup>
            <m:r>
              <m:rPr>
                <m:sty m:val="p"/>
              </m:rPr>
              <m:t>*</m:t>
            </m:r>
          </m:sup>
        </m:sSup>
      </m:oMath>
      <w:r>
        <w:t xml:space="preserve"> </w:t>
      </w:r>
      <w:r>
        <w:t xml:space="preserve">не является доверительной границей: это предельный множитель к точечной оценке частоты SMU.</w:t>
      </w:r>
    </w:p>
    <w:p>
      <w:pPr>
        <w:pStyle w:val="BodyText"/>
        <w:widowControl/>
      </w:pPr>
      <w:r>
        <w:t xml:space="preserve">По результатам серии облучения с флюенсом</w:t>
      </w:r>
      <w:r>
        <w:t xml:space="preserve"> </w:t>
      </w:r>
      <m:oMath>
        <m:r>
          <m:t>F</m:t>
        </m:r>
      </m:oMath>
      <w:r>
        <w:t xml:space="preserve">, в которой выявлено</w:t>
      </w:r>
      <w:r>
        <w:t xml:space="preserve"> </w:t>
      </w:r>
      <m:oMath>
        <m:sSub>
          <m:e>
            <m:r>
              <m:t>N</m:t>
            </m:r>
          </m:e>
          <m:sub>
            <m:r>
              <m:t>1</m:t>
            </m:r>
          </m:sub>
        </m:sSub>
      </m:oMath>
      <w:r>
        <w:t xml:space="preserve"> </w:t>
      </w:r>
      <w:r>
        <w:t xml:space="preserve">SMU и</w:t>
      </w:r>
      <w:r>
        <w:t xml:space="preserve"> </w:t>
      </w:r>
      <m:oMath>
        <m:sSub>
          <m:e>
            <m:r>
              <m:t>S</m:t>
            </m:r>
          </m:e>
          <m:sub>
            <m:r>
              <m:rPr>
                <m:nor/>
                <m:sty m:val="p"/>
              </m:rPr>
              <m:t>нак</m:t>
            </m:r>
          </m:sub>
        </m:sSub>
      </m:oMath>
      <w:r>
        <w:t xml:space="preserve"> </w:t>
      </w:r>
      <w:r>
        <w:t xml:space="preserve">ошибочных разрядов остальных событий, сечения равны</w:t>
      </w:r>
    </w:p>
    <w:p>
      <w:pPr>
        <w:pStyle w:val="BodyText"/>
        <w:keepLines/>
        <w:widowControl/>
        <w:tabs>
          <w:tab w:pos="4706" w:val="center"/>
          <w:tab w:pos="9638" w:val="right"/>
        </w:tabs>
        <w:ind w:firstLine="0"/>
        <w:jc w:val="left"/>
      </w:pPr>
      <w:r>
        <w:tab/>
      </w:r>
      <m:oMath>
        <m:sSub>
          <m:e>
            <m:r>
              <m:t>σ</m:t>
            </m:r>
          </m:e>
          <m:sub>
            <m:r>
              <m:t>1</m:t>
            </m:r>
          </m:sub>
        </m:sSub>
        <m:r>
          <m:rPr>
            <m:sty m:val="p"/>
          </m:rPr>
          <m:t>=</m:t>
        </m:r>
        <m:sSub>
          <m:e>
            <m:r>
              <m:t>N</m:t>
            </m:r>
          </m:e>
          <m:sub>
            <m:r>
              <m:t>1</m:t>
            </m:r>
          </m:sub>
        </m:sSub>
        <m:r>
          <m:rPr>
            <m:sty m:val="p"/>
          </m:rPr>
          <m:t>/</m:t>
        </m:r>
        <m:r>
          <m:t>F</m:t>
        </m:r>
        <m:r>
          <m:rPr>
            <m:sty m:val="p"/>
          </m:rPr>
          <m:t>,</m:t>
        </m:r>
        <m:r>
          <m:t>  </m:t>
        </m:r>
        <m:sSub>
          <m:e>
            <m:r>
              <m:t>σ</m:t>
            </m:r>
          </m:e>
          <m:sub>
            <m:r>
              <m:rPr>
                <m:nor/>
                <m:sty m:val="p"/>
              </m:rPr>
              <m:t>нак</m:t>
            </m:r>
          </m:sub>
        </m:sSub>
        <m:r>
          <m:rPr>
            <m:sty m:val="p"/>
          </m:rPr>
          <m:t>=</m:t>
        </m:r>
        <m:sSub>
          <m:e>
            <m:r>
              <m:t>S</m:t>
            </m:r>
          </m:e>
          <m:sub>
            <m:r>
              <m:rPr>
                <m:nor/>
                <m:sty m:val="p"/>
              </m:rPr>
              <m:t>нак</m:t>
            </m:r>
          </m:sub>
        </m:sSub>
        <m:r>
          <m:rPr>
            <m:sty m:val="p"/>
          </m:rPr>
          <m:t>/</m:t>
        </m:r>
        <m:r>
          <m:t>F</m:t>
        </m:r>
        <m:r>
          <m:rPr>
            <m:sty m:val="p"/>
          </m:rPr>
          <m:t>.</m:t>
        </m:r>
      </m:oMath>
      <w:r>
        <w:tab/>
        <w:t>(5)</w:t>
      </w:r>
    </w:p>
    <w:p>
      <w:pPr>
        <w:pStyle w:val="FirstParagraph"/>
        <w:widowControl/>
      </w:pPr>
      <w:r>
        <w:t xml:space="preserve">Верхние границы при доверительной вероятности 0,95 рассчитываются по [5]: при отсутствии событий</w:t>
      </w:r>
      <w:r>
        <w:t xml:space="preserve"> </w:t>
      </w:r>
      <m:oMath>
        <m:sSub>
          <m:e>
            <m:r>
              <m:t>σ</m:t>
            </m:r>
          </m:e>
          <m:sub>
            <m:r>
              <m:t>H</m:t>
            </m:r>
          </m:sub>
        </m:sSub>
        <m:r>
          <m:rPr>
            <m:sty m:val="p"/>
          </m:rPr>
          <m:t>=</m:t>
        </m:r>
        <m:r>
          <m:t>3</m:t>
        </m:r>
        <m:r>
          <m:rPr>
            <m:sty m:val="p"/>
          </m:rPr>
          <m:t>,</m:t>
        </m:r>
        <m:r>
          <m:t>0</m:t>
        </m:r>
        <m:r>
          <m:rPr>
            <m:sty m:val="p"/>
          </m:rPr>
          <m:t>/</m:t>
        </m:r>
        <m:d>
          <m:dPr>
            <m:begChr m:val="["/>
            <m:endChr m:val="]"/>
            <m:sepChr m:val=""/>
            <m:grow/>
          </m:dPr>
          <m:e>
            <m:d>
              <m:dPr>
                <m:begChr m:val="("/>
                <m:endChr m:val=")"/>
                <m:sepChr m:val=""/>
                <m:grow/>
              </m:dPr>
              <m:e>
                <m:r>
                  <m:t>1</m:t>
                </m:r>
                <m:r>
                  <m:rPr>
                    <m:sty m:val="p"/>
                  </m:rPr>
                  <m:t>−</m:t>
                </m:r>
                <m:r>
                  <m:t>θ</m:t>
                </m:r>
              </m:e>
            </m:d>
            <m:r>
              <m:t>F</m:t>
            </m:r>
          </m:e>
        </m:d>
      </m:oMath>
      <w:r>
        <w:t xml:space="preserve">, при</w:t>
      </w:r>
      <w:r>
        <w:t xml:space="preserve"> </w:t>
      </w:r>
      <m:oMath>
        <m:sSub>
          <m:e>
            <m:r>
              <m:t>N</m:t>
            </m:r>
          </m:e>
          <m:sub>
            <m:r>
              <m:t>1</m:t>
            </m:r>
          </m:sub>
        </m:sSub>
        <m:r>
          <m:rPr>
            <m:sty m:val="p"/>
          </m:rPr>
          <m:t>≥</m:t>
        </m:r>
        <m:r>
          <m:t>1</m:t>
        </m:r>
      </m:oMath>
      <w:r>
        <w:t xml:space="preserve"> </w:t>
      </w:r>
      <w:r>
        <w:t xml:space="preserve">—</w:t>
      </w:r>
      <w:r>
        <w:t xml:space="preserve"> </w:t>
      </w:r>
      <m:oMath>
        <m:sSub>
          <m:e>
            <m:r>
              <m:t>σ</m:t>
            </m:r>
          </m:e>
          <m:sub>
            <m:r>
              <m:t>H</m:t>
            </m:r>
          </m:sub>
        </m:sSub>
        <m:r>
          <m:rPr>
            <m:sty m:val="p"/>
          </m:rPr>
          <m:t>=</m:t>
        </m:r>
        <m:sSub>
          <m:e>
            <m:r>
              <m:t>t</m:t>
            </m:r>
          </m:e>
          <m:sub>
            <m:r>
              <m:t>H</m:t>
            </m:r>
          </m:sub>
        </m:sSub>
        <m:d>
          <m:dPr>
            <m:begChr m:val="("/>
            <m:endChr m:val=")"/>
            <m:sepChr m:val=""/>
            <m:grow/>
          </m:dPr>
          <m:e>
            <m:r>
              <m:t>0</m:t>
            </m:r>
            <m:r>
              <m:rPr>
                <m:sty m:val="p"/>
              </m:rPr>
              <m:t>,</m:t>
            </m:r>
            <m:r>
              <m:t>95</m:t>
            </m:r>
            <m:r>
              <m:rPr>
                <m:sty m:val="p"/>
              </m:rPr>
              <m:t>;</m:t>
            </m:r>
            <m:sSub>
              <m:e>
                <m:r>
                  <m:t>N</m:t>
                </m:r>
              </m:e>
              <m:sub>
                <m:r>
                  <m:t>1</m:t>
                </m:r>
              </m:sub>
            </m:sSub>
          </m:e>
        </m:d>
        <m:r>
          <m:t> </m:t>
        </m:r>
        <m:d>
          <m:dPr>
            <m:begChr m:val="("/>
            <m:endChr m:val=")"/>
            <m:sepChr m:val=""/>
            <m:grow/>
          </m:dPr>
          <m:e>
            <m:r>
              <m:t>0</m:t>
            </m:r>
            <m:r>
              <m:rPr>
                <m:sty m:val="p"/>
              </m:rPr>
              <m:t>,</m:t>
            </m:r>
            <m:r>
              <m:t>67</m:t>
            </m:r>
            <m:r>
              <m:rPr>
                <m:sty m:val="p"/>
              </m:rPr>
              <m:t>+</m:t>
            </m:r>
            <m:sSub>
              <m:e>
                <m:r>
                  <m:t>N</m:t>
                </m:r>
              </m:e>
              <m:sub>
                <m:r>
                  <m:t>1</m:t>
                </m:r>
              </m:sub>
            </m:sSub>
          </m:e>
        </m:d>
        <m:r>
          <m:rPr>
            <m:sty m:val="p"/>
          </m:rPr>
          <m:t>/</m:t>
        </m:r>
        <m:d>
          <m:dPr>
            <m:begChr m:val="["/>
            <m:endChr m:val="]"/>
            <m:sepChr m:val=""/>
            <m:grow/>
          </m:dPr>
          <m:e>
            <m:d>
              <m:dPr>
                <m:begChr m:val="("/>
                <m:endChr m:val=")"/>
                <m:sepChr m:val=""/>
                <m:grow/>
              </m:dPr>
              <m:e>
                <m:r>
                  <m:t>1</m:t>
                </m:r>
                <m:r>
                  <m:rPr>
                    <m:sty m:val="p"/>
                  </m:rPr>
                  <m:t>−</m:t>
                </m:r>
                <m:r>
                  <m:t>θ</m:t>
                </m:r>
              </m:e>
            </m:d>
            <m:r>
              <m:t>F</m:t>
            </m:r>
          </m:e>
        </m:d>
      </m:oMath>
      <w:r>
        <w:t xml:space="preserve">, где</w:t>
      </w:r>
      <w:r>
        <w:t xml:space="preserve"> </w:t>
      </w:r>
      <m:oMath>
        <m:sSub>
          <m:e>
            <m:r>
              <m:t>t</m:t>
            </m:r>
          </m:e>
          <m:sub>
            <m:r>
              <m:t>H</m:t>
            </m:r>
          </m:sub>
        </m:sSub>
        <m:d>
          <m:dPr>
            <m:begChr m:val="("/>
            <m:endChr m:val=")"/>
            <m:sepChr m:val=""/>
            <m:grow/>
          </m:dPr>
          <m:e>
            <m:r>
              <m:t>0</m:t>
            </m:r>
            <m:r>
              <m:rPr>
                <m:sty m:val="p"/>
              </m:rPr>
              <m:t>,</m:t>
            </m:r>
            <m:r>
              <m:t>95</m:t>
            </m:r>
            <m:r>
              <m:rPr>
                <m:sty m:val="p"/>
              </m:rPr>
              <m:t>;</m:t>
            </m:r>
            <m:sSub>
              <m:e>
                <m:r>
                  <m:t>N</m:t>
                </m:r>
              </m:e>
              <m:sub>
                <m:r>
                  <m:t>1</m:t>
                </m:r>
              </m:sub>
            </m:sSub>
          </m:e>
        </m:d>
      </m:oMath>
      <w:r>
        <w:t xml:space="preserve"> </w:t>
      </w:r>
      <w:r>
        <w:t xml:space="preserve">— коэффициент по [5],</w:t>
      </w:r>
      <w:r>
        <w:t xml:space="preserve"> </w:t>
      </w:r>
      <m:oMath>
        <m:r>
          <m:t>θ</m:t>
        </m:r>
      </m:oMath>
      <w:r>
        <w:t xml:space="preserve"> </w:t>
      </w:r>
      <w:r>
        <w:t xml:space="preserve">— относительная погрешность флюенса. Сечение SMU считается неубывающим по линейным потерям энергии (ЛПЭ); поэтому граница в точке</w:t>
      </w:r>
      <w:r>
        <w:t xml:space="preserve"> </w:t>
      </w:r>
      <m:oMath>
        <m:sSub>
          <m:e>
            <m:r>
              <m:t>L</m:t>
            </m:r>
          </m:e>
          <m:sub>
            <m:r>
              <m:t>i</m:t>
            </m:r>
          </m:sub>
        </m:sSub>
      </m:oMath>
      <w:r>
        <w:t xml:space="preserve"> </w:t>
      </w:r>
      <w:r>
        <w:t xml:space="preserve">рассчитывается по всем сериям с ЛПЭ не меньше</w:t>
      </w:r>
      <w:r>
        <w:t xml:space="preserve"> </w:t>
      </w:r>
      <m:oMath>
        <m:sSub>
          <m:e>
            <m:r>
              <m:t>L</m:t>
            </m:r>
          </m:e>
          <m:sub>
            <m:r>
              <m:t>i</m:t>
            </m:r>
          </m:sub>
        </m:sSub>
      </m:oMath>
      <w:r>
        <w:t xml:space="preserve"> </w:t>
      </w:r>
      <w:r>
        <w:t xml:space="preserve">и применяется ко всему интервалу от предыдущей точки до</w:t>
      </w:r>
      <w:r>
        <w:t xml:space="preserve"> </w:t>
      </w:r>
      <m:oMath>
        <m:sSub>
          <m:e>
            <m:r>
              <m:t>L</m:t>
            </m:r>
          </m:e>
          <m:sub>
            <m:r>
              <m:t>i</m:t>
            </m:r>
          </m:sub>
        </m:sSub>
      </m:oMath>
      <w:r>
        <w:t xml:space="preserve">. Ниже наименьшей и выше наибольшей испытанной ЛПЭ поведение сечения задаётся допущениями, указанными при расчёте. Полученная зависимость — верхняя расчётная оценка по поточечным границам с доверительной вероятностью 0,95; если полученная по ней оценка для орбиты превышает</w:t>
      </w:r>
      <w:r>
        <w:t xml:space="preserve"> </w:t>
      </w:r>
      <m:oMath>
        <m:sSub>
          <m:e>
            <m:r>
              <m:t>Q</m:t>
            </m:r>
          </m:e>
          <m:sub>
            <m:r>
              <m:rPr>
                <m:nor/>
                <m:sty m:val="p"/>
              </m:rPr>
              <m:t>доп</m:t>
            </m:r>
          </m:sub>
        </m:sSub>
      </m:oMath>
      <w:r>
        <w:t xml:space="preserve">, требование по принятой методике не подтверждается.</w:t>
      </w:r>
    </w:p>
    <w:p>
      <w:pPr>
        <w:pStyle w:val="BodyText"/>
        <w:widowControl/>
      </w:pPr>
      <w:r>
        <w:t xml:space="preserve">Частоты рассчитываются по спектру ЛПЭ</w:t>
      </w:r>
      <w:r>
        <w:t xml:space="preserve"> </w:t>
      </w:r>
      <m:oMath>
        <m:r>
          <m:t>φ</m:t>
        </m:r>
        <m:d>
          <m:dPr>
            <m:begChr m:val="("/>
            <m:endChr m:val=")"/>
            <m:sepChr m:val=""/>
            <m:grow/>
          </m:dPr>
          <m:e>
            <m:r>
              <m:t>L</m:t>
            </m:r>
          </m:e>
        </m:d>
      </m:oMath>
      <w:r>
        <w:t xml:space="preserve">:</w:t>
      </w:r>
    </w:p>
    <w:p>
      <w:pPr>
        <w:pStyle w:val="BodyText"/>
        <w:keepLines/>
        <w:widowControl/>
        <w:tabs>
          <w:tab w:pos="4706" w:val="center"/>
          <w:tab w:pos="9638" w:val="right"/>
        </w:tabs>
        <w:ind w:firstLine="0"/>
        <w:jc w:val="left"/>
      </w:pPr>
      <w:r>
        <w:tab/>
      </w:r>
      <m:oMath>
        <m:r>
          <m:t>ν</m:t>
        </m:r>
        <m:r>
          <m:rPr>
            <m:sty m:val="p"/>
          </m:rPr>
          <m:t>=</m:t>
        </m:r>
        <m:r>
          <m:rPr>
            <m:sty m:val="p"/>
          </m:rPr>
          <m:t>∫</m:t>
        </m:r>
        <m:r>
          <m:t>φ</m:t>
        </m:r>
        <m:d>
          <m:dPr>
            <m:begChr m:val="("/>
            <m:endChr m:val=")"/>
            <m:sepChr m:val=""/>
            <m:grow/>
          </m:dPr>
          <m:e>
            <m:r>
              <m:t>L</m:t>
            </m:r>
          </m:e>
        </m:d>
        <m:r>
          <m:t> </m:t>
        </m:r>
        <m:r>
          <m:t>σ</m:t>
        </m:r>
        <m:d>
          <m:dPr>
            <m:begChr m:val="("/>
            <m:endChr m:val=")"/>
            <m:sepChr m:val=""/>
            <m:grow/>
          </m:dPr>
          <m:e>
            <m:r>
              <m:t>L</m:t>
            </m:r>
          </m:e>
        </m:d>
        <m:r>
          <m:t> </m:t>
        </m:r>
        <m:r>
          <m:t>d</m:t>
        </m:r>
        <m:r>
          <m:t>L</m:t>
        </m:r>
        <m:r>
          <m:rPr>
            <m:sty m:val="p"/>
          </m:rPr>
          <m:t>,</m:t>
        </m:r>
      </m:oMath>
      <w:r>
        <w:tab/>
        <w:t>(6)</w:t>
      </w:r>
    </w:p>
    <w:p>
      <w:pPr>
        <w:pStyle w:val="FirstParagraph"/>
        <w:widowControl/>
      </w:pPr>
      <w:r>
        <w:t xml:space="preserve">где сечение для изотропного потока принимается равным сечению при нормальном падении. Для одиночных сбоев это консервативно [5]; для SMU угловая зависимость неизвестна, и то же допущение принимается как расчётное. Вклад ядерных реакций протонов рассчитывается по энергетическому спектру с множителем 1/2 [5].</w:t>
      </w:r>
    </w:p>
    <w:bookmarkEnd w:id="24"/>
    <w:bookmarkStart w:id="30" w:name="X697e5be7fa36c483f937a0f2a41a5ae59f86cfe"/>
    <w:p>
      <w:pPr>
        <w:pStyle w:val="Heading1"/>
        <w:widowControl/>
      </w:pPr>
      <w:r>
        <w:rPr>
          <w:rFonts w:ascii="Times New Roman" w:hAnsi="Times New Roman"/>
          <w:color w:val="000000"/>
        </w:rPr>
        <w:t xml:space="preserve">Организация памяти и множественные сбои в пределах слова</w:t>
      </w:r>
    </w:p>
    <w:bookmarkStart w:id="25" w:name="данные-и-отображение-координат-в-адреса"/>
    <w:p>
      <w:pPr>
        <w:pStyle w:val="Heading2"/>
        <w:widowControl/>
      </w:pPr>
      <w:r>
        <w:rPr>
          <w:rFonts w:ascii="Times New Roman" w:hAnsi="Times New Roman"/>
          <w:color w:val="000000"/>
        </w:rPr>
        <w:t xml:space="preserve">Данные и отображение координат в адреса</w:t>
      </w:r>
    </w:p>
    <w:p>
      <w:pPr>
        <w:pStyle w:val="FirstParagraph"/>
        <w:widowControl/>
      </w:pPr>
      <w:r>
        <w:t xml:space="preserve">Использован открытый набор данных [22] для СОЗУ CY62167GE30-45ZXI (16 Мбит; внешняя организация 2²¹×8 или 2²⁰×16). Встроенная коррекция при испытаниях была отключена программно [23]. Образцы облучали со вскрытым корпусом при нормальном падении, напряжении 3,3 В и комнатной температуре; записывался шахматный код, память считывалась каждые 2,5 с, ошибочные разряды восстанавливались [23, 24]. Использованы образцы одной партии. Ошибочные ячейки объединены в кластеры, если они отстоят не более чем на 3 шага по сумме модулей разностей координат, с учётом последовательных считываний [24–26]. Набор содержит 14 серий облучения протонами и 14 серий облучения ионами на ускорителях KVI-CART (Kernfysisch Versneller Instituut – Center for Advanced Radiation Technology, Нидерланды), GANIL (Grand Accélérateur National d’Ions Lourds, Франция) и GSI (GSI Helmholtzzentrum für Schwerionenforschung, Германия). После исключения 33 служебных записей с нулевыми координатами в анализ вошли 173 802 кластера и 299 026 вхождений ошибочных ячеек в кластеры. Характеристики ионных серий приведены в табл. 1.</w:t>
      </w:r>
    </w:p>
    <w:p>
      <w:pPr>
        <w:pStyle w:val="BodyText"/>
        <w:widowControl/>
      </w:pPr>
      <w:r>
        <w:t xml:space="preserve">Флюенсы в наборе не приведены. Они определены по сечению сбоя разряда</w:t>
      </w:r>
      <w:r>
        <w:t xml:space="preserve"> </w:t>
      </w:r>
      <m:oMath>
        <m:sSub>
          <m:e>
            <m:r>
              <m:t>σ</m:t>
            </m:r>
          </m:e>
          <m:sub>
            <m:r>
              <m:t>b</m:t>
            </m:r>
          </m:sub>
        </m:sSub>
        <m:d>
          <m:dPr>
            <m:begChr m:val="("/>
            <m:endChr m:val=")"/>
            <m:sepChr m:val=""/>
            <m:grow/>
          </m:dPr>
          <m:e>
            <m:r>
              <m:t>L</m:t>
            </m:r>
          </m:e>
        </m:d>
      </m:oMath>
      <w:r>
        <w:t xml:space="preserve">, в котором учтены все ошибочные разряды, в том числе входящие в МС. Это функция Вейбулла с параметрами</w:t>
      </w:r>
      <w:r>
        <w:t xml:space="preserve"> </w:t>
      </w:r>
      <m:oMath>
        <m:sSub>
          <m:e>
            <m:r>
              <m:t>L</m:t>
            </m:r>
          </m:e>
          <m:sub>
            <m:r>
              <m:t>0</m:t>
            </m:r>
          </m:sub>
        </m:sSub>
        <m:r>
          <m:rPr>
            <m:sty m:val="p"/>
          </m:rPr>
          <m:t>=</m:t>
        </m:r>
        <m:r>
          <m:t>0</m:t>
        </m:r>
        <m:r>
          <m:rPr>
            <m:sty m:val="p"/>
          </m:rPr>
          <m:t>,</m:t>
        </m:r>
        <m:r>
          <m:t>15</m:t>
        </m:r>
      </m:oMath>
      <w:r>
        <w:t xml:space="preserve"> </w:t>
      </w:r>
      <w:r>
        <w:t xml:space="preserve">МэВ·см²/мг,</w:t>
      </w:r>
      <w:r>
        <w:t xml:space="preserve"> </w:t>
      </w:r>
      <m:oMath>
        <m:sSub>
          <m:e>
            <m:r>
              <m:t>σ</m:t>
            </m:r>
          </m:e>
          <m:sub>
            <m:r>
              <m:rPr>
                <m:nor/>
                <m:sty m:val="p"/>
              </m:rPr>
              <m:t>нас</m:t>
            </m:r>
          </m:sub>
        </m:sSub>
        <m:r>
          <m:rPr>
            <m:sty m:val="p"/>
          </m:rPr>
          <m:t>=</m:t>
        </m:r>
        <m:r>
          <m:t>2</m:t>
        </m:r>
        <m:r>
          <m:rPr>
            <m:sty m:val="p"/>
          </m:rPr>
          <m:t>,</m:t>
        </m:r>
        <m:r>
          <m:t>6</m:t>
        </m:r>
        <m:r>
          <m:rPr>
            <m:sty m:val="p"/>
          </m:rPr>
          <m:t>⋅</m:t>
        </m:r>
        <m:sSup>
          <m:e>
            <m:r>
              <m:t>10</m:t>
            </m:r>
          </m:e>
          <m:sup>
            <m:r>
              <m:rPr>
                <m:sty m:val="p"/>
              </m:rPr>
              <m:t>−</m:t>
            </m:r>
            <m:r>
              <m:t>7</m:t>
            </m:r>
          </m:sup>
        </m:sSup>
      </m:oMath>
      <w:r>
        <w:t xml:space="preserve"> </w:t>
      </w:r>
      <w:r>
        <w:t xml:space="preserve">см²/бит,</w:t>
      </w:r>
      <w:r>
        <w:t xml:space="preserve"> </w:t>
      </w:r>
      <m:oMath>
        <m:r>
          <m:t>W</m:t>
        </m:r>
        <m:r>
          <m:rPr>
            <m:sty m:val="p"/>
          </m:rPr>
          <m:t>=</m:t>
        </m:r>
        <m:r>
          <m:t>70</m:t>
        </m:r>
      </m:oMath>
      <w:r>
        <w:t xml:space="preserve"> </w:t>
      </w:r>
      <w:r>
        <w:t xml:space="preserve">МэВ·см²/мг,</w:t>
      </w:r>
      <w:r>
        <w:t xml:space="preserve"> </w:t>
      </w:r>
      <m:oMath>
        <m:r>
          <m:t>s</m:t>
        </m:r>
        <m:r>
          <m:rPr>
            <m:sty m:val="p"/>
          </m:rPr>
          <m:t>=</m:t>
        </m:r>
        <m:r>
          <m:t>1</m:t>
        </m:r>
        <m:r>
          <m:rPr>
            <m:sty m:val="p"/>
          </m:rPr>
          <m:t>,</m:t>
        </m:r>
        <m:r>
          <m:t>2</m:t>
        </m:r>
      </m:oMath>
      <w:r>
        <w:t xml:space="preserve"> </w:t>
      </w:r>
      <w:r>
        <w:t xml:space="preserve">[24];</w:t>
      </w:r>
      <w:r>
        <w:t xml:space="preserve"> </w:t>
      </w:r>
      <m:oMath>
        <m:r>
          <m:t>F</m:t>
        </m:r>
        <m:r>
          <m:rPr>
            <m:sty m:val="p"/>
          </m:rPr>
          <m:t>=</m:t>
        </m:r>
        <m:r>
          <m:t>S</m:t>
        </m:r>
        <m:r>
          <m:rPr>
            <m:sty m:val="p"/>
          </m:rPr>
          <m:t>/</m:t>
        </m:r>
        <m:d>
          <m:dPr>
            <m:begChr m:val="["/>
            <m:endChr m:val="]"/>
            <m:sepChr m:val=""/>
            <m:grow/>
          </m:dPr>
          <m:e>
            <m:sSub>
              <m:e>
                <m:r>
                  <m:t>N</m:t>
                </m:r>
              </m:e>
              <m:sub>
                <m:r>
                  <m:rPr>
                    <m:nor/>
                    <m:sty m:val="p"/>
                  </m:rPr>
                  <m:t>инф</m:t>
                </m:r>
              </m:sub>
            </m:sSub>
            <m:sSub>
              <m:e>
                <m:r>
                  <m:t>σ</m:t>
                </m:r>
              </m:e>
              <m:sub>
                <m:r>
                  <m:t>b</m:t>
                </m:r>
              </m:sub>
            </m:sSub>
            <m:d>
              <m:dPr>
                <m:begChr m:val="("/>
                <m:endChr m:val=")"/>
                <m:sepChr m:val=""/>
                <m:grow/>
              </m:dPr>
              <m:e>
                <m:r>
                  <m:t>L</m:t>
                </m:r>
              </m:e>
            </m:d>
          </m:e>
        </m:d>
      </m:oMath>
      <w:r>
        <w:t xml:space="preserve">, где</w:t>
      </w:r>
      <w:r>
        <w:t xml:space="preserve"> </w:t>
      </w:r>
      <m:oMath>
        <m:r>
          <m:t>S</m:t>
        </m:r>
      </m:oMath>
      <w:r>
        <w:t xml:space="preserve"> </w:t>
      </w:r>
      <w:r>
        <w:t xml:space="preserve">— число вхождений ошибочных ячеек в кластеры серии,</w:t>
      </w:r>
      <w:r>
        <w:t xml:space="preserve"> </w:t>
      </w:r>
      <m:oMath>
        <m:sSub>
          <m:e>
            <m:r>
              <m:t>N</m:t>
            </m:r>
          </m:e>
          <m:sub>
            <m:r>
              <m:rPr>
                <m:nor/>
                <m:sty m:val="p"/>
              </m:rPr>
              <m:t>инф</m:t>
            </m:r>
          </m:sub>
        </m:sSub>
        <m:r>
          <m:rPr>
            <m:sty m:val="p"/>
          </m:rPr>
          <m:t>=</m:t>
        </m:r>
        <m:r>
          <m:t>32</m:t>
        </m:r>
        <m:sSub>
          <m:e>
            <m:r>
              <m:t>N</m:t>
            </m:r>
          </m:e>
          <m:sub>
            <m:r>
              <m:rPr>
                <m:nor/>
                <m:sty m:val="p"/>
              </m:rPr>
              <m:t>сл</m:t>
            </m:r>
          </m:sub>
        </m:sSub>
        <m:r>
          <m:rPr>
            <m:sty m:val="p"/>
          </m:rPr>
          <m:t>=</m:t>
        </m:r>
        <m:sSup>
          <m:e>
            <m:r>
              <m:t>2</m:t>
            </m:r>
          </m:e>
          <m:sup>
            <m:r>
              <m:t>24</m:t>
            </m:r>
          </m:sup>
        </m:sSup>
      </m:oMath>
      <w:r>
        <w:t xml:space="preserve"> </w:t>
      </w:r>
      <w:r>
        <w:t xml:space="preserve">— число информационных разрядов. Для серий с ЛПЭ выше 10 МэВ·см²/мг флюенс, определённый независимо по числу событий [24], отличается от этой оценки не более чем на 11 %. В расчёте принята относительная погрешность флюенса</w:t>
      </w:r>
      <w:r>
        <w:t xml:space="preserve"> </w:t>
      </w:r>
      <m:oMath>
        <m:r>
          <m:t>θ</m:t>
        </m:r>
        <m:r>
          <m:rPr>
            <m:sty m:val="p"/>
          </m:rPr>
          <m:t>=</m:t>
        </m:r>
        <m:r>
          <m:t>0</m:t>
        </m:r>
        <m:r>
          <m:rPr>
            <m:sty m:val="p"/>
          </m:rPr>
          <m:t>,</m:t>
        </m:r>
        <m:r>
          <m:t>3</m:t>
        </m:r>
      </m:oMath>
      <w:r>
        <w:t xml:space="preserve"> </w:t>
      </w:r>
      <w:r>
        <w:t xml:space="preserve">— по разбросу результатов между установками, приведённому в [24].</w:t>
      </w:r>
    </w:p>
    <w:p>
      <w:pPr>
        <w:pStyle w:val="BodyText"/>
        <w:widowControl/>
      </w:pPr>
      <w:r>
        <w:t xml:space="preserve">Пары кластеров, разделённые промежутком 4–5 шагов (наименьшей суммой модулей разностей координат их ячеек), встречаются в сумме примерно в 8 раз чаще, чем при случайном расположении событий, т. е. в основном являются частями одних событий, разделёнными правилом кластеризации. Поэтому при подсчёте SMU такие кластеры объединены в одно событие; при промежутке 6–7 шагов превышение существенно меньше, и такие кластеры не объединялись.</w:t>
      </w:r>
    </w:p>
    <w:p>
      <w:pPr>
        <w:pStyle w:val="BodyText"/>
        <w:keepNext/>
        <w:widowControl/>
        <w:spacing w:after="120"/>
      </w:pPr>
      <w:r>
        <w:rPr>
          <w:bCs/>
          <w:b/>
        </w:rPr>
        <w:t xml:space="preserve">Таблица 1 — Серии облучения ионами</w:t>
      </w:r>
    </w:p>
    <w:tbl>
      <w:tblPr>
        <w:tblStyle w:val="Table"/>
        <w:tblW w:type="dxa" w:w="9638"/>
        <w:jc w:val="center"/>
        <w:tblLayout w:type="fixed"/>
        <w:tblLook w:firstRow="1" w:lastRow="0" w:firstColumn="0" w:lastColumn="0" w:noHBand="0" w:noVBand="0" w:val="0020"/>
      </w:tblPr>
      <w:tblGrid>
        <w:gridCol w:w="1757"/>
        <w:gridCol w:w="1361"/>
        <w:gridCol w:w="1332"/>
        <w:gridCol w:w="850"/>
        <w:gridCol w:w="907"/>
        <w:gridCol w:w="1134"/>
        <w:gridCol w:w="879"/>
        <w:gridCol w:w="879"/>
        <w:gridCol w:w="539"/>
      </w:tblGrid>
      <w:tr>
        <w:trPr>
          <w:tblHeader w:val="true"/>
          <w:cantSplit/>
        </w:trPr>
        <w:tc>
          <w:tcPr>
            <w:tcW w:type="dxa" w:w="1757"/>
            <w:vAlign w:val="center"/>
            <w:tcMar>
              <w:top w:w="55" w:type="dxa"/>
              <w:bottom w:w="55" w:type="dxa"/>
              <w:left w:w="60" w:type="dxa"/>
              <w:right w:w="60" w:type="dxa"/>
            </w:tcMar>
          </w:tcPr>
          <w:p>
            <w:pPr>
              <w:pStyle w:val="Compact"/>
              <w:keepNext/>
              <w:keepLines/>
              <w:spacing w:before="0" w:after="0" w:line="240" w:lineRule="auto"/>
              <w:jc w:val="left"/>
              <w:rPr>
                <w:sz w:val="22"/>
              </w:rPr>
            </w:pPr>
            <w:r>
              <w:rPr>
                <w:rFonts w:ascii="Times New Roman" w:hAnsi="Times New Roman"/>
                <w:sz w:val="22"/>
              </w:rPr>
              <w:t xml:space="preserve">Ион, энергия</w:t>
            </w:r>
          </w:p>
        </w:tc>
        <w:tc>
          <w:tcPr>
            <w:tcW w:type="dxa" w:w="136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Ускоритель</w:t>
            </w:r>
          </w:p>
        </w:tc>
        <w:tc>
          <w:tcPr>
            <w:tcW w:type="dxa" w:w="1332"/>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ЛПЭ,</w:t>
            </w:r>
            <w:r>
              <w:br/>
            </w:r>
            <w:r>
              <w:rPr>
                <w:rFonts w:ascii="Times New Roman" w:hAnsi="Times New Roman"/>
                <w:sz w:val="22"/>
              </w:rPr>
              <w:t>МэВ·см²/мг</w:t>
            </w:r>
          </w:p>
        </w:tc>
        <w:tc>
          <w:tcPr>
            <w:tcW w:type="dxa" w:w="850"/>
            <w:vAlign w:val="center"/>
            <w:tcMar>
              <w:top w:w="55" w:type="dxa"/>
              <w:bottom w:w="55" w:type="dxa"/>
              <w:left w:w="60" w:type="dxa"/>
              <w:right w:w="60" w:type="dxa"/>
            </w:tcMar>
          </w:tcPr>
          <w:p>
            <w:pPr>
              <w:pStyle w:val="Compact"/>
              <w:keepNext/>
              <w:keepLines/>
              <w:spacing w:before="0" w:after="0" w:line="240" w:lineRule="auto"/>
              <w:jc w:val="center"/>
              <w:rPr>
                <w:sz w:val="22"/>
              </w:rPr>
            </w:pPr>
            <m:oMath>
              <m:r>
                <w:rPr>
                  <w:sz w:val="22"/>
                </w:rPr>
                <m:t>N</m:t>
              </m:r>
            </m:oMath>
          </w:p>
        </w:tc>
        <w:tc>
          <w:tcPr>
            <w:tcW w:type="dxa" w:w="907"/>
            <w:vAlign w:val="center"/>
            <w:tcMar>
              <w:top w:w="55" w:type="dxa"/>
              <w:bottom w:w="55" w:type="dxa"/>
              <w:left w:w="60" w:type="dxa"/>
              <w:right w:w="60" w:type="dxa"/>
            </w:tcMar>
          </w:tcPr>
          <w:p>
            <w:pPr>
              <w:pStyle w:val="Compact"/>
              <w:keepNext/>
              <w:keepLines/>
              <w:spacing w:before="0" w:after="0" w:line="240" w:lineRule="auto"/>
              <w:jc w:val="center"/>
              <w:rPr>
                <w:sz w:val="22"/>
              </w:rPr>
            </w:pPr>
            <m:oMath>
              <m:r>
                <w:rPr>
                  <w:sz w:val="22"/>
                </w:rPr>
                <m:t>S</m:t>
              </m:r>
            </m:oMath>
          </w:p>
        </w:tc>
        <w:tc>
          <w:tcPr>
            <w:tcW w:type="dxa" w:w="1134"/>
            <w:vAlign w:val="center"/>
            <w:tcMar>
              <w:top w:w="55" w:type="dxa"/>
              <w:bottom w:w="55" w:type="dxa"/>
              <w:left w:w="60" w:type="dxa"/>
              <w:right w:w="60" w:type="dxa"/>
            </w:tcMar>
          </w:tcPr>
          <w:p>
            <w:pPr>
              <w:pStyle w:val="Compact"/>
              <w:keepNext/>
              <w:keepLines/>
              <w:spacing w:before="0" w:after="0" w:line="240" w:lineRule="auto"/>
              <w:jc w:val="center"/>
              <w:rPr>
                <w:sz w:val="22"/>
              </w:rPr>
            </w:pPr>
            <m:oMath>
              <m:r>
                <w:rPr>
                  <w:sz w:val="22"/>
                </w:rPr>
                <m:t>F</m:t>
              </m:r>
            </m:oMath>
            <w:r>
              <w:rPr>
                <w:rFonts w:ascii="Times New Roman" w:hAnsi="Times New Roman"/>
                <w:sz w:val="22"/>
              </w:rPr>
              <w:t xml:space="preserve">, 10³ см⁻²</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m:oMath>
              <m:r>
                <w:rPr>
                  <w:sz w:val="22"/>
                </w:rPr>
                <m:t>Δ</m:t>
              </m:r>
              <m:sSub>
                <m:e>
                  <m:r>
                    <w:rPr>
                      <w:sz w:val="22"/>
                    </w:rPr>
                    <m:t>y</m:t>
                  </m:r>
                </m:e>
                <m:sub>
                  <m:r>
                    <w:rPr>
                      <w:sz w:val="22"/>
                    </w:rPr>
                    <m:rPr>
                      <m:sty m:val="p"/>
                    </m:rPr>
                    <m:t>max</m:t>
                  </m:r>
                </m:sub>
              </m:sSub>
            </m:oMath>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m:oMath>
              <m:r>
                <w:rPr>
                  <w:sz w:val="22"/>
                </w:rPr>
                <m:t>Δ</m:t>
              </m:r>
              <m:sSub>
                <m:e>
                  <m:r>
                    <w:rPr>
                      <w:sz w:val="22"/>
                    </w:rPr>
                    <m:t>x</m:t>
                  </m:r>
                </m:e>
                <m:sub>
                  <m:r>
                    <w:rPr>
                      <w:sz w:val="22"/>
                    </w:rPr>
                    <m:rPr>
                      <m:sty m:val="p"/>
                    </m:rPr>
                    <m:t>max</m:t>
                  </m:r>
                </m:sub>
              </m:sSub>
            </m:oMath>
          </w:p>
        </w:tc>
        <w:tc>
          <w:tcPr>
            <w:tcW w:type="dxa" w:w="539"/>
            <w:vAlign w:val="center"/>
            <w:tcMar>
              <w:top w:w="55" w:type="dxa"/>
              <w:bottom w:w="55" w:type="dxa"/>
              <w:left w:w="60" w:type="dxa"/>
              <w:right w:w="60" w:type="dxa"/>
            </w:tcMar>
          </w:tcPr>
          <w:p>
            <w:pPr>
              <w:pStyle w:val="Compact"/>
              <w:keepNext/>
              <w:keepLines/>
              <w:spacing w:before="0" w:after="0" w:line="240" w:lineRule="auto"/>
              <w:jc w:val="center"/>
              <w:rPr>
                <w:sz w:val="22"/>
              </w:rPr>
            </w:pPr>
            <m:oMath>
              <m:sSub>
                <m:e>
                  <m:r>
                    <w:rPr>
                      <w:sz w:val="22"/>
                    </w:rPr>
                    <m:t>N</m:t>
                  </m:r>
                </m:e>
                <m:sub>
                  <m:r>
                    <w:rPr>
                      <w:sz w:val="22"/>
                    </w:rPr>
                    <m:t>1</m:t>
                  </m:r>
                </m:sub>
              </m:sSub>
            </m:oMath>
          </w:p>
        </w:tc>
      </w:tr>
      <w:tr>
        <w:trPr>
          <w:cantSplit/>
        </w:trPr>
        <w:tc>
          <w:tcPr>
            <w:tcW w:type="dxa" w:w="1757"/>
            <w:vAlign w:val="center"/>
            <w:tcMar>
              <w:top w:w="55" w:type="dxa"/>
              <w:bottom w:w="55" w:type="dxa"/>
              <w:left w:w="60" w:type="dxa"/>
              <w:right w:w="60" w:type="dxa"/>
            </w:tcMar>
          </w:tcPr>
          <w:p>
            <w:pPr>
              <w:pStyle w:val="Compact"/>
              <w:keepNext/>
              <w:keepLines/>
              <w:spacing w:before="0" w:after="0" w:line="240" w:lineRule="auto"/>
              <w:jc w:val="left"/>
              <w:rPr>
                <w:sz w:val="22"/>
              </w:rPr>
            </w:pPr>
            <w:r>
              <w:rPr>
                <w:rFonts w:ascii="Times New Roman" w:hAnsi="Times New Roman"/>
                <w:sz w:val="22"/>
              </w:rPr>
              <w:t xml:space="preserve">C, 1080 МэВ</w:t>
            </w:r>
          </w:p>
        </w:tc>
        <w:tc>
          <w:tcPr>
            <w:tcW w:type="dxa" w:w="136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KVI-CART</w:t>
            </w:r>
          </w:p>
        </w:tc>
        <w:tc>
          <w:tcPr>
            <w:tcW w:type="dxa" w:w="1332"/>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≈0,23</w:t>
            </w:r>
          </w:p>
        </w:tc>
        <w:tc>
          <w:tcPr>
            <w:tcW w:type="dxa" w:w="850"/>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1406</w:t>
            </w:r>
          </w:p>
        </w:tc>
        <w:tc>
          <w:tcPr>
            <w:tcW w:type="dxa" w:w="907"/>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1478</w:t>
            </w:r>
          </w:p>
        </w:tc>
        <w:tc>
          <w:tcPr>
            <w:tcW w:type="dxa" w:w="113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1149</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5</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3</w:t>
            </w:r>
          </w:p>
        </w:tc>
        <w:tc>
          <w:tcPr>
            <w:tcW w:type="dxa" w:w="53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0</w:t>
            </w:r>
          </w:p>
        </w:tc>
      </w:tr>
      <w:tr>
        <w:trPr>
          <w:cantSplit/>
        </w:trPr>
        <w:tc>
          <w:tcPr>
            <w:tcW w:type="dxa" w:w="1757"/>
            <w:vAlign w:val="center"/>
            <w:tcMar>
              <w:top w:w="55" w:type="dxa"/>
              <w:bottom w:w="55" w:type="dxa"/>
              <w:left w:w="60" w:type="dxa"/>
              <w:right w:w="60" w:type="dxa"/>
            </w:tcMar>
          </w:tcPr>
          <w:p>
            <w:pPr>
              <w:pStyle w:val="Compact"/>
              <w:keepNext/>
              <w:keepLines/>
              <w:spacing w:before="0" w:after="0" w:line="240" w:lineRule="auto"/>
              <w:jc w:val="left"/>
              <w:rPr>
                <w:sz w:val="22"/>
              </w:rPr>
            </w:pPr>
            <w:r>
              <w:rPr>
                <w:rFonts w:ascii="Times New Roman" w:hAnsi="Times New Roman"/>
                <w:sz w:val="22"/>
              </w:rPr>
              <w:t xml:space="preserve">C, 720 МэВ</w:t>
            </w:r>
          </w:p>
        </w:tc>
        <w:tc>
          <w:tcPr>
            <w:tcW w:type="dxa" w:w="136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KVI-CART</w:t>
            </w:r>
          </w:p>
        </w:tc>
        <w:tc>
          <w:tcPr>
            <w:tcW w:type="dxa" w:w="1332"/>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≈0,31</w:t>
            </w:r>
          </w:p>
        </w:tc>
        <w:tc>
          <w:tcPr>
            <w:tcW w:type="dxa" w:w="850"/>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5088</w:t>
            </w:r>
          </w:p>
        </w:tc>
        <w:tc>
          <w:tcPr>
            <w:tcW w:type="dxa" w:w="907"/>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5122</w:t>
            </w:r>
          </w:p>
        </w:tc>
        <w:tc>
          <w:tcPr>
            <w:tcW w:type="dxa" w:w="113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1734</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3</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3</w:t>
            </w:r>
          </w:p>
        </w:tc>
        <w:tc>
          <w:tcPr>
            <w:tcW w:type="dxa" w:w="53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0</w:t>
            </w:r>
          </w:p>
        </w:tc>
      </w:tr>
      <w:tr>
        <w:trPr>
          <w:cantSplit/>
        </w:trPr>
        <w:tc>
          <w:tcPr>
            <w:tcW w:type="dxa" w:w="1757"/>
            <w:vAlign w:val="center"/>
            <w:tcMar>
              <w:top w:w="55" w:type="dxa"/>
              <w:bottom w:w="55" w:type="dxa"/>
              <w:left w:w="60" w:type="dxa"/>
              <w:right w:w="60" w:type="dxa"/>
            </w:tcMar>
          </w:tcPr>
          <w:p>
            <w:pPr>
              <w:pStyle w:val="Compact"/>
              <w:keepNext/>
              <w:keepLines/>
              <w:spacing w:before="0" w:after="0" w:line="240" w:lineRule="auto"/>
              <w:jc w:val="left"/>
              <w:rPr>
                <w:sz w:val="22"/>
              </w:rPr>
            </w:pPr>
            <w:r>
              <w:rPr>
                <w:rFonts w:ascii="Times New Roman" w:hAnsi="Times New Roman"/>
                <w:sz w:val="22"/>
              </w:rPr>
              <w:t xml:space="preserve">C, 360 МэВ</w:t>
            </w:r>
          </w:p>
        </w:tc>
        <w:tc>
          <w:tcPr>
            <w:tcW w:type="dxa" w:w="136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KVI-CART</w:t>
            </w:r>
          </w:p>
        </w:tc>
        <w:tc>
          <w:tcPr>
            <w:tcW w:type="dxa" w:w="1332"/>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≈0,53</w:t>
            </w:r>
          </w:p>
        </w:tc>
        <w:tc>
          <w:tcPr>
            <w:tcW w:type="dxa" w:w="850"/>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16 871</w:t>
            </w:r>
          </w:p>
        </w:tc>
        <w:tc>
          <w:tcPr>
            <w:tcW w:type="dxa" w:w="907"/>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17 148</w:t>
            </w:r>
          </w:p>
        </w:tc>
        <w:tc>
          <w:tcPr>
            <w:tcW w:type="dxa" w:w="113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2057</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7</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6</w:t>
            </w:r>
          </w:p>
        </w:tc>
        <w:tc>
          <w:tcPr>
            <w:tcW w:type="dxa" w:w="53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0</w:t>
            </w:r>
          </w:p>
        </w:tc>
      </w:tr>
      <w:tr>
        <w:trPr>
          <w:cantSplit/>
        </w:trPr>
        <w:tc>
          <w:tcPr>
            <w:tcW w:type="dxa" w:w="1757"/>
            <w:vAlign w:val="center"/>
            <w:tcMar>
              <w:top w:w="55" w:type="dxa"/>
              <w:bottom w:w="55" w:type="dxa"/>
              <w:left w:w="60" w:type="dxa"/>
              <w:right w:w="60" w:type="dxa"/>
            </w:tcMar>
          </w:tcPr>
          <w:p>
            <w:pPr>
              <w:pStyle w:val="Compact"/>
              <w:keepNext/>
              <w:keepLines/>
              <w:spacing w:before="0" w:after="0" w:line="240" w:lineRule="auto"/>
              <w:jc w:val="left"/>
              <w:rPr>
                <w:sz w:val="22"/>
              </w:rPr>
            </w:pPr>
            <w:r>
              <w:rPr>
                <w:rFonts w:ascii="Times New Roman" w:hAnsi="Times New Roman"/>
                <w:sz w:val="22"/>
              </w:rPr>
              <w:t xml:space="preserve">Ar, 1050 МэВ</w:t>
            </w:r>
          </w:p>
        </w:tc>
        <w:tc>
          <w:tcPr>
            <w:tcW w:type="dxa" w:w="136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KVI-CART</w:t>
            </w:r>
          </w:p>
        </w:tc>
        <w:tc>
          <w:tcPr>
            <w:tcW w:type="dxa" w:w="1332"/>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5,2</w:t>
            </w:r>
          </w:p>
        </w:tc>
        <w:tc>
          <w:tcPr>
            <w:tcW w:type="dxa" w:w="850"/>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637</w:t>
            </w:r>
          </w:p>
        </w:tc>
        <w:tc>
          <w:tcPr>
            <w:tcW w:type="dxa" w:w="907"/>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1628</w:t>
            </w:r>
          </w:p>
        </w:tc>
        <w:tc>
          <w:tcPr>
            <w:tcW w:type="dxa" w:w="113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8,94</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7</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2</w:t>
            </w:r>
          </w:p>
        </w:tc>
        <w:tc>
          <w:tcPr>
            <w:tcW w:type="dxa" w:w="53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0</w:t>
            </w:r>
          </w:p>
        </w:tc>
      </w:tr>
      <w:tr>
        <w:trPr>
          <w:cantSplit/>
        </w:trPr>
        <w:tc>
          <w:tcPr>
            <w:tcW w:type="dxa" w:w="1757"/>
            <w:vAlign w:val="center"/>
            <w:tcMar>
              <w:top w:w="55" w:type="dxa"/>
              <w:bottom w:w="55" w:type="dxa"/>
              <w:left w:w="60" w:type="dxa"/>
              <w:right w:w="60" w:type="dxa"/>
            </w:tcMar>
          </w:tcPr>
          <w:p>
            <w:pPr>
              <w:pStyle w:val="Compact"/>
              <w:keepNext/>
              <w:keepLines/>
              <w:spacing w:before="0" w:after="0" w:line="240" w:lineRule="auto"/>
              <w:jc w:val="left"/>
              <w:rPr>
                <w:sz w:val="22"/>
              </w:rPr>
            </w:pPr>
            <w:r>
              <w:rPr>
                <w:rFonts w:ascii="Times New Roman" w:hAnsi="Times New Roman"/>
                <w:sz w:val="22"/>
              </w:rPr>
              <w:t xml:space="preserve">Ar, 548 МэВ</w:t>
            </w:r>
          </w:p>
        </w:tc>
        <w:tc>
          <w:tcPr>
            <w:tcW w:type="dxa" w:w="136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KVI-CART</w:t>
            </w:r>
          </w:p>
        </w:tc>
        <w:tc>
          <w:tcPr>
            <w:tcW w:type="dxa" w:w="1332"/>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≈7,9</w:t>
            </w:r>
          </w:p>
        </w:tc>
        <w:tc>
          <w:tcPr>
            <w:tcW w:type="dxa" w:w="850"/>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1050</w:t>
            </w:r>
          </w:p>
        </w:tc>
        <w:tc>
          <w:tcPr>
            <w:tcW w:type="dxa" w:w="907"/>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4368</w:t>
            </w:r>
          </w:p>
        </w:tc>
        <w:tc>
          <w:tcPr>
            <w:tcW w:type="dxa" w:w="113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14,6</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12</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3</w:t>
            </w:r>
          </w:p>
        </w:tc>
        <w:tc>
          <w:tcPr>
            <w:tcW w:type="dxa" w:w="53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0</w:t>
            </w:r>
          </w:p>
        </w:tc>
      </w:tr>
      <w:tr>
        <w:trPr>
          <w:cantSplit/>
        </w:trPr>
        <w:tc>
          <w:tcPr>
            <w:tcW w:type="dxa" w:w="1757"/>
            <w:vAlign w:val="center"/>
            <w:tcMar>
              <w:top w:w="55" w:type="dxa"/>
              <w:bottom w:w="55" w:type="dxa"/>
              <w:left w:w="60" w:type="dxa"/>
              <w:right w:w="60" w:type="dxa"/>
            </w:tcMar>
          </w:tcPr>
          <w:p>
            <w:pPr>
              <w:pStyle w:val="Compact"/>
              <w:keepNext/>
              <w:keepLines/>
              <w:spacing w:before="0" w:after="0" w:line="240" w:lineRule="auto"/>
              <w:jc w:val="left"/>
              <w:rPr>
                <w:sz w:val="22"/>
              </w:rPr>
            </w:pPr>
            <w:r>
              <w:rPr>
                <w:rFonts w:ascii="Times New Roman" w:hAnsi="Times New Roman"/>
                <w:sz w:val="22"/>
              </w:rPr>
              <w:t xml:space="preserve">U, 190,4 ГэВ</w:t>
            </w:r>
          </w:p>
        </w:tc>
        <w:tc>
          <w:tcPr>
            <w:tcW w:type="dxa" w:w="136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GSI</w:t>
            </w:r>
          </w:p>
        </w:tc>
        <w:tc>
          <w:tcPr>
            <w:tcW w:type="dxa" w:w="1332"/>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15</w:t>
            </w:r>
          </w:p>
        </w:tc>
        <w:tc>
          <w:tcPr>
            <w:tcW w:type="dxa" w:w="850"/>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924</w:t>
            </w:r>
          </w:p>
        </w:tc>
        <w:tc>
          <w:tcPr>
            <w:tcW w:type="dxa" w:w="907"/>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5484</w:t>
            </w:r>
          </w:p>
        </w:tc>
        <w:tc>
          <w:tcPr>
            <w:tcW w:type="dxa" w:w="113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8,73</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10</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3</w:t>
            </w:r>
          </w:p>
        </w:tc>
        <w:tc>
          <w:tcPr>
            <w:tcW w:type="dxa" w:w="53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0</w:t>
            </w:r>
          </w:p>
        </w:tc>
      </w:tr>
      <w:tr>
        <w:trPr>
          <w:cantSplit/>
        </w:trPr>
        <w:tc>
          <w:tcPr>
            <w:tcW w:type="dxa" w:w="1757"/>
            <w:vAlign w:val="center"/>
            <w:tcMar>
              <w:top w:w="55" w:type="dxa"/>
              <w:bottom w:w="55" w:type="dxa"/>
              <w:left w:w="60" w:type="dxa"/>
              <w:right w:w="60" w:type="dxa"/>
            </w:tcMar>
          </w:tcPr>
          <w:p>
            <w:pPr>
              <w:pStyle w:val="Compact"/>
              <w:keepNext/>
              <w:keepLines/>
              <w:spacing w:before="0" w:after="0" w:line="240" w:lineRule="auto"/>
              <w:jc w:val="left"/>
              <w:rPr>
                <w:sz w:val="22"/>
              </w:rPr>
            </w:pPr>
            <w:r>
              <w:rPr>
                <w:rFonts w:ascii="Times New Roman" w:hAnsi="Times New Roman"/>
                <w:sz w:val="22"/>
              </w:rPr>
              <w:t xml:space="preserve">U, 142,8 ГэВ</w:t>
            </w:r>
          </w:p>
        </w:tc>
        <w:tc>
          <w:tcPr>
            <w:tcW w:type="dxa" w:w="136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GSI</w:t>
            </w:r>
          </w:p>
        </w:tc>
        <w:tc>
          <w:tcPr>
            <w:tcW w:type="dxa" w:w="1332"/>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17</w:t>
            </w:r>
          </w:p>
        </w:tc>
        <w:tc>
          <w:tcPr>
            <w:tcW w:type="dxa" w:w="850"/>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950</w:t>
            </w:r>
          </w:p>
        </w:tc>
        <w:tc>
          <w:tcPr>
            <w:tcW w:type="dxa" w:w="907"/>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6707</w:t>
            </w:r>
          </w:p>
        </w:tc>
        <w:tc>
          <w:tcPr>
            <w:tcW w:type="dxa" w:w="113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9,28</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15</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6</w:t>
            </w:r>
          </w:p>
        </w:tc>
        <w:tc>
          <w:tcPr>
            <w:tcW w:type="dxa" w:w="53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0</w:t>
            </w:r>
          </w:p>
        </w:tc>
      </w:tr>
      <w:tr>
        <w:trPr>
          <w:cantSplit/>
        </w:trPr>
        <w:tc>
          <w:tcPr>
            <w:tcW w:type="dxa" w:w="1757"/>
            <w:vAlign w:val="center"/>
            <w:tcMar>
              <w:top w:w="55" w:type="dxa"/>
              <w:bottom w:w="55" w:type="dxa"/>
              <w:left w:w="60" w:type="dxa"/>
              <w:right w:w="60" w:type="dxa"/>
            </w:tcMar>
          </w:tcPr>
          <w:p>
            <w:pPr>
              <w:pStyle w:val="Compact"/>
              <w:keepNext/>
              <w:keepLines/>
              <w:spacing w:before="0" w:after="0" w:line="240" w:lineRule="auto"/>
              <w:jc w:val="left"/>
              <w:rPr>
                <w:sz w:val="22"/>
              </w:rPr>
            </w:pPr>
            <w:r>
              <w:rPr>
                <w:rFonts w:ascii="Times New Roman" w:hAnsi="Times New Roman"/>
                <w:sz w:val="22"/>
              </w:rPr>
              <w:t xml:space="preserve">U, 78,5 ГэВ</w:t>
            </w:r>
          </w:p>
        </w:tc>
        <w:tc>
          <w:tcPr>
            <w:tcW w:type="dxa" w:w="136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GSI</w:t>
            </w:r>
          </w:p>
        </w:tc>
        <w:tc>
          <w:tcPr>
            <w:tcW w:type="dxa" w:w="1332"/>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22</w:t>
            </w:r>
          </w:p>
        </w:tc>
        <w:tc>
          <w:tcPr>
            <w:tcW w:type="dxa" w:w="850"/>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1026</w:t>
            </w:r>
          </w:p>
        </w:tc>
        <w:tc>
          <w:tcPr>
            <w:tcW w:type="dxa" w:w="907"/>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9822</w:t>
            </w:r>
          </w:p>
        </w:tc>
        <w:tc>
          <w:tcPr>
            <w:tcW w:type="dxa" w:w="113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10,3</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14</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7</w:t>
            </w:r>
          </w:p>
        </w:tc>
        <w:tc>
          <w:tcPr>
            <w:tcW w:type="dxa" w:w="53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0</w:t>
            </w:r>
          </w:p>
        </w:tc>
      </w:tr>
      <w:tr>
        <w:trPr>
          <w:cantSplit/>
        </w:trPr>
        <w:tc>
          <w:tcPr>
            <w:tcW w:type="dxa" w:w="1757"/>
            <w:vAlign w:val="center"/>
            <w:tcMar>
              <w:top w:w="55" w:type="dxa"/>
              <w:bottom w:w="55" w:type="dxa"/>
              <w:left w:w="60" w:type="dxa"/>
              <w:right w:w="60" w:type="dxa"/>
            </w:tcMar>
          </w:tcPr>
          <w:p>
            <w:pPr>
              <w:pStyle w:val="Compact"/>
              <w:keepNext/>
              <w:keepLines/>
              <w:spacing w:before="0" w:after="0" w:line="240" w:lineRule="auto"/>
              <w:jc w:val="left"/>
              <w:rPr>
                <w:sz w:val="22"/>
              </w:rPr>
            </w:pPr>
            <w:r>
              <w:rPr>
                <w:rFonts w:ascii="Times New Roman" w:hAnsi="Times New Roman"/>
                <w:sz w:val="22"/>
              </w:rPr>
              <w:t xml:space="preserve">Xe</w:t>
            </w:r>
          </w:p>
        </w:tc>
        <w:tc>
          <w:tcPr>
            <w:tcW w:type="dxa" w:w="136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GANIL</w:t>
            </w:r>
          </w:p>
        </w:tc>
        <w:tc>
          <w:tcPr>
            <w:tcW w:type="dxa" w:w="1332"/>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27</w:t>
            </w:r>
          </w:p>
        </w:tc>
        <w:tc>
          <w:tcPr>
            <w:tcW w:type="dxa" w:w="850"/>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998</w:t>
            </w:r>
          </w:p>
        </w:tc>
        <w:tc>
          <w:tcPr>
            <w:tcW w:type="dxa" w:w="907"/>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10 876</w:t>
            </w:r>
          </w:p>
        </w:tc>
        <w:tc>
          <w:tcPr>
            <w:tcW w:type="dxa" w:w="113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9,19</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16</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5</w:t>
            </w:r>
          </w:p>
        </w:tc>
        <w:tc>
          <w:tcPr>
            <w:tcW w:type="dxa" w:w="53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0</w:t>
            </w:r>
          </w:p>
        </w:tc>
      </w:tr>
      <w:tr>
        <w:trPr>
          <w:cantSplit/>
        </w:trPr>
        <w:tc>
          <w:tcPr>
            <w:tcW w:type="dxa" w:w="1757"/>
            <w:vAlign w:val="center"/>
            <w:tcMar>
              <w:top w:w="55" w:type="dxa"/>
              <w:bottom w:w="55" w:type="dxa"/>
              <w:left w:w="60" w:type="dxa"/>
              <w:right w:w="60" w:type="dxa"/>
            </w:tcMar>
          </w:tcPr>
          <w:p>
            <w:pPr>
              <w:pStyle w:val="Compact"/>
              <w:keepNext/>
              <w:keepLines/>
              <w:spacing w:before="0" w:after="0" w:line="240" w:lineRule="auto"/>
              <w:jc w:val="left"/>
              <w:rPr>
                <w:sz w:val="22"/>
              </w:rPr>
            </w:pPr>
            <w:r>
              <w:rPr>
                <w:rFonts w:ascii="Times New Roman" w:hAnsi="Times New Roman"/>
                <w:sz w:val="22"/>
              </w:rPr>
              <w:t xml:space="preserve">U, 45,2 ГэВ</w:t>
            </w:r>
          </w:p>
        </w:tc>
        <w:tc>
          <w:tcPr>
            <w:tcW w:type="dxa" w:w="136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GSI</w:t>
            </w:r>
          </w:p>
        </w:tc>
        <w:tc>
          <w:tcPr>
            <w:tcW w:type="dxa" w:w="1332"/>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29</w:t>
            </w:r>
          </w:p>
        </w:tc>
        <w:tc>
          <w:tcPr>
            <w:tcW w:type="dxa" w:w="850"/>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1050</w:t>
            </w:r>
          </w:p>
        </w:tc>
        <w:tc>
          <w:tcPr>
            <w:tcW w:type="dxa" w:w="907"/>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12 340</w:t>
            </w:r>
          </w:p>
        </w:tc>
        <w:tc>
          <w:tcPr>
            <w:tcW w:type="dxa" w:w="113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9,69</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15</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10</w:t>
            </w:r>
          </w:p>
        </w:tc>
        <w:tc>
          <w:tcPr>
            <w:tcW w:type="dxa" w:w="53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0</w:t>
            </w:r>
          </w:p>
        </w:tc>
      </w:tr>
      <w:tr>
        <w:trPr>
          <w:cantSplit/>
        </w:trPr>
        <w:tc>
          <w:tcPr>
            <w:tcW w:type="dxa" w:w="1757"/>
            <w:vAlign w:val="center"/>
            <w:tcMar>
              <w:top w:w="55" w:type="dxa"/>
              <w:bottom w:w="55" w:type="dxa"/>
              <w:left w:w="60" w:type="dxa"/>
              <w:right w:w="60" w:type="dxa"/>
            </w:tcMar>
          </w:tcPr>
          <w:p>
            <w:pPr>
              <w:pStyle w:val="Compact"/>
              <w:keepNext/>
              <w:keepLines/>
              <w:spacing w:before="0" w:after="0" w:line="240" w:lineRule="auto"/>
              <w:jc w:val="left"/>
              <w:rPr>
                <w:sz w:val="22"/>
              </w:rPr>
            </w:pPr>
            <w:r>
              <w:rPr>
                <w:rFonts w:ascii="Times New Roman" w:hAnsi="Times New Roman"/>
                <w:sz w:val="22"/>
              </w:rPr>
              <w:t xml:space="preserve">U, 35,7 ГэВ</w:t>
            </w:r>
          </w:p>
        </w:tc>
        <w:tc>
          <w:tcPr>
            <w:tcW w:type="dxa" w:w="136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GSI</w:t>
            </w:r>
          </w:p>
        </w:tc>
        <w:tc>
          <w:tcPr>
            <w:tcW w:type="dxa" w:w="1332"/>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33</w:t>
            </w:r>
          </w:p>
        </w:tc>
        <w:tc>
          <w:tcPr>
            <w:tcW w:type="dxa" w:w="850"/>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476</w:t>
            </w:r>
          </w:p>
        </w:tc>
        <w:tc>
          <w:tcPr>
            <w:tcW w:type="dxa" w:w="907"/>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6230</w:t>
            </w:r>
          </w:p>
        </w:tc>
        <w:tc>
          <w:tcPr>
            <w:tcW w:type="dxa" w:w="113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4,30</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9</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4</w:t>
            </w:r>
          </w:p>
        </w:tc>
        <w:tc>
          <w:tcPr>
            <w:tcW w:type="dxa" w:w="53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0</w:t>
            </w:r>
          </w:p>
        </w:tc>
      </w:tr>
      <w:tr>
        <w:trPr>
          <w:cantSplit/>
        </w:trPr>
        <w:tc>
          <w:tcPr>
            <w:tcW w:type="dxa" w:w="1757"/>
            <w:vAlign w:val="center"/>
            <w:tcMar>
              <w:top w:w="55" w:type="dxa"/>
              <w:bottom w:w="55" w:type="dxa"/>
              <w:left w:w="60" w:type="dxa"/>
              <w:right w:w="60" w:type="dxa"/>
            </w:tcMar>
          </w:tcPr>
          <w:p>
            <w:pPr>
              <w:pStyle w:val="Compact"/>
              <w:keepNext/>
              <w:keepLines/>
              <w:spacing w:before="0" w:after="0" w:line="240" w:lineRule="auto"/>
              <w:jc w:val="left"/>
              <w:rPr>
                <w:sz w:val="22"/>
              </w:rPr>
            </w:pPr>
            <w:r>
              <w:rPr>
                <w:rFonts w:ascii="Times New Roman" w:hAnsi="Times New Roman"/>
                <w:sz w:val="22"/>
              </w:rPr>
              <w:t xml:space="preserve">Xe</w:t>
            </w:r>
          </w:p>
        </w:tc>
        <w:tc>
          <w:tcPr>
            <w:tcW w:type="dxa" w:w="136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GANIL</w:t>
            </w:r>
          </w:p>
        </w:tc>
        <w:tc>
          <w:tcPr>
            <w:tcW w:type="dxa" w:w="1332"/>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42</w:t>
            </w:r>
          </w:p>
        </w:tc>
        <w:tc>
          <w:tcPr>
            <w:tcW w:type="dxa" w:w="850"/>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1119</w:t>
            </w:r>
          </w:p>
        </w:tc>
        <w:tc>
          <w:tcPr>
            <w:tcW w:type="dxa" w:w="907"/>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17 012</w:t>
            </w:r>
          </w:p>
        </w:tc>
        <w:tc>
          <w:tcPr>
            <w:tcW w:type="dxa" w:w="113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9,35</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18</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8</w:t>
            </w:r>
          </w:p>
        </w:tc>
        <w:tc>
          <w:tcPr>
            <w:tcW w:type="dxa" w:w="53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2</w:t>
            </w:r>
          </w:p>
        </w:tc>
      </w:tr>
      <w:tr>
        <w:trPr>
          <w:cantSplit/>
        </w:trPr>
        <w:tc>
          <w:tcPr>
            <w:tcW w:type="dxa" w:w="1757"/>
            <w:vAlign w:val="center"/>
            <w:tcMar>
              <w:top w:w="55" w:type="dxa"/>
              <w:bottom w:w="55" w:type="dxa"/>
              <w:left w:w="60" w:type="dxa"/>
              <w:right w:w="60" w:type="dxa"/>
            </w:tcMar>
          </w:tcPr>
          <w:p>
            <w:pPr>
              <w:pStyle w:val="Compact"/>
              <w:keepNext/>
              <w:keepLines/>
              <w:spacing w:before="0" w:after="0" w:line="240" w:lineRule="auto"/>
              <w:jc w:val="left"/>
              <w:rPr>
                <w:sz w:val="22"/>
              </w:rPr>
            </w:pPr>
            <w:r>
              <w:rPr>
                <w:rFonts w:ascii="Times New Roman" w:hAnsi="Times New Roman"/>
                <w:sz w:val="22"/>
              </w:rPr>
              <w:t xml:space="preserve">Xe, 2700 МэВ</w:t>
            </w:r>
          </w:p>
        </w:tc>
        <w:tc>
          <w:tcPr>
            <w:tcW w:type="dxa" w:w="136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KVI-CART</w:t>
            </w:r>
          </w:p>
        </w:tc>
        <w:tc>
          <w:tcPr>
            <w:tcW w:type="dxa" w:w="1332"/>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≈44</w:t>
            </w:r>
          </w:p>
        </w:tc>
        <w:tc>
          <w:tcPr>
            <w:tcW w:type="dxa" w:w="850"/>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1041</w:t>
            </w:r>
          </w:p>
        </w:tc>
        <w:tc>
          <w:tcPr>
            <w:tcW w:type="dxa" w:w="907"/>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16 735</w:t>
            </w:r>
          </w:p>
        </w:tc>
        <w:tc>
          <w:tcPr>
            <w:tcW w:type="dxa" w:w="113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8,82</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14</w:t>
            </w:r>
          </w:p>
        </w:tc>
        <w:tc>
          <w:tcPr>
            <w:tcW w:type="dxa" w:w="87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9</w:t>
            </w:r>
          </w:p>
        </w:tc>
        <w:tc>
          <w:tcPr>
            <w:tcW w:type="dxa" w:w="539"/>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0</w:t>
            </w:r>
          </w:p>
        </w:tc>
      </w:tr>
      <w:tr>
        <w:trPr>
          <w:cantSplit/>
        </w:trPr>
        <w:tc>
          <w:tcPr>
            <w:tcW w:type="dxa" w:w="1757"/>
            <w:vAlign w:val="center"/>
            <w:tcMar>
              <w:top w:w="55" w:type="dxa"/>
              <w:bottom w:w="55" w:type="dxa"/>
              <w:left w:w="60" w:type="dxa"/>
              <w:right w:w="60" w:type="dxa"/>
            </w:tcMar>
          </w:tcPr>
          <w:p>
            <w:pPr>
              <w:pStyle w:val="Compact"/>
              <w:keepNext w:val="0"/>
              <w:keepLines/>
              <w:spacing w:before="0" w:after="0" w:line="240" w:lineRule="auto"/>
              <w:jc w:val="left"/>
              <w:rPr>
                <w:sz w:val="22"/>
              </w:rPr>
            </w:pPr>
            <w:r>
              <w:rPr>
                <w:rFonts w:ascii="Times New Roman" w:hAnsi="Times New Roman"/>
                <w:sz w:val="22"/>
              </w:rPr>
              <w:t xml:space="preserve">Xe</w:t>
            </w:r>
          </w:p>
        </w:tc>
        <w:tc>
          <w:tcPr>
            <w:tcW w:type="dxa" w:w="1361"/>
            <w:vAlign w:val="center"/>
            <w:tcMar>
              <w:top w:w="55" w:type="dxa"/>
              <w:bottom w:w="55" w:type="dxa"/>
              <w:left w:w="60" w:type="dxa"/>
              <w:right w:w="60" w:type="dxa"/>
            </w:tcMar>
          </w:tcPr>
          <w:p>
            <w:pPr>
              <w:pStyle w:val="Compact"/>
              <w:keepNext w:val="0"/>
              <w:keepLines/>
              <w:spacing w:before="0" w:after="0" w:line="240" w:lineRule="auto"/>
              <w:jc w:val="center"/>
              <w:rPr>
                <w:sz w:val="22"/>
              </w:rPr>
            </w:pPr>
            <w:r>
              <w:rPr>
                <w:rFonts w:ascii="Times New Roman" w:hAnsi="Times New Roman"/>
                <w:sz w:val="22"/>
              </w:rPr>
              <w:t xml:space="preserve">GANIL</w:t>
            </w:r>
          </w:p>
        </w:tc>
        <w:tc>
          <w:tcPr>
            <w:tcW w:type="dxa" w:w="1332"/>
            <w:vAlign w:val="center"/>
            <w:tcMar>
              <w:top w:w="55" w:type="dxa"/>
              <w:bottom w:w="55" w:type="dxa"/>
              <w:left w:w="60" w:type="dxa"/>
              <w:right w:w="60" w:type="dxa"/>
            </w:tcMar>
          </w:tcPr>
          <w:p>
            <w:pPr>
              <w:pStyle w:val="Compact"/>
              <w:keepNext w:val="0"/>
              <w:keepLines/>
              <w:spacing w:before="0" w:after="0" w:line="240" w:lineRule="auto"/>
              <w:jc w:val="center"/>
              <w:rPr>
                <w:sz w:val="22"/>
              </w:rPr>
            </w:pPr>
            <w:r>
              <w:rPr>
                <w:rFonts w:ascii="Times New Roman" w:hAnsi="Times New Roman"/>
                <w:sz w:val="22"/>
              </w:rPr>
              <w:t xml:space="preserve">57</w:t>
            </w:r>
          </w:p>
        </w:tc>
        <w:tc>
          <w:tcPr>
            <w:tcW w:type="dxa" w:w="850"/>
            <w:vAlign w:val="center"/>
            <w:tcMar>
              <w:top w:w="55" w:type="dxa"/>
              <w:bottom w:w="55" w:type="dxa"/>
              <w:left w:w="60" w:type="dxa"/>
              <w:right w:w="60" w:type="dxa"/>
            </w:tcMar>
          </w:tcPr>
          <w:p>
            <w:pPr>
              <w:pStyle w:val="Compact"/>
              <w:keepNext w:val="0"/>
              <w:keepLines/>
              <w:spacing w:before="0" w:after="0" w:line="240" w:lineRule="auto"/>
              <w:jc w:val="center"/>
              <w:rPr>
                <w:sz w:val="22"/>
              </w:rPr>
            </w:pPr>
            <w:r>
              <w:rPr>
                <w:rFonts w:ascii="Times New Roman" w:hAnsi="Times New Roman"/>
                <w:sz w:val="22"/>
              </w:rPr>
              <w:t xml:space="preserve">1060</w:t>
            </w:r>
          </w:p>
        </w:tc>
        <w:tc>
          <w:tcPr>
            <w:tcW w:type="dxa" w:w="907"/>
            <w:vAlign w:val="center"/>
            <w:tcMar>
              <w:top w:w="55" w:type="dxa"/>
              <w:bottom w:w="55" w:type="dxa"/>
              <w:left w:w="60" w:type="dxa"/>
              <w:right w:w="60" w:type="dxa"/>
            </w:tcMar>
          </w:tcPr>
          <w:p>
            <w:pPr>
              <w:pStyle w:val="Compact"/>
              <w:keepNext w:val="0"/>
              <w:keepLines/>
              <w:spacing w:before="0" w:after="0" w:line="240" w:lineRule="auto"/>
              <w:jc w:val="center"/>
              <w:rPr>
                <w:sz w:val="22"/>
              </w:rPr>
            </w:pPr>
            <w:r>
              <w:rPr>
                <w:rFonts w:ascii="Times New Roman" w:hAnsi="Times New Roman"/>
                <w:sz w:val="22"/>
              </w:rPr>
              <w:t xml:space="preserve">21 185</w:t>
            </w:r>
          </w:p>
        </w:tc>
        <w:tc>
          <w:tcPr>
            <w:tcW w:type="dxa" w:w="1134"/>
            <w:vAlign w:val="center"/>
            <w:tcMar>
              <w:top w:w="55" w:type="dxa"/>
              <w:bottom w:w="55" w:type="dxa"/>
              <w:left w:w="60" w:type="dxa"/>
              <w:right w:w="60" w:type="dxa"/>
            </w:tcMar>
          </w:tcPr>
          <w:p>
            <w:pPr>
              <w:pStyle w:val="Compact"/>
              <w:keepNext w:val="0"/>
              <w:keepLines/>
              <w:spacing w:before="0" w:after="0" w:line="240" w:lineRule="auto"/>
              <w:jc w:val="center"/>
              <w:rPr>
                <w:sz w:val="22"/>
              </w:rPr>
            </w:pPr>
            <w:r>
              <w:rPr>
                <w:rFonts w:ascii="Times New Roman" w:hAnsi="Times New Roman"/>
                <w:sz w:val="22"/>
              </w:rPr>
              <w:t xml:space="preserve">8,97</w:t>
            </w:r>
          </w:p>
        </w:tc>
        <w:tc>
          <w:tcPr>
            <w:tcW w:type="dxa" w:w="879"/>
            <w:vAlign w:val="center"/>
            <w:tcMar>
              <w:top w:w="55" w:type="dxa"/>
              <w:bottom w:w="55" w:type="dxa"/>
              <w:left w:w="60" w:type="dxa"/>
              <w:right w:w="60" w:type="dxa"/>
            </w:tcMar>
          </w:tcPr>
          <w:p>
            <w:pPr>
              <w:pStyle w:val="Compact"/>
              <w:keepNext w:val="0"/>
              <w:keepLines/>
              <w:spacing w:before="0" w:after="0" w:line="240" w:lineRule="auto"/>
              <w:jc w:val="center"/>
              <w:rPr>
                <w:sz w:val="22"/>
              </w:rPr>
            </w:pPr>
            <w:r>
              <w:rPr>
                <w:rFonts w:ascii="Times New Roman" w:hAnsi="Times New Roman"/>
                <w:sz w:val="22"/>
              </w:rPr>
              <w:t xml:space="preserve">20</w:t>
            </w:r>
          </w:p>
        </w:tc>
        <w:tc>
          <w:tcPr>
            <w:tcW w:type="dxa" w:w="879"/>
            <w:vAlign w:val="center"/>
            <w:tcMar>
              <w:top w:w="55" w:type="dxa"/>
              <w:bottom w:w="55" w:type="dxa"/>
              <w:left w:w="60" w:type="dxa"/>
              <w:right w:w="60" w:type="dxa"/>
            </w:tcMar>
          </w:tcPr>
          <w:p>
            <w:pPr>
              <w:pStyle w:val="Compact"/>
              <w:keepNext w:val="0"/>
              <w:keepLines/>
              <w:spacing w:before="0" w:after="0" w:line="240" w:lineRule="auto"/>
              <w:jc w:val="center"/>
              <w:rPr>
                <w:sz w:val="22"/>
              </w:rPr>
            </w:pPr>
            <w:r>
              <w:rPr>
                <w:rFonts w:ascii="Times New Roman" w:hAnsi="Times New Roman"/>
                <w:sz w:val="22"/>
              </w:rPr>
              <w:t xml:space="preserve">13</w:t>
            </w:r>
          </w:p>
        </w:tc>
        <w:tc>
          <w:tcPr>
            <w:tcW w:type="dxa" w:w="539"/>
            <w:vAlign w:val="center"/>
            <w:tcMar>
              <w:top w:w="55" w:type="dxa"/>
              <w:bottom w:w="55" w:type="dxa"/>
              <w:left w:w="60" w:type="dxa"/>
              <w:right w:w="60" w:type="dxa"/>
            </w:tcMar>
          </w:tcPr>
          <w:p>
            <w:pPr>
              <w:pStyle w:val="Compact"/>
              <w:keepNext w:val="0"/>
              <w:keepLines/>
              <w:spacing w:before="0" w:after="0" w:line="240" w:lineRule="auto"/>
              <w:jc w:val="center"/>
              <w:rPr>
                <w:sz w:val="22"/>
              </w:rPr>
            </w:pPr>
            <w:r>
              <w:rPr>
                <w:rFonts w:ascii="Times New Roman" w:hAnsi="Times New Roman"/>
                <w:sz w:val="22"/>
              </w:rPr>
              <w:t xml:space="preserve">4</w:t>
            </w:r>
          </w:p>
        </w:tc>
      </w:tr>
    </w:tbl>
    <w:p>
      <w:pPr>
        <w:pStyle w:val="BodyText"/>
        <w:widowControl/>
      </w:pPr>
      <w:r>
        <w:rPr>
          <w:iCs/>
          <w:i/>
        </w:rPr>
        <w:t xml:space="preserve">Примечание.</w:t>
      </w:r>
      <w:r>
        <w:t xml:space="preserve"> </w:t>
      </w:r>
      <m:oMath>
        <m:r>
          <m:t>N</m:t>
        </m:r>
      </m:oMath>
      <w:r>
        <w:t xml:space="preserve"> </w:t>
      </w:r>
      <w:r>
        <w:t xml:space="preserve">— число кластеров,</w:t>
      </w:r>
      <w:r>
        <w:t xml:space="preserve"> </w:t>
      </w:r>
      <m:oMath>
        <m:r>
          <m:t>S</m:t>
        </m:r>
      </m:oMath>
      <w:r>
        <w:t xml:space="preserve"> </w:t>
      </w:r>
      <w:r>
        <w:t xml:space="preserve">— число вхождений ошибочных ячеек в кластеры,</w:t>
      </w:r>
      <w:r>
        <w:t xml:space="preserve"> </w:t>
      </w:r>
      <m:oMath>
        <m:r>
          <m:t>F</m:t>
        </m:r>
      </m:oMath>
      <w:r>
        <w:t xml:space="preserve"> </w:t>
      </w:r>
      <w:r>
        <w:t xml:space="preserve">— флюенс,</w:t>
      </w:r>
      <w:r>
        <w:t xml:space="preserve"> </w:t>
      </w:r>
      <m:oMath>
        <m:r>
          <m:t>Δ</m:t>
        </m:r>
        <m:sSub>
          <m:e>
            <m:r>
              <m:t>y</m:t>
            </m:r>
          </m:e>
          <m:sub>
            <m:r>
              <m:rPr>
                <m:sty m:val="p"/>
              </m:rPr>
              <m:t>max</m:t>
            </m:r>
          </m:sub>
        </m:sSub>
      </m:oMath>
      <w:r>
        <w:t xml:space="preserve">,</w:t>
      </w:r>
      <w:r>
        <w:t xml:space="preserve"> </w:t>
      </w:r>
      <m:oMath>
        <m:r>
          <m:t>Δ</m:t>
        </m:r>
        <m:sSub>
          <m:e>
            <m:r>
              <m:t>x</m:t>
            </m:r>
          </m:e>
          <m:sub>
            <m:r>
              <m:rPr>
                <m:sty m:val="p"/>
              </m:rPr>
              <m:t>max</m:t>
            </m:r>
          </m:sub>
        </m:sSub>
      </m:oMath>
      <w:r>
        <w:t xml:space="preserve"> </w:t>
      </w:r>
      <w:r>
        <w:t xml:space="preserve">— наибольшая в серии разность координат ячеек кластера (</w:t>
      </w:r>
      <m:oMath>
        <m:r>
          <m:t>Δ</m:t>
        </m:r>
        <m:r>
          <m:t>y</m:t>
        </m:r>
        <m:r>
          <m:rPr>
            <m:sty m:val="p"/>
          </m:rPr>
          <m:t>=</m:t>
        </m:r>
        <m:sSub>
          <m:e>
            <m:r>
              <m:t>y</m:t>
            </m:r>
          </m:e>
          <m:sub>
            <m:r>
              <m:rPr>
                <m:sty m:val="p"/>
              </m:rPr>
              <m:t>max</m:t>
            </m:r>
          </m:sub>
        </m:sSub>
        <m:r>
          <m:rPr>
            <m:sty m:val="p"/>
          </m:rPr>
          <m:t>−</m:t>
        </m:r>
        <m:sSub>
          <m:e>
            <m:r>
              <m:t>y</m:t>
            </m:r>
          </m:e>
          <m:sub>
            <m:r>
              <m:rPr>
                <m:sty m:val="p"/>
              </m:rPr>
              <m:t>min</m:t>
            </m:r>
          </m:sub>
        </m:sSub>
      </m:oMath>
      <w:r>
        <w:t xml:space="preserve">; протяжённость кластера по строкам составляет</w:t>
      </w:r>
      <w:r>
        <w:t xml:space="preserve"> </w:t>
      </w:r>
      <m:oMath>
        <m:r>
          <m:t>Δ</m:t>
        </m:r>
        <m:r>
          <m:t>y</m:t>
        </m:r>
        <m:r>
          <m:rPr>
            <m:sty m:val="p"/>
          </m:rPr>
          <m:t>+</m:t>
        </m:r>
        <m:r>
          <m:t>1</m:t>
        </m:r>
      </m:oMath>
      <w:r>
        <w:t xml:space="preserve">).</w:t>
      </w:r>
      <w:r>
        <w:t xml:space="preserve"> </w:t>
      </w:r>
      <m:oMath>
        <m:r>
          <m:t>N</m:t>
        </m:r>
      </m:oMath>
      <w:r>
        <w:t xml:space="preserve">,</w:t>
      </w:r>
      <w:r>
        <w:t xml:space="preserve"> </w:t>
      </w:r>
      <m:oMath>
        <m:r>
          <m:t>Δ</m:t>
        </m:r>
        <m:sSub>
          <m:e>
            <m:r>
              <m:t>y</m:t>
            </m:r>
          </m:e>
          <m:sub>
            <m:r>
              <m:rPr>
                <m:sty m:val="p"/>
              </m:rPr>
              <m:t>max</m:t>
            </m:r>
          </m:sub>
        </m:sSub>
      </m:oMath>
      <w:r>
        <w:t xml:space="preserve"> </w:t>
      </w:r>
      <w:r>
        <w:t xml:space="preserve">и</w:t>
      </w:r>
      <w:r>
        <w:t xml:space="preserve"> </w:t>
      </w:r>
      <m:oMath>
        <m:r>
          <m:t>Δ</m:t>
        </m:r>
        <m:sSub>
          <m:e>
            <m:r>
              <m:t>x</m:t>
            </m:r>
          </m:e>
          <m:sub>
            <m:r>
              <m:rPr>
                <m:sty m:val="p"/>
              </m:rPr>
              <m:t>max</m:t>
            </m:r>
          </m:sub>
        </m:sSub>
      </m:oMath>
      <w:r>
        <w:t xml:space="preserve"> </w:t>
      </w:r>
      <w:r>
        <w:t xml:space="preserve">относятся к исходным кластерам,</w:t>
      </w:r>
      <w:r>
        <w:t xml:space="preserve"> </w:t>
      </w:r>
      <m:oMath>
        <m:sSub>
          <m:e>
            <m:r>
              <m:t>N</m:t>
            </m:r>
          </m:e>
          <m:sub>
            <m:r>
              <m:t>1</m:t>
            </m:r>
          </m:sub>
        </m:sSub>
      </m:oMath>
      <w:r>
        <w:t xml:space="preserve"> </w:t>
      </w:r>
      <w:r>
        <w:t xml:space="preserve">— число SMU при размещении слова в разных строках после объединения кластеров. ЛПЭ — по [23, 24, 27]; для ионов углерода — оценка по формуле Бете с эффективным зарядом.</w:t>
      </w:r>
    </w:p>
    <w:p>
      <w:pPr>
        <w:pStyle w:val="BodyText"/>
        <w:keepNext/>
        <w:widowControl/>
      </w:pPr>
      <w:r>
        <w:t xml:space="preserve">Часть записей набора содержит внешний адрес ячейки наряду с физическими координатами</w:t>
      </w:r>
      <w:r>
        <w:t xml:space="preserve"> </w:t>
      </w:r>
      <m:oMath>
        <m:r>
          <m:t>x</m:t>
        </m:r>
      </m:oMath>
      <w:r>
        <w:t xml:space="preserve"> </w:t>
      </w:r>
      <w:r>
        <w:t xml:space="preserve">и</w:t>
      </w:r>
      <w:r>
        <w:t xml:space="preserve"> </w:t>
      </w:r>
      <m:oMath>
        <m:r>
          <m:t>y</m:t>
        </m:r>
      </m:oMath>
      <w:r>
        <w:t xml:space="preserve"> </w:t>
      </w:r>
      <w:r>
        <w:t xml:space="preserve">(по 12 разрядов), полученными авторами набора по сведениям изготовителя [24]. По 5122 таким записям восстановлена формула отображения координат во внешние адреса: аффинное преобразование над полем из двух элементов GF(2) (поле Галуа, сложение по модулю 2),</w:t>
      </w:r>
      <w:r>
        <w:t xml:space="preserve"> </w:t>
      </w:r>
      <m:oMath>
        <m:r>
          <m:t>a</m:t>
        </m:r>
        <m:r>
          <m:rPr>
            <m:sty m:val="p"/>
          </m:rPr>
          <m:t>=</m:t>
        </m:r>
        <m:r>
          <m:t>M</m:t>
        </m:r>
        <m:r>
          <m:t>u</m:t>
        </m:r>
      </m:oMath>
      <w:r>
        <w:t xml:space="preserve">, где</w:t>
      </w:r>
      <w:r>
        <w:t xml:space="preserve"> </w:t>
      </w:r>
      <m:oMath>
        <m:r>
          <m:t>u</m:t>
        </m:r>
        <m:r>
          <m:rPr>
            <m:sty m:val="p"/>
          </m:rPr>
          <m:t>=</m:t>
        </m:r>
        <m:sSup>
          <m:e>
            <m:d>
              <m:dPr>
                <m:begChr m:val="("/>
                <m:endChr m:val=")"/>
                <m:sepChr m:val=""/>
                <m:grow/>
              </m:dPr>
              <m:e>
                <m:r>
                  <m:t>1</m:t>
                </m:r>
                <m:r>
                  <m:rPr>
                    <m:sty m:val="p"/>
                  </m:rPr>
                  <m:t>,</m:t>
                </m:r>
                <m:sSub>
                  <m:e>
                    <m:r>
                      <m:t>x</m:t>
                    </m:r>
                  </m:e>
                  <m:sub>
                    <m:r>
                      <m:t>0</m:t>
                    </m:r>
                  </m:sub>
                </m:sSub>
                <m:r>
                  <m:rPr>
                    <m:sty m:val="p"/>
                  </m:rPr>
                  <m:t>,</m:t>
                </m:r>
                <m:r>
                  <m:rPr>
                    <m:sty m:val="p"/>
                  </m:rPr>
                  <m:t>…</m:t>
                </m:r>
                <m:r>
                  <m:rPr>
                    <m:sty m:val="p"/>
                  </m:rPr>
                  <m:t>,</m:t>
                </m:r>
                <m:sSub>
                  <m:e>
                    <m:r>
                      <m:t>x</m:t>
                    </m:r>
                  </m:e>
                  <m:sub>
                    <m:r>
                      <m:t>11</m:t>
                    </m:r>
                  </m:sub>
                </m:sSub>
                <m:r>
                  <m:rPr>
                    <m:sty m:val="p"/>
                  </m:rPr>
                  <m:t>,</m:t>
                </m:r>
                <m:sSub>
                  <m:e>
                    <m:r>
                      <m:t>y</m:t>
                    </m:r>
                  </m:e>
                  <m:sub>
                    <m:r>
                      <m:t>0</m:t>
                    </m:r>
                  </m:sub>
                </m:sSub>
                <m:r>
                  <m:rPr>
                    <m:sty m:val="p"/>
                  </m:rPr>
                  <m:t>,</m:t>
                </m:r>
                <m:r>
                  <m:rPr>
                    <m:sty m:val="p"/>
                  </m:rPr>
                  <m:t>…</m:t>
                </m:r>
                <m:r>
                  <m:rPr>
                    <m:sty m:val="p"/>
                  </m:rPr>
                  <m:t>,</m:t>
                </m:r>
                <m:sSub>
                  <m:e>
                    <m:r>
                      <m:t>y</m:t>
                    </m:r>
                  </m:e>
                  <m:sub>
                    <m:r>
                      <m:t>11</m:t>
                    </m:r>
                  </m:sub>
                </m:sSub>
              </m:e>
            </m:d>
          </m:e>
          <m:sup>
            <m:r>
              <m:rPr>
                <m:sty m:val="p"/>
              </m:rPr>
              <m:t>T</m:t>
            </m:r>
          </m:sup>
        </m:sSup>
      </m:oMath>
      <w:r>
        <w:t xml:space="preserve">,</w:t>
      </w:r>
      <w:r>
        <w:t xml:space="preserve"> </w:t>
      </w:r>
      <m:oMath>
        <m:r>
          <m:t>a</m:t>
        </m:r>
        <m:r>
          <m:rPr>
            <m:sty m:val="p"/>
          </m:rPr>
          <m:t>=</m:t>
        </m:r>
        <m:sSup>
          <m:e>
            <m:d>
              <m:dPr>
                <m:begChr m:val="("/>
                <m:endChr m:val=")"/>
                <m:sepChr m:val=""/>
                <m:grow/>
              </m:dPr>
              <m:e>
                <m:sSub>
                  <m:e>
                    <m:r>
                      <m:t>A</m:t>
                    </m:r>
                  </m:e>
                  <m:sub>
                    <m:r>
                      <m:t>0</m:t>
                    </m:r>
                  </m:sub>
                </m:sSub>
                <m:r>
                  <m:rPr>
                    <m:sty m:val="p"/>
                  </m:rPr>
                  <m:t>,</m:t>
                </m:r>
                <m:r>
                  <m:rPr>
                    <m:sty m:val="p"/>
                  </m:rPr>
                  <m:t>…</m:t>
                </m:r>
                <m:r>
                  <m:rPr>
                    <m:sty m:val="p"/>
                  </m:rPr>
                  <m:t>,</m:t>
                </m:r>
                <m:sSub>
                  <m:e>
                    <m:r>
                      <m:t>A</m:t>
                    </m:r>
                  </m:e>
                  <m:sub>
                    <m:r>
                      <m:t>20</m:t>
                    </m:r>
                  </m:sub>
                </m:sSub>
              </m:e>
            </m:d>
          </m:e>
          <m:sup>
            <m:r>
              <m:rPr>
                <m:sty m:val="p"/>
              </m:rPr>
              <m:t>T</m:t>
            </m:r>
          </m:sup>
        </m:sSup>
      </m:oMath>
      <w:r>
        <w:t xml:space="preserve">. На остальных 143 609 записях с адресами расхождений нет. Полученное отображение имеет вид</w:t>
      </w:r>
    </w:p>
    <w:p>
      <w:pPr>
        <w:pStyle w:val="BodyText"/>
        <w:keepNext/>
        <w:keepLines/>
        <w:widowControl/>
        <w:tabs>
          <w:tab w:pos="3203" w:val="left"/>
          <w:tab w:pos="6406" w:val="left"/>
        </w:tabs>
        <w:spacing w:before="0" w:after="0" w:line="252" w:lineRule="auto"/>
        <w:ind w:firstLine="0" w:left="85"/>
      </w:pPr>
      <m:oMath>
        <m:sSub>
          <m:e>
            <m:r>
              <m:t>A</m:t>
            </m:r>
          </m:e>
          <m:sub>
            <m:r>
              <m:t>0</m:t>
            </m:r>
          </m:sub>
        </m:sSub>
        <m:r>
          <m:rPr>
            <m:sty m:val="p"/>
          </m:rPr>
          <m:t>=</m:t>
        </m:r>
        <m:sSub>
          <m:e>
            <m:r>
              <m:t>y</m:t>
            </m:r>
          </m:e>
          <m:sub>
            <m:r>
              <m:t>4</m:t>
            </m:r>
          </m:sub>
        </m:sSub>
      </m:oMath>
      <w:r>
        <w:t>;</w:t>
      </w:r>
      <w:r>
        <w:tab/>
      </w:r>
      <m:oMath>
        <m:sSub>
          <m:e>
            <m:r>
              <m:t>A</m:t>
            </m:r>
          </m:e>
          <m:sub>
            <m:r>
              <m:t>1</m:t>
            </m:r>
          </m:sub>
        </m:sSub>
        <m:r>
          <m:rPr>
            <m:sty m:val="p"/>
          </m:rPr>
          <m:t>=</m:t>
        </m:r>
        <m:sSub>
          <m:e>
            <m:r>
              <m:t>y</m:t>
            </m:r>
          </m:e>
          <m:sub>
            <m:r>
              <m:t>11</m:t>
            </m:r>
          </m:sub>
        </m:sSub>
      </m:oMath>
      <w:r>
        <w:t>;</w:t>
      </w:r>
      <w:r>
        <w:tab/>
      </w:r>
      <m:oMath>
        <m:sSub>
          <m:e>
            <m:r>
              <m:t>A</m:t>
            </m:r>
          </m:e>
          <m:sub>
            <m:r>
              <m:t>2</m:t>
            </m:r>
          </m:sub>
        </m:sSub>
        <m:r>
          <m:rPr>
            <m:sty m:val="p"/>
          </m:rPr>
          <m:t>=</m:t>
        </m:r>
        <m:r>
          <m:t>1</m:t>
        </m:r>
        <m:r>
          <m:rPr>
            <m:sty m:val="p"/>
          </m:rPr>
          <m:t>⊕</m:t>
        </m:r>
        <m:sSub>
          <m:e>
            <m:r>
              <m:t>x</m:t>
            </m:r>
          </m:e>
          <m:sub>
            <m:r>
              <m:t>10</m:t>
            </m:r>
          </m:sub>
        </m:sSub>
        <m:r>
          <m:rPr>
            <m:sty m:val="p"/>
          </m:rPr>
          <m:t>⊕</m:t>
        </m:r>
        <m:sSub>
          <m:e>
            <m:r>
              <m:t>x</m:t>
            </m:r>
          </m:e>
          <m:sub>
            <m:r>
              <m:t>11</m:t>
            </m:r>
          </m:sub>
        </m:sSub>
      </m:oMath>
      <w:r>
        <w:t>;</w:t>
      </w:r>
    </w:p>
    <w:p>
      <w:pPr>
        <w:pStyle w:val="BodyText"/>
        <w:keepNext/>
        <w:keepLines/>
        <w:widowControl/>
        <w:tabs>
          <w:tab w:pos="3203" w:val="left"/>
          <w:tab w:pos="6406" w:val="left"/>
        </w:tabs>
        <w:spacing w:before="0" w:after="0" w:line="252" w:lineRule="auto"/>
        <w:ind w:firstLine="0" w:left="85"/>
      </w:pPr>
      <m:oMath>
        <m:sSub>
          <m:e>
            <m:r>
              <m:t>A</m:t>
            </m:r>
          </m:e>
          <m:sub>
            <m:r>
              <m:t>3</m:t>
            </m:r>
          </m:sub>
        </m:sSub>
        <m:r>
          <m:rPr>
            <m:sty m:val="p"/>
          </m:rPr>
          <m:t>=</m:t>
        </m:r>
        <m:r>
          <m:t>1</m:t>
        </m:r>
        <m:r>
          <m:rPr>
            <m:sty m:val="p"/>
          </m:rPr>
          <m:t>⊕</m:t>
        </m:r>
        <m:sSub>
          <m:e>
            <m:r>
              <m:t>x</m:t>
            </m:r>
          </m:e>
          <m:sub>
            <m:r>
              <m:t>9</m:t>
            </m:r>
          </m:sub>
        </m:sSub>
        <m:r>
          <m:rPr>
            <m:sty m:val="p"/>
          </m:rPr>
          <m:t>⊕</m:t>
        </m:r>
        <m:sSub>
          <m:e>
            <m:r>
              <m:t>x</m:t>
            </m:r>
          </m:e>
          <m:sub>
            <m:r>
              <m:t>11</m:t>
            </m:r>
          </m:sub>
        </m:sSub>
      </m:oMath>
      <w:r>
        <w:t>;</w:t>
      </w:r>
      <w:r>
        <w:tab/>
      </w:r>
      <m:oMath>
        <m:sSub>
          <m:e>
            <m:r>
              <m:t>A</m:t>
            </m:r>
          </m:e>
          <m:sub>
            <m:r>
              <m:t>4</m:t>
            </m:r>
          </m:sub>
        </m:sSub>
        <m:r>
          <m:rPr>
            <m:sty m:val="p"/>
          </m:rPr>
          <m:t>=</m:t>
        </m:r>
        <m:r>
          <m:t>1</m:t>
        </m:r>
        <m:r>
          <m:rPr>
            <m:sty m:val="p"/>
          </m:rPr>
          <m:t>⊕</m:t>
        </m:r>
        <m:sSub>
          <m:e>
            <m:r>
              <m:t>x</m:t>
            </m:r>
          </m:e>
          <m:sub>
            <m:r>
              <m:t>8</m:t>
            </m:r>
          </m:sub>
        </m:sSub>
        <m:r>
          <m:rPr>
            <m:sty m:val="p"/>
          </m:rPr>
          <m:t>⊕</m:t>
        </m:r>
        <m:sSub>
          <m:e>
            <m:r>
              <m:t>x</m:t>
            </m:r>
          </m:e>
          <m:sub>
            <m:r>
              <m:t>11</m:t>
            </m:r>
          </m:sub>
        </m:sSub>
      </m:oMath>
      <w:r>
        <w:t>;</w:t>
      </w:r>
      <w:r>
        <w:tab/>
      </w:r>
      <m:oMath>
        <m:sSub>
          <m:e>
            <m:r>
              <m:t>A</m:t>
            </m:r>
          </m:e>
          <m:sub>
            <m:r>
              <m:t>5</m:t>
            </m:r>
          </m:sub>
        </m:sSub>
        <m:r>
          <m:rPr>
            <m:sty m:val="p"/>
          </m:rPr>
          <m:t>=</m:t>
        </m:r>
        <m:r>
          <m:t>1</m:t>
        </m:r>
        <m:r>
          <m:rPr>
            <m:sty m:val="p"/>
          </m:rPr>
          <m:t>⊕</m:t>
        </m:r>
        <m:sSub>
          <m:e>
            <m:r>
              <m:t>y</m:t>
            </m:r>
          </m:e>
          <m:sub>
            <m:r>
              <m:t>10</m:t>
            </m:r>
          </m:sub>
        </m:sSub>
        <m:r>
          <m:rPr>
            <m:sty m:val="p"/>
          </m:rPr>
          <m:t>⊕</m:t>
        </m:r>
        <m:sSub>
          <m:e>
            <m:r>
              <m:t>y</m:t>
            </m:r>
          </m:e>
          <m:sub>
            <m:r>
              <m:t>11</m:t>
            </m:r>
          </m:sub>
        </m:sSub>
      </m:oMath>
      <w:r>
        <w:t>;</w:t>
      </w:r>
    </w:p>
    <w:p>
      <w:pPr>
        <w:pStyle w:val="BodyText"/>
        <w:keepNext/>
        <w:keepLines/>
        <w:widowControl/>
        <w:tabs>
          <w:tab w:pos="3203" w:val="left"/>
          <w:tab w:pos="6406" w:val="left"/>
        </w:tabs>
        <w:spacing w:before="0" w:after="0" w:line="252" w:lineRule="auto"/>
        <w:ind w:firstLine="0" w:left="85"/>
      </w:pPr>
      <m:oMath>
        <m:sSub>
          <m:e>
            <m:r>
              <m:t>A</m:t>
            </m:r>
          </m:e>
          <m:sub>
            <m:r>
              <m:t>6</m:t>
            </m:r>
          </m:sub>
        </m:sSub>
        <m:r>
          <m:rPr>
            <m:sty m:val="p"/>
          </m:rPr>
          <m:t>=</m:t>
        </m:r>
        <m:r>
          <m:t>1</m:t>
        </m:r>
        <m:r>
          <m:rPr>
            <m:sty m:val="p"/>
          </m:rPr>
          <m:t>⊕</m:t>
        </m:r>
        <m:sSub>
          <m:e>
            <m:r>
              <m:t>x</m:t>
            </m:r>
          </m:e>
          <m:sub>
            <m:r>
              <m:t>3</m:t>
            </m:r>
          </m:sub>
        </m:sSub>
        <m:r>
          <m:rPr>
            <m:sty m:val="p"/>
          </m:rPr>
          <m:t>⊕</m:t>
        </m:r>
        <m:sSub>
          <m:e>
            <m:r>
              <m:t>x</m:t>
            </m:r>
          </m:e>
          <m:sub>
            <m:r>
              <m:t>8</m:t>
            </m:r>
          </m:sub>
        </m:sSub>
      </m:oMath>
      <w:r>
        <w:t>;</w:t>
      </w:r>
      <w:r>
        <w:tab/>
      </w:r>
      <m:oMath>
        <m:sSub>
          <m:e>
            <m:r>
              <m:t>A</m:t>
            </m:r>
          </m:e>
          <m:sub>
            <m:r>
              <m:t>7</m:t>
            </m:r>
          </m:sub>
        </m:sSub>
        <m:r>
          <m:rPr>
            <m:sty m:val="p"/>
          </m:rPr>
          <m:t>=</m:t>
        </m:r>
        <m:sSub>
          <m:e>
            <m:r>
              <m:t>y</m:t>
            </m:r>
          </m:e>
          <m:sub>
            <m:r>
              <m:t>0</m:t>
            </m:r>
          </m:sub>
        </m:sSub>
      </m:oMath>
      <w:r>
        <w:t>;</w:t>
      </w:r>
      <w:r>
        <w:tab/>
      </w:r>
      <m:oMath>
        <m:sSub>
          <m:e>
            <m:r>
              <m:t>A</m:t>
            </m:r>
          </m:e>
          <m:sub>
            <m:r>
              <m:t>8</m:t>
            </m:r>
          </m:sub>
        </m:sSub>
        <m:r>
          <m:rPr>
            <m:sty m:val="p"/>
          </m:rPr>
          <m:t>=</m:t>
        </m:r>
        <m:r>
          <m:t>1</m:t>
        </m:r>
        <m:r>
          <m:rPr>
            <m:sty m:val="p"/>
          </m:rPr>
          <m:t>⊕</m:t>
        </m:r>
        <m:sSub>
          <m:e>
            <m:r>
              <m:t>x</m:t>
            </m:r>
          </m:e>
          <m:sub>
            <m:r>
              <m:t>7</m:t>
            </m:r>
          </m:sub>
        </m:sSub>
        <m:r>
          <m:rPr>
            <m:sty m:val="p"/>
          </m:rPr>
          <m:t>⊕</m:t>
        </m:r>
        <m:sSub>
          <m:e>
            <m:r>
              <m:t>x</m:t>
            </m:r>
          </m:e>
          <m:sub>
            <m:r>
              <m:t>8</m:t>
            </m:r>
          </m:sub>
        </m:sSub>
      </m:oMath>
      <w:r>
        <w:t>;</w:t>
      </w:r>
    </w:p>
    <w:p>
      <w:pPr>
        <w:pStyle w:val="BodyText"/>
        <w:keepNext/>
        <w:keepLines/>
        <w:widowControl/>
        <w:tabs>
          <w:tab w:pos="3203" w:val="left"/>
          <w:tab w:pos="6406" w:val="left"/>
        </w:tabs>
        <w:spacing w:before="0" w:after="0" w:line="252" w:lineRule="auto"/>
        <w:ind w:firstLine="0" w:left="85"/>
      </w:pPr>
      <m:oMath>
        <m:sSub>
          <m:e>
            <m:r>
              <m:t>A</m:t>
            </m:r>
          </m:e>
          <m:sub>
            <m:r>
              <m:t>9</m:t>
            </m:r>
          </m:sub>
        </m:sSub>
        <m:r>
          <m:rPr>
            <m:sty m:val="p"/>
          </m:rPr>
          <m:t>=</m:t>
        </m:r>
        <m:r>
          <m:t>1</m:t>
        </m:r>
        <m:r>
          <m:rPr>
            <m:sty m:val="p"/>
          </m:rPr>
          <m:t>⊕</m:t>
        </m:r>
        <m:sSub>
          <m:e>
            <m:r>
              <m:t>x</m:t>
            </m:r>
          </m:e>
          <m:sub>
            <m:r>
              <m:t>2</m:t>
            </m:r>
          </m:sub>
        </m:sSub>
        <m:r>
          <m:rPr>
            <m:sty m:val="p"/>
          </m:rPr>
          <m:t>⊕</m:t>
        </m:r>
        <m:sSub>
          <m:e>
            <m:r>
              <m:t>x</m:t>
            </m:r>
          </m:e>
          <m:sub>
            <m:r>
              <m:t>8</m:t>
            </m:r>
          </m:sub>
        </m:sSub>
      </m:oMath>
      <w:r>
        <w:t>;</w:t>
      </w:r>
      <w:r>
        <w:tab/>
      </w:r>
      <m:oMath>
        <m:sSub>
          <m:e>
            <m:r>
              <m:t>A</m:t>
            </m:r>
          </m:e>
          <m:sub>
            <m:r>
              <m:t>10</m:t>
            </m:r>
          </m:sub>
        </m:sSub>
        <m:r>
          <m:rPr>
            <m:sty m:val="p"/>
          </m:rPr>
          <m:t>=</m:t>
        </m:r>
        <m:sSub>
          <m:e>
            <m:r>
              <m:t>y</m:t>
            </m:r>
          </m:e>
          <m:sub>
            <m:r>
              <m:t>8</m:t>
            </m:r>
          </m:sub>
        </m:sSub>
      </m:oMath>
      <w:r>
        <w:t>;</w:t>
      </w:r>
      <w:r>
        <w:tab/>
      </w:r>
      <m:oMath>
        <m:sSub>
          <m:e>
            <m:r>
              <m:t>A</m:t>
            </m:r>
          </m:e>
          <m:sub>
            <m:r>
              <m:t>11</m:t>
            </m:r>
          </m:sub>
        </m:sSub>
        <m:r>
          <m:rPr>
            <m:sty m:val="p"/>
          </m:rPr>
          <m:t>=</m:t>
        </m:r>
        <m:sSub>
          <m:e>
            <m:r>
              <m:t>y</m:t>
            </m:r>
          </m:e>
          <m:sub>
            <m:r>
              <m:t>5</m:t>
            </m:r>
          </m:sub>
        </m:sSub>
      </m:oMath>
      <w:r>
        <w:t>;</w:t>
      </w:r>
    </w:p>
    <w:p>
      <w:pPr>
        <w:pStyle w:val="BodyText"/>
        <w:keepNext/>
        <w:keepLines/>
        <w:widowControl/>
        <w:tabs>
          <w:tab w:pos="3203" w:val="left"/>
          <w:tab w:pos="6406" w:val="left"/>
        </w:tabs>
        <w:spacing w:before="0" w:after="0" w:line="252" w:lineRule="auto"/>
        <w:ind w:firstLine="0" w:left="85"/>
      </w:pPr>
      <m:oMath>
        <m:sSub>
          <m:e>
            <m:r>
              <m:t>A</m:t>
            </m:r>
          </m:e>
          <m:sub>
            <m:r>
              <m:t>12</m:t>
            </m:r>
          </m:sub>
        </m:sSub>
        <m:r>
          <m:rPr>
            <m:sty m:val="p"/>
          </m:rPr>
          <m:t>=</m:t>
        </m:r>
        <m:sSub>
          <m:e>
            <m:r>
              <m:t>y</m:t>
            </m:r>
          </m:e>
          <m:sub>
            <m:r>
              <m:t>6</m:t>
            </m:r>
          </m:sub>
        </m:sSub>
      </m:oMath>
      <w:r>
        <w:t>;</w:t>
      </w:r>
      <w:r>
        <w:tab/>
      </w:r>
      <m:oMath>
        <m:sSub>
          <m:e>
            <m:r>
              <m:t>A</m:t>
            </m:r>
          </m:e>
          <m:sub>
            <m:r>
              <m:t>13</m:t>
            </m:r>
          </m:sub>
        </m:sSub>
        <m:r>
          <m:rPr>
            <m:sty m:val="p"/>
          </m:rPr>
          <m:t>=</m:t>
        </m:r>
        <m:sSub>
          <m:e>
            <m:r>
              <m:t>y</m:t>
            </m:r>
          </m:e>
          <m:sub>
            <m:r>
              <m:t>7</m:t>
            </m:r>
          </m:sub>
        </m:sSub>
      </m:oMath>
      <w:r>
        <w:t>;</w:t>
      </w:r>
      <w:r>
        <w:tab/>
      </w:r>
      <m:oMath>
        <m:sSub>
          <m:e>
            <m:r>
              <m:t>A</m:t>
            </m:r>
          </m:e>
          <m:sub>
            <m:r>
              <m:t>14</m:t>
            </m:r>
          </m:sub>
        </m:sSub>
        <m:r>
          <m:rPr>
            <m:sty m:val="p"/>
          </m:rPr>
          <m:t>=</m:t>
        </m:r>
        <m:sSub>
          <m:e>
            <m:r>
              <m:t>y</m:t>
            </m:r>
          </m:e>
          <m:sub>
            <m:r>
              <m:t>3</m:t>
            </m:r>
          </m:sub>
        </m:sSub>
      </m:oMath>
      <w:r>
        <w:t>;</w:t>
      </w:r>
    </w:p>
    <w:p>
      <w:pPr>
        <w:pStyle w:val="BodyText"/>
        <w:keepNext/>
        <w:keepLines/>
        <w:widowControl/>
        <w:tabs>
          <w:tab w:pos="3203" w:val="left"/>
          <w:tab w:pos="6406" w:val="left"/>
        </w:tabs>
        <w:spacing w:before="0" w:after="0" w:line="252" w:lineRule="auto"/>
        <w:ind w:firstLine="0" w:left="85"/>
      </w:pPr>
      <m:oMath>
        <m:sSub>
          <m:e>
            <m:r>
              <m:t>A</m:t>
            </m:r>
          </m:e>
          <m:sub>
            <m:r>
              <m:t>15</m:t>
            </m:r>
          </m:sub>
        </m:sSub>
        <m:r>
          <m:rPr>
            <m:sty m:val="p"/>
          </m:rPr>
          <m:t>=</m:t>
        </m:r>
        <m:sSub>
          <m:e>
            <m:r>
              <m:t>y</m:t>
            </m:r>
          </m:e>
          <m:sub>
            <m:r>
              <m:t>9</m:t>
            </m:r>
          </m:sub>
        </m:sSub>
      </m:oMath>
      <w:r>
        <w:t>;</w:t>
      </w:r>
      <w:r>
        <w:tab/>
      </w:r>
      <m:oMath>
        <m:sSub>
          <m:e>
            <m:r>
              <m:t>A</m:t>
            </m:r>
          </m:e>
          <m:sub>
            <m:r>
              <m:t>16</m:t>
            </m:r>
          </m:sub>
        </m:sSub>
        <m:r>
          <m:rPr>
            <m:sty m:val="p"/>
          </m:rPr>
          <m:t>=</m:t>
        </m:r>
        <m:sSub>
          <m:e>
            <m:r>
              <m:t>y</m:t>
            </m:r>
          </m:e>
          <m:sub>
            <m:r>
              <m:t>2</m:t>
            </m:r>
          </m:sub>
        </m:sSub>
      </m:oMath>
      <w:r>
        <w:t>;</w:t>
      </w:r>
      <w:r>
        <w:tab/>
      </w:r>
      <m:oMath>
        <m:sSub>
          <m:e>
            <m:r>
              <m:t>A</m:t>
            </m:r>
          </m:e>
          <m:sub>
            <m:r>
              <m:t>17</m:t>
            </m:r>
          </m:sub>
        </m:sSub>
        <m:r>
          <m:rPr>
            <m:sty m:val="p"/>
          </m:rPr>
          <m:t>=</m:t>
        </m:r>
        <m:sSub>
          <m:e>
            <m:r>
              <m:t>y</m:t>
            </m:r>
          </m:e>
          <m:sub>
            <m:r>
              <m:t>1</m:t>
            </m:r>
          </m:sub>
        </m:sSub>
      </m:oMath>
      <w:r>
        <w:t>;</w:t>
      </w:r>
    </w:p>
    <w:p>
      <w:pPr>
        <w:pStyle w:val="BodyText"/>
        <w:keepNext w:val="0"/>
        <w:keepLines/>
        <w:widowControl/>
        <w:tabs>
          <w:tab w:pos="3203" w:val="left"/>
          <w:tab w:pos="6406" w:val="left"/>
        </w:tabs>
        <w:spacing w:before="0" w:after="120" w:line="252" w:lineRule="auto"/>
        <w:ind w:firstLine="0" w:left="85"/>
      </w:pPr>
      <m:oMath>
        <m:sSub>
          <m:e>
            <m:r>
              <m:t>A</m:t>
            </m:r>
          </m:e>
          <m:sub>
            <m:r>
              <m:t>18</m:t>
            </m:r>
          </m:sub>
        </m:sSub>
        <m:r>
          <m:rPr>
            <m:sty m:val="p"/>
          </m:rPr>
          <m:t>=</m:t>
        </m:r>
        <m:r>
          <m:t>1</m:t>
        </m:r>
        <m:r>
          <m:rPr>
            <m:sty m:val="p"/>
          </m:rPr>
          <m:t>⊕</m:t>
        </m:r>
        <m:sSub>
          <m:e>
            <m:r>
              <m:t>x</m:t>
            </m:r>
          </m:e>
          <m:sub>
            <m:r>
              <m:t>0</m:t>
            </m:r>
          </m:sub>
        </m:sSub>
        <m:r>
          <m:rPr>
            <m:sty m:val="p"/>
          </m:rPr>
          <m:t>⊕</m:t>
        </m:r>
        <m:sSub>
          <m:e>
            <m:r>
              <m:t>x</m:t>
            </m:r>
          </m:e>
          <m:sub>
            <m:r>
              <m:t>8</m:t>
            </m:r>
          </m:sub>
        </m:sSub>
      </m:oMath>
      <w:r>
        <w:t>;</w:t>
      </w:r>
      <w:r>
        <w:tab/>
      </w:r>
      <m:oMath>
        <m:sSub>
          <m:e>
            <m:r>
              <m:t>A</m:t>
            </m:r>
          </m:e>
          <m:sub>
            <m:r>
              <m:t>19</m:t>
            </m:r>
          </m:sub>
        </m:sSub>
        <m:r>
          <m:rPr>
            <m:sty m:val="p"/>
          </m:rPr>
          <m:t>=</m:t>
        </m:r>
        <m:r>
          <m:t>1</m:t>
        </m:r>
        <m:r>
          <m:rPr>
            <m:sty m:val="p"/>
          </m:rPr>
          <m:t>⊕</m:t>
        </m:r>
        <m:sSub>
          <m:e>
            <m:r>
              <m:t>x</m:t>
            </m:r>
          </m:e>
          <m:sub>
            <m:r>
              <m:t>1</m:t>
            </m:r>
          </m:sub>
        </m:sSub>
        <m:r>
          <m:rPr>
            <m:sty m:val="p"/>
          </m:rPr>
          <m:t>⊕</m:t>
        </m:r>
        <m:sSub>
          <m:e>
            <m:r>
              <m:t>x</m:t>
            </m:r>
          </m:e>
          <m:sub>
            <m:r>
              <m:t>8</m:t>
            </m:r>
          </m:sub>
        </m:sSub>
      </m:oMath>
      <w:r>
        <w:t>;</w:t>
      </w:r>
      <w:r>
        <w:tab/>
      </w:r>
      <m:oMath>
        <m:sSub>
          <m:e>
            <m:r>
              <m:t>A</m:t>
            </m:r>
          </m:e>
          <m:sub>
            <m:r>
              <m:t>20</m:t>
            </m:r>
          </m:sub>
        </m:sSub>
        <m:r>
          <m:rPr>
            <m:sty m:val="p"/>
          </m:rPr>
          <m:t>=</m:t>
        </m:r>
        <m:sSub>
          <m:e>
            <m:r>
              <m:t>x</m:t>
            </m:r>
          </m:e>
          <m:sub>
            <m:r>
              <m:t>11</m:t>
            </m:r>
          </m:sub>
        </m:sSub>
      </m:oMath>
      <w:r>
        <w:t>.</w:t>
      </w:r>
    </w:p>
    <w:p>
      <w:pPr>
        <w:pStyle w:val="BodyText"/>
        <w:widowControl/>
      </w:pPr>
      <w:r>
        <w:t xml:space="preserve">Из отображения следуют три свойства организации массива. Разряды</w:t>
      </w:r>
      <w:r>
        <w:t xml:space="preserve"> </w:t>
      </w:r>
      <m:oMath>
        <m:sSub>
          <m:e>
            <m:r>
              <m:t>x</m:t>
            </m:r>
          </m:e>
          <m:sub>
            <m:r>
              <m:t>4</m:t>
            </m:r>
          </m:sub>
        </m:sSub>
      </m:oMath>
      <w:r>
        <w:t xml:space="preserve">–</w:t>
      </w:r>
      <m:oMath>
        <m:sSub>
          <m:e>
            <m:r>
              <m:t>x</m:t>
            </m:r>
          </m:e>
          <m:sub>
            <m:r>
              <m:t>6</m:t>
            </m:r>
          </m:sub>
        </m:sSub>
      </m:oMath>
      <w:r>
        <w:t xml:space="preserve"> </w:t>
      </w:r>
      <w:r>
        <w:t xml:space="preserve">в адрес не входят, поэтому восемь разрядов одного байта расположены через 16 столбцов; это соответствует перемежению с шагом 16 разрядов, при котором соседние разрядные шины относятся к разным словам [7]. Разряды</w:t>
      </w:r>
      <w:r>
        <w:t xml:space="preserve"> </w:t>
      </w:r>
      <m:oMath>
        <m:sSub>
          <m:e>
            <m:r>
              <m:t>x</m:t>
            </m:r>
          </m:e>
          <m:sub>
            <m:r>
              <m:t>0</m:t>
            </m:r>
          </m:sub>
        </m:sSub>
      </m:oMath>
      <w:r>
        <w:t xml:space="preserve">–</w:t>
      </w:r>
      <m:oMath>
        <m:sSub>
          <m:e>
            <m:r>
              <m:t>x</m:t>
            </m:r>
          </m:e>
          <m:sub>
            <m:r>
              <m:t>3</m:t>
            </m:r>
          </m:sub>
        </m:sSub>
      </m:oMath>
      <w:r>
        <w:t xml:space="preserve"> </w:t>
      </w:r>
      <w:r>
        <w:t xml:space="preserve">выбирают один из 16 соседних столбцов, как мультиплексор столбцов 16:1. Адресный разряд</w:t>
      </w:r>
      <w:r>
        <w:t xml:space="preserve"> </w:t>
      </w:r>
      <m:oMath>
        <m:sSub>
          <m:e>
            <m:r>
              <m:t>A</m:t>
            </m:r>
          </m:e>
          <m:sub>
            <m:r>
              <m:t>0</m:t>
            </m:r>
          </m:sub>
        </m:sSub>
      </m:oMath>
      <w:r>
        <w:t xml:space="preserve"> </w:t>
      </w:r>
      <w:r>
        <w:t xml:space="preserve">совпадает с</w:t>
      </w:r>
      <w:r>
        <w:t xml:space="preserve"> </w:t>
      </w:r>
      <m:oMath>
        <m:sSub>
          <m:e>
            <m:r>
              <m:t>y</m:t>
            </m:r>
          </m:e>
          <m:sub>
            <m:r>
              <m:t>4</m:t>
            </m:r>
          </m:sub>
        </m:sSub>
      </m:oMath>
      <w:r>
        <w:t xml:space="preserve">, т. е. ячейки с адресами, различающимися только разрядом</w:t>
      </w:r>
      <w:r>
        <w:t xml:space="preserve"> </w:t>
      </w:r>
      <m:oMath>
        <m:sSub>
          <m:e>
            <m:r>
              <m:t>A</m:t>
            </m:r>
          </m:e>
          <m:sub>
            <m:r>
              <m:t>0</m:t>
            </m:r>
          </m:sub>
        </m:sSub>
      </m:oMath>
      <w:r>
        <w:t xml:space="preserve">, расположены через 16 строк. Поскольку разряды байта считываются за одно обращение и различаются только координатой</w:t>
      </w:r>
      <w:r>
        <w:t xml:space="preserve"> </w:t>
      </w:r>
      <m:oMath>
        <m:r>
          <m:t>x</m:t>
        </m:r>
      </m:oMath>
      <w:r>
        <w:t xml:space="preserve">, она отсчитывается вдоль строки, а</w:t>
      </w:r>
      <w:r>
        <w:t xml:space="preserve"> </w:t>
      </w:r>
      <m:oMath>
        <m:r>
          <m:t>y</m:t>
        </m:r>
      </m:oMath>
      <w:r>
        <w:t xml:space="preserve"> </w:t>
      </w:r>
      <w:r>
        <w:t xml:space="preserve">— номер строки.</w:t>
      </w:r>
    </w:p>
    <w:p>
      <w:pPr>
        <w:pStyle w:val="BodyText"/>
        <w:widowControl/>
      </w:pPr>
      <w:r>
        <w:t xml:space="preserve">Кодирование выполняется для внутреннего слова из 32 информационных и 6 контрольных разрядов; соответствие внешних адресов внутренним словам изготовитель не раскрывает [7]. Предполагается, что в режиме ×8 внутреннее слово образуют четыре внешних адреса, различающиеся двумя адресными разрядами (группировка адресов); из 210 таких группировок 55 разносят ячейки слова не менее чем на 16 шагов </w:t>
      </w:r>
      <w:r>
        <w:t xml:space="preserve">(принятые группировки). Их образуют все пары из разрядов </w:t>
      </w:r>
      <m:oMath>
        <m:sSub>
          <m:e>
            <m:r>
              <m:t>A</m:t>
            </m:r>
          </m:e>
          <m:sub>
            <m:r>
              <m:t>0</m:t>
            </m:r>
          </m:sub>
        </m:sSub>
      </m:oMath>
      <w:r>
        <w:t xml:space="preserve">, </w:t>
      </w:r>
      <m:oMath>
        <m:sSub>
          <m:e>
            <m:r>
              <m:t>A</m:t>
            </m:r>
          </m:e>
          <m:sub>
            <m:r>
              <m:t>1</m:t>
            </m:r>
          </m:sub>
        </m:sSub>
      </m:oMath>
      <w:r>
        <w:t xml:space="preserve">, </w:t>
      </w:r>
      <m:oMath>
        <m:sSub>
          <m:e>
            <m:r>
              <m:t>A</m:t>
            </m:r>
          </m:e>
          <m:sub>
            <m:r>
              <m:t>2</m:t>
            </m:r>
          </m:sub>
        </m:sSub>
      </m:oMath>
      <w:r>
        <w:t xml:space="preserve">, </w:t>
      </w:r>
      <m:oMath>
        <m:sSub>
          <m:e>
            <m:r>
              <m:t>A</m:t>
            </m:r>
          </m:e>
          <m:sub>
            <m:r>
              <m:t>3</m:t>
            </m:r>
          </m:sub>
        </m:sSub>
      </m:oMath>
      <w:r>
        <w:t xml:space="preserve">, </w:t>
      </w:r>
      <m:oMath>
        <m:sSub>
          <m:e>
            <m:r>
              <m:t>A</m:t>
            </m:r>
          </m:e>
          <m:sub>
            <m:r>
              <m:t>5</m:t>
            </m:r>
          </m:sub>
        </m:sSub>
      </m:oMath>
      <w:r>
        <w:t xml:space="preserve">, </w:t>
      </w:r>
      <m:oMath>
        <m:sSub>
          <m:e>
            <m:r>
              <m:t>A</m:t>
            </m:r>
          </m:e>
          <m:sub>
            <m:r>
              <m:t>8</m:t>
            </m:r>
          </m:sub>
        </m:sSub>
      </m:oMath>
      <w:r>
        <w:t xml:space="preserve">, </w:t>
      </w:r>
      <m:oMath>
        <m:sSub>
          <m:e>
            <m:r>
              <m:t>A</m:t>
            </m:r>
          </m:e>
          <m:sub>
            <m:r>
              <m:t>10</m:t>
            </m:r>
          </m:sub>
        </m:sSub>
      </m:oMath>
      <w:r>
        <w:t xml:space="preserve">, </w:t>
      </w:r>
      <m:oMath>
        <m:sSub>
          <m:e>
            <m:r>
              <m:t>A</m:t>
            </m:r>
          </m:e>
          <m:sub>
            <m:r>
              <m:t>11</m:t>
            </m:r>
          </m:sub>
        </m:sSub>
      </m:oMath>
      <w:r>
        <w:t xml:space="preserve">, </w:t>
      </w:r>
      <m:oMath>
        <m:sSub>
          <m:e>
            <m:r>
              <m:t>A</m:t>
            </m:r>
          </m:e>
          <m:sub>
            <m:r>
              <m:t>12</m:t>
            </m:r>
          </m:sub>
        </m:sSub>
      </m:oMath>
      <w:r>
        <w:t xml:space="preserve">, </w:t>
      </w:r>
      <m:oMath>
        <m:sSub>
          <m:e>
            <m:r>
              <m:t>A</m:t>
            </m:r>
          </m:e>
          <m:sub>
            <m:r>
              <m:t>13</m:t>
            </m:r>
          </m:sub>
        </m:sSub>
      </m:oMath>
      <w:r>
        <w:t xml:space="preserve">, </w:t>
      </w:r>
      <m:oMath>
        <m:sSub>
          <m:e>
            <m:r>
              <m:t>A</m:t>
            </m:r>
          </m:e>
          <m:sub>
            <m:r>
              <m:t>15</m:t>
            </m:r>
          </m:sub>
        </m:sSub>
      </m:oMath>
      <w:r>
        <w:t xml:space="preserve">.</w:t>
      </w:r>
      <w:r>
        <w:t xml:space="preserve"> В десяти из них, в том числе при группировке четырёх последовательных адресов, слово содержит пары ячеек одного столбца с разностью номеров строк 16 (слово в разных строках). Три группировки — по разрядам</w:t>
      </w:r>
      <w:r>
        <w:t xml:space="preserve"> </w:t>
      </w:r>
      <m:oMath>
        <m:d>
          <m:dPr>
            <m:begChr m:val="("/>
            <m:endChr m:val=")"/>
            <m:sepChr m:val=""/>
            <m:grow/>
          </m:dPr>
          <m:e>
            <m:sSub>
              <m:e>
                <m:r>
                  <m:t>A</m:t>
                </m:r>
              </m:e>
              <m:sub>
                <m:r>
                  <m:t>2</m:t>
                </m:r>
              </m:sub>
            </m:sSub>
            <m:r>
              <m:rPr>
                <m:sty m:val="p"/>
              </m:rPr>
              <m:t>,</m:t>
            </m:r>
            <m:sSub>
              <m:e>
                <m:r>
                  <m:t>A</m:t>
                </m:r>
              </m:e>
              <m:sub>
                <m:r>
                  <m:t>3</m:t>
                </m:r>
              </m:sub>
            </m:sSub>
          </m:e>
        </m:d>
      </m:oMath>
      <w:r>
        <w:t xml:space="preserve">,</w:t>
      </w:r>
      <w:r>
        <w:t xml:space="preserve"> </w:t>
      </w:r>
      <m:oMath>
        <m:d>
          <m:dPr>
            <m:begChr m:val="("/>
            <m:endChr m:val=")"/>
            <m:sepChr m:val=""/>
            <m:grow/>
          </m:dPr>
          <m:e>
            <m:sSub>
              <m:e>
                <m:r>
                  <m:t>A</m:t>
                </m:r>
              </m:e>
              <m:sub>
                <m:r>
                  <m:t>2</m:t>
                </m:r>
              </m:sub>
            </m:sSub>
            <m:r>
              <m:rPr>
                <m:sty m:val="p"/>
              </m:rPr>
              <m:t>,</m:t>
            </m:r>
            <m:sSub>
              <m:e>
                <m:r>
                  <m:t>A</m:t>
                </m:r>
              </m:e>
              <m:sub>
                <m:r>
                  <m:t>8</m:t>
                </m:r>
              </m:sub>
            </m:sSub>
          </m:e>
        </m:d>
      </m:oMath>
      <w:r>
        <w:t xml:space="preserve"> </w:t>
      </w:r>
      <w:r>
        <w:t xml:space="preserve">и</w:t>
      </w:r>
      <w:r>
        <w:t xml:space="preserve"> </w:t>
      </w:r>
      <m:oMath>
        <m:d>
          <m:dPr>
            <m:begChr m:val="("/>
            <m:endChr m:val=")"/>
            <m:sepChr m:val=""/>
            <m:grow/>
          </m:dPr>
          <m:e>
            <m:sSub>
              <m:e>
                <m:r>
                  <m:t>A</m:t>
                </m:r>
              </m:e>
              <m:sub>
                <m:r>
                  <m:t>3</m:t>
                </m:r>
              </m:sub>
            </m:sSub>
            <m:r>
              <m:rPr>
                <m:sty m:val="p"/>
              </m:rPr>
              <m:t>,</m:t>
            </m:r>
            <m:sSub>
              <m:e>
                <m:r>
                  <m:t>A</m:t>
                </m:r>
              </m:e>
              <m:sub>
                <m:r>
                  <m:t>8</m:t>
                </m:r>
              </m:sub>
            </m:sSub>
          </m:e>
        </m:d>
      </m:oMath>
      <w:r>
        <w:t xml:space="preserve"> </w:t>
      </w:r>
      <w:r>
        <w:t xml:space="preserve">— размещают все информационные разряды внутреннего слова в одной строке массива (слово в одной строке), что согласуется со считыванием слова за одно обращение. Фактическую группировку можно установить по результатам облучения: при включённой коррекции ошибка в одном разряде внутреннего слова вызывает выставление сигнала ошибки на выводе ERR при чтении любого адреса этого слова [7].</w:t>
      </w:r>
    </w:p>
    <w:bookmarkEnd w:id="25"/>
    <w:bookmarkStart w:id="29" w:name="X30438b05e8049f5b2e95b582df8c8762585e17c"/>
    <w:p>
      <w:pPr>
        <w:pStyle w:val="Heading2"/>
        <w:widowControl/>
      </w:pPr>
      <w:r>
        <w:rPr>
          <w:rFonts w:ascii="Times New Roman" w:hAnsi="Times New Roman"/>
          <w:color w:val="000000"/>
        </w:rPr>
        <w:t xml:space="preserve">Геометрические условия множественных сбоев в пределах слова</w:t>
      </w:r>
    </w:p>
    <w:p>
      <w:pPr>
        <w:pStyle w:val="FirstParagraph"/>
        <w:widowControl/>
      </w:pPr>
      <w:r>
        <w:t xml:space="preserve">Кластеры вытянуты вдоль</w:t>
      </w:r>
      <w:r>
        <w:t xml:space="preserve"> </w:t>
      </w:r>
      <m:oMath>
        <m:r>
          <m:t>y</m:t>
        </m:r>
      </m:oMath>
      <w:r>
        <w:t xml:space="preserve"> </w:t>
      </w:r>
      <w:r>
        <w:t xml:space="preserve">(рис. 2). При ЛПЭ 57 МэВ·см²/мг их средняя протяжённость составляет 9,5 строки и 4,3 столбца. Кластеры протяжённостью 17 строк и более появляются начиная с ЛПЭ 27 МэВ·см²/мг; по</w:t>
      </w:r>
      <w:r>
        <w:t xml:space="preserve"> </w:t>
      </w:r>
      <m:oMath>
        <m:r>
          <m:t>x</m:t>
        </m:r>
      </m:oMath>
      <w:r>
        <w:t xml:space="preserve"> </w:t>
      </w:r>
      <w:r>
        <w:t xml:space="preserve">протяжённость кластеров не превышает 14 столбцов.</w:t>
      </w:r>
    </w:p>
    <w:p>
      <w:pPr>
        <w:pStyle w:val="BodyText"/>
        <w:widowControl/>
      </w:pPr>
      <w:r>
        <w:t xml:space="preserve">Для принятых группировок SMU выявлены только при размещении слова в разных строках: два при ЛПЭ 42 и четыре при ЛПЭ 57 МэВ·см²/мг. Во всех случаях ячейки одного слова находятся в одном столбце и отстоят на 16 строк (рис. 2, а). Для остальных 45 группировок, в том числе для слова в одной строке, SMU нет ни в одной ионной серии. Необходимым условием SMU является разность координат крайних ячеек события вдоль направления разнесения разрядов слова не меньше шага перемежения 16; наличие SMU проверялось по принадлежности ячеек слову. Наблюдавшиеся кластеры вытянуты вдоль</w:t>
      </w:r>
      <w:r>
        <w:t xml:space="preserve"> </w:t>
      </w:r>
      <m:oMath>
        <m:r>
          <m:t>y</m:t>
        </m:r>
      </m:oMath>
      <w:r>
        <w:t xml:space="preserve">, поэтому размещение информационных разрядов в одной строке исключает SMU от наблюдавшихся кластеров, а размещение слова в разных строках их допускает.</w:t>
      </w:r>
    </w:p>
    <w:p>
      <w:pPr>
        <w:pStyle w:val="CaptionedFigure"/>
        <w:keepNext/>
        <w:keepLines/>
        <w:widowControl/>
      </w:pPr>
      <w:r>
        <w:drawing>
          <wp:inline>
            <wp:extent cx="5334000" cy="2133600"/>
            <wp:effectExtent b="0" l="0" r="0" t="0"/>
            <wp:docPr descr="Рис. 2. а — кластер из 43 ошибочных ячеек при облучении ксеноном с ЛПЭ 42 МэВ·см²/мг: серым показаны ошибочные ячейки, цветом — три пары ячеек, каждая из которых принадлежит одному слову, для группировки четырёх последовательных адресов; б, в — доля кластеров с \Delta y\ge d (б) и \Delta x\ge d (в)" title="" id="27" name="Picture"/>
            <a:graphic>
              <a:graphicData uri="http://schemas.openxmlformats.org/drawingml/2006/picture">
                <pic:pic>
                  <pic:nvPicPr>
                    <pic:cNvPr descr="fig/v20_fig2.png" id="28" name="Picture"/>
                    <pic:cNvPicPr>
                      <a:picLocks noChangeArrowheads="1" noChangeAspect="1"/>
                    </pic:cNvPicPr>
                  </pic:nvPicPr>
                  <pic:blipFill>
                    <a:blip r:embed="rId26"/>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keepLines/>
        <w:widowControl/>
      </w:pPr>
      <w:r>
        <w:t xml:space="preserve">Рис. 2. а — кластер из 43 ошибочных ячеек при облучении ксеноном с ЛПЭ 42 МэВ·см²/мг: серым показаны ошибочные ячейки, цветом — три пары ячеек, каждая из которых принадлежит одному слову, для группировки четырёх последовательных адресов; б, в — доля кластеров с</w:t>
      </w:r>
      <w:r>
        <w:t xml:space="preserve"> </w:t>
      </w:r>
      <m:oMath>
        <m:r>
          <m:t>Δ</m:t>
        </m:r>
        <m:r>
          <m:t>y</m:t>
        </m:r>
        <m:r>
          <m:rPr>
            <m:sty m:val="p"/>
          </m:rPr>
          <m:t>≥</m:t>
        </m:r>
        <m:r>
          <m:t>d</m:t>
        </m:r>
      </m:oMath>
      <w:r>
        <w:t xml:space="preserve"> </w:t>
      </w:r>
      <w:r>
        <w:t xml:space="preserve">(б) и</w:t>
      </w:r>
      <w:r>
        <w:t xml:space="preserve"> </w:t>
      </w:r>
      <m:oMath>
        <m:r>
          <m:t>Δ</m:t>
        </m:r>
        <m:r>
          <m:t>x</m:t>
        </m:r>
        <m:r>
          <m:rPr>
            <m:sty m:val="p"/>
          </m:rPr>
          <m:t>≥</m:t>
        </m:r>
        <m:r>
          <m:t>d</m:t>
        </m:r>
      </m:oMath>
      <w:r>
        <w:t xml:space="preserve"> </w:t>
      </w:r>
      <w:r>
        <w:t xml:space="preserve">(в)</w:t>
      </w:r>
    </w:p>
    <w:p>
      <w:pPr>
        <w:pStyle w:val="BodyText"/>
        <w:widowControl/>
      </w:pPr>
      <w:r>
        <w:t xml:space="preserve">Для слова в разных строках точечные оценки сечения SMU равны</w:t>
      </w:r>
      <w:r>
        <w:t xml:space="preserve"> </w:t>
      </w:r>
      <m:oMath>
        <m:r>
          <m:t>1</m:t>
        </m:r>
        <m:r>
          <m:rPr>
            <m:sty m:val="p"/>
          </m:rPr>
          <m:t>,</m:t>
        </m:r>
        <m:r>
          <m:t>1</m:t>
        </m:r>
        <m:r>
          <m:rPr>
            <m:sty m:val="p"/>
          </m:rPr>
          <m:t>⋅</m:t>
        </m:r>
        <m:sSup>
          <m:e>
            <m:r>
              <m:t>10</m:t>
            </m:r>
          </m:e>
          <m:sup>
            <m:r>
              <m:rPr>
                <m:sty m:val="p"/>
              </m:rPr>
              <m:t>−</m:t>
            </m:r>
            <m:r>
              <m:t>4</m:t>
            </m:r>
          </m:sup>
        </m:sSup>
      </m:oMath>
      <w:r>
        <w:t xml:space="preserve"> </w:t>
      </w:r>
      <w:r>
        <w:t xml:space="preserve">см² для объединённых серий с ЛПЭ 42 и ≈44 МэВ·см²/мг и</w:t>
      </w:r>
      <w:r>
        <w:t xml:space="preserve"> </w:t>
      </w:r>
      <m:oMath>
        <m:r>
          <m:t>4</m:t>
        </m:r>
        <m:r>
          <m:rPr>
            <m:sty m:val="p"/>
          </m:rPr>
          <m:t>,</m:t>
        </m:r>
        <m:r>
          <m:t>5</m:t>
        </m:r>
        <m:r>
          <m:rPr>
            <m:sty m:val="p"/>
          </m:rPr>
          <m:t>⋅</m:t>
        </m:r>
        <m:sSup>
          <m:e>
            <m:r>
              <m:t>10</m:t>
            </m:r>
          </m:e>
          <m:sup>
            <m:r>
              <m:rPr>
                <m:sty m:val="p"/>
              </m:rPr>
              <m:t>−</m:t>
            </m:r>
            <m:r>
              <m:t>4</m:t>
            </m:r>
          </m:sup>
        </m:sSup>
      </m:oMath>
      <w:r>
        <w:t xml:space="preserve"> </w:t>
      </w:r>
      <w:r>
        <w:t xml:space="preserve">см² для ЛПЭ 57 МэВ·см²/мг. В расчёте для орбиты точечная зависимость сечения SMU принята равной нулю до 33 МэВ·см²/мг. Далее она линейно возрастает до оценки при 43 МэВ·см²/мг (объединённые серии 42 и ≈44 МэВ·см²/мг), затем до оценки при 57 МэВ·см²/мг и выше не меняется. Значение 33 МэВ·см²/мг — граница её ненулевого участка, а не установленный порог SMU. Верхняя расчётная оценка растёт от</w:t>
      </w:r>
      <w:r>
        <w:t xml:space="preserve"> </w:t>
      </w:r>
      <m:oMath>
        <m:r>
          <m:t>3</m:t>
        </m:r>
        <m:r>
          <m:rPr>
            <m:sty m:val="p"/>
          </m:rPr>
          <m:t>,</m:t>
        </m:r>
        <m:r>
          <m:t>8</m:t>
        </m:r>
        <m:r>
          <m:rPr>
            <m:sty m:val="p"/>
          </m:rPr>
          <m:t>⋅</m:t>
        </m:r>
        <m:sSup>
          <m:e>
            <m:r>
              <m:t>10</m:t>
            </m:r>
          </m:e>
          <m:sup>
            <m:r>
              <m:rPr>
                <m:sty m:val="p"/>
              </m:rPr>
              <m:t>−</m:t>
            </m:r>
            <m:r>
              <m:t>4</m:t>
            </m:r>
          </m:sup>
        </m:sSup>
      </m:oMath>
      <w:r>
        <w:t xml:space="preserve"> </w:t>
      </w:r>
      <w:r>
        <w:t xml:space="preserve">см² при ЛПЭ 27 до</w:t>
      </w:r>
      <w:r>
        <w:t xml:space="preserve"> </w:t>
      </w:r>
      <m:oMath>
        <m:r>
          <m:t>1</m:t>
        </m:r>
        <m:r>
          <m:rPr>
            <m:sty m:val="p"/>
          </m:rPr>
          <m:t>,</m:t>
        </m:r>
        <m:r>
          <m:t>6</m:t>
        </m:r>
        <m:r>
          <m:rPr>
            <m:sty m:val="p"/>
          </m:rPr>
          <m:t>⋅</m:t>
        </m:r>
        <m:sSup>
          <m:e>
            <m:r>
              <m:t>10</m:t>
            </m:r>
          </m:e>
          <m:sup>
            <m:r>
              <m:rPr>
                <m:sty m:val="p"/>
              </m:rPr>
              <m:t>−</m:t>
            </m:r>
            <m:r>
              <m:t>3</m:t>
            </m:r>
          </m:sup>
        </m:sSup>
      </m:oMath>
      <w:r>
        <w:t xml:space="preserve"> </w:t>
      </w:r>
      <w:r>
        <w:t xml:space="preserve">см² при 57 МэВ·см²/мг, для слова в одной строке — от</w:t>
      </w:r>
      <w:r>
        <w:t xml:space="preserve"> </w:t>
      </w:r>
      <m:oMath>
        <m:r>
          <m:t>8</m:t>
        </m:r>
        <m:r>
          <m:rPr>
            <m:sty m:val="p"/>
          </m:rPr>
          <m:t>,</m:t>
        </m:r>
        <m:r>
          <m:t>5</m:t>
        </m:r>
        <m:r>
          <m:rPr>
            <m:sty m:val="p"/>
          </m:rPr>
          <m:t>⋅</m:t>
        </m:r>
        <m:sSup>
          <m:e>
            <m:r>
              <m:t>10</m:t>
            </m:r>
          </m:e>
          <m:sup>
            <m:r>
              <m:rPr>
                <m:sty m:val="p"/>
              </m:rPr>
              <m:t>−</m:t>
            </m:r>
            <m:r>
              <m:t>5</m:t>
            </m:r>
          </m:sup>
        </m:sSup>
      </m:oMath>
      <w:r>
        <w:t xml:space="preserve"> </w:t>
      </w:r>
      <w:r>
        <w:t xml:space="preserve">до</w:t>
      </w:r>
      <w:r>
        <w:t xml:space="preserve"> </w:t>
      </w:r>
      <m:oMath>
        <m:r>
          <m:t>4</m:t>
        </m:r>
        <m:r>
          <m:rPr>
            <m:sty m:val="p"/>
          </m:rPr>
          <m:t>,</m:t>
        </m:r>
        <m:r>
          <m:t>8</m:t>
        </m:r>
        <m:r>
          <m:rPr>
            <m:sty m:val="p"/>
          </m:rPr>
          <m:t>⋅</m:t>
        </m:r>
        <m:sSup>
          <m:e>
            <m:r>
              <m:t>10</m:t>
            </m:r>
          </m:e>
          <m:sup>
            <m:r>
              <m:rPr>
                <m:sty m:val="p"/>
              </m:rPr>
              <m:t>−</m:t>
            </m:r>
            <m:r>
              <m:t>4</m:t>
            </m:r>
          </m:sup>
        </m:sSup>
      </m:oMath>
      <w:r>
        <w:t xml:space="preserve"> </w:t>
      </w:r>
      <w:r>
        <w:t xml:space="preserve">см². Принято, что при ЛПЭ ниже 27 МэВ·см²/мг, где не наблюдалось кластеров протяжённостью 17 строк, SMU не возникают, а выше 57 МэВ·см²/мг сечение не превышает оценки при 57 МэВ·см²/мг.</w:t>
      </w:r>
    </w:p>
    <w:bookmarkEnd w:id="29"/>
    <w:bookmarkEnd w:id="30"/>
    <w:bookmarkStart w:id="37" w:name="расчёт-для-геостационарной-орбиты"/>
    <w:p>
      <w:pPr>
        <w:pStyle w:val="Heading1"/>
        <w:widowControl/>
      </w:pPr>
      <w:r>
        <w:rPr>
          <w:rFonts w:ascii="Times New Roman" w:hAnsi="Times New Roman"/>
          <w:color w:val="000000"/>
        </w:rPr>
        <w:t xml:space="preserve">Расчёт для геостационарной орбиты</w:t>
      </w:r>
    </w:p>
    <w:p>
      <w:pPr>
        <w:pStyle w:val="FirstParagraph"/>
        <w:widowControl/>
      </w:pPr>
      <w:r>
        <w:t xml:space="preserve">Рассмотрена геостационарная орбита: САС 10 лет,</w:t>
      </w:r>
      <w:r>
        <w:t xml:space="preserve"> </w:t>
      </w:r>
      <m:oMath>
        <m:sSub>
          <m:e>
            <m:r>
              <m:t>Q</m:t>
            </m:r>
          </m:e>
          <m:sub>
            <m:r>
              <m:rPr>
                <m:nor/>
                <m:sty m:val="p"/>
              </m:rPr>
              <m:t>доп</m:t>
            </m:r>
          </m:sub>
        </m:sSub>
        <m:r>
          <m:rPr>
            <m:sty m:val="p"/>
          </m:rPr>
          <m:t>=</m:t>
        </m:r>
        <m:sSup>
          <m:e>
            <m:r>
              <m:t>10</m:t>
            </m:r>
          </m:e>
          <m:sup>
            <m:r>
              <m:rPr>
                <m:sty m:val="p"/>
              </m:rPr>
              <m:t>−</m:t>
            </m:r>
            <m:r>
              <m:t>3</m:t>
            </m:r>
          </m:sup>
        </m:sSup>
      </m:oMath>
      <w:r>
        <w:t xml:space="preserve"> </w:t>
      </w:r>
      <w:r>
        <w:t xml:space="preserve">для расчётных радиационных условий, алюминиевая защита с поверхностной плотностью 0,1–4,0 г/см². Спектры ЛПЭ и энергетические спектры протонов получены с помощью программного комплекса COSRAD [28]: для ГКЛ — спектр максимальной плотности потока при среднем уровне солнечной активности, для СКЛ — пиковая плотность потока и флюенс за САС при вероятности превышения 0,1. Отношение флюенса СКЛ к пиковой плотности потока по всем ядрам и энергиям не превышает 1,34 сут; принято</w:t>
      </w:r>
      <w:r>
        <w:t xml:space="preserve"> </w:t>
      </w:r>
      <m:oMath>
        <m:sSub>
          <m:e>
            <m:r>
              <m:t>T</m:t>
            </m:r>
          </m:e>
          <m:sub>
            <m:r>
              <m:rPr>
                <m:nor/>
                <m:sty m:val="p"/>
              </m:rPr>
              <m:t>эф</m:t>
            </m:r>
          </m:sub>
        </m:sSub>
        <m:r>
          <m:rPr>
            <m:sty m:val="p"/>
          </m:rPr>
          <m:t>=</m:t>
        </m:r>
        <m:r>
          <m:t>1</m:t>
        </m:r>
        <m:r>
          <m:rPr>
            <m:sty m:val="p"/>
          </m:rPr>
          <m:t>,</m:t>
        </m:r>
        <m:r>
          <m:t>34</m:t>
        </m:r>
      </m:oMath>
      <w:r>
        <w:t xml:space="preserve"> </w:t>
      </w:r>
      <w:r>
        <w:t xml:space="preserve">сут. Спектр СКЛ, в состав которого входят ядра до никеля, ограничен наибольшей ЛПЭ никеля в кремнии 32,6 МэВ·см²/мг (максимум полных тормозных потерь по библиотеке CATIMA [29]). Поэтому ядра СКЛ не входят в точечную оценку</w:t>
      </w:r>
      <w:r>
        <w:t xml:space="preserve"> </w:t>
      </w:r>
      <m:oMath>
        <m:sSub>
          <m:e>
            <m:r>
              <m:t>Λ</m:t>
            </m:r>
          </m:e>
          <m:sub>
            <m:r>
              <m:t>1</m:t>
            </m:r>
          </m:sub>
        </m:sSub>
      </m:oMath>
      <w:r>
        <w:t xml:space="preserve">, но входят в верхнюю оценку и в условный расчёт с эффективной ЛПЭ. Частоты рассчитаны по (6) с зависимостью</w:t>
      </w:r>
      <w:r>
        <w:t xml:space="preserve"> </w:t>
      </w:r>
      <m:oMath>
        <m:sSub>
          <m:e>
            <m:r>
              <m:t>σ</m:t>
            </m:r>
          </m:e>
          <m:sub>
            <m:r>
              <m:t>b</m:t>
            </m:r>
          </m:sub>
        </m:sSub>
        <m:d>
          <m:dPr>
            <m:begChr m:val="("/>
            <m:endChr m:val=")"/>
            <m:sepChr m:val=""/>
            <m:grow/>
          </m:dPr>
          <m:e>
            <m:r>
              <m:t>L</m:t>
            </m:r>
          </m:e>
        </m:d>
      </m:oMath>
      <w:r>
        <w:t xml:space="preserve"> </w:t>
      </w:r>
      <w:r>
        <w:t xml:space="preserve">[24]; для протонов использованы пороговая энергия 10 МэВ и сечение насыщения</w:t>
      </w:r>
      <w:r>
        <w:t xml:space="preserve"> </w:t>
      </w:r>
      <m:oMath>
        <m:r>
          <m:t>8</m:t>
        </m:r>
        <m:r>
          <m:rPr>
            <m:sty m:val="p"/>
          </m:rPr>
          <m:t>⋅</m:t>
        </m:r>
        <m:sSup>
          <m:e>
            <m:r>
              <m:t>10</m:t>
            </m:r>
          </m:e>
          <m:sup>
            <m:r>
              <m:rPr>
                <m:sty m:val="p"/>
              </m:rPr>
              <m:t>−</m:t>
            </m:r>
            <m:r>
              <m:t>14</m:t>
            </m:r>
          </m:sup>
        </m:sSup>
      </m:oMath>
      <w:r>
        <w:t xml:space="preserve"> </w:t>
      </w:r>
      <w:r>
        <w:t xml:space="preserve">см²/бит [30]. Накопление рассчитано для всех 38 разрядов внутреннего слова (</w:t>
      </w:r>
      <m:oMath>
        <m:r>
          <m:t>n</m:t>
        </m:r>
        <m:r>
          <m:rPr>
            <m:sty m:val="p"/>
          </m:rPr>
          <m:t>=</m:t>
        </m:r>
        <m:r>
          <m:t>38</m:t>
        </m:r>
      </m:oMath>
      <w:r>
        <w:t xml:space="preserve">; 32 информационных и 6 контрольных) в предположении их одинаковой чувствительности; сечения SMU получены по наблюдаемым информационным разрядам и характеризуют информационную часть слова.</w:t>
      </w:r>
    </w:p>
    <w:p>
      <w:pPr>
        <w:pStyle w:val="BodyText"/>
        <w:widowControl/>
      </w:pPr>
      <w:r>
        <w:t xml:space="preserve">Частота ошибок от ГКЛ при защите 1,5–4,0 г/см² составляет</w:t>
      </w:r>
      <w:r>
        <w:t xml:space="preserve"> </w:t>
      </w:r>
      <m:oMath>
        <m:d>
          <m:dPr>
            <m:begChr m:val="("/>
            <m:endChr m:val=")"/>
            <m:sepChr m:val=""/>
            <m:grow/>
          </m:dPr>
          <m:e>
            <m:r>
              <m:t>2</m:t>
            </m:r>
            <m:r>
              <m:rPr>
                <m:sty m:val="p"/>
              </m:rPr>
              <m:t>,</m:t>
            </m:r>
            <m:r>
              <m:t>0</m:t>
            </m:r>
            <m:r>
              <m:rPr>
                <m:sty m:val="p"/>
              </m:rPr>
              <m:t>…</m:t>
            </m:r>
            <m:r>
              <m:t>1</m:t>
            </m:r>
            <m:r>
              <m:rPr>
                <m:sty m:val="p"/>
              </m:rPr>
              <m:t>,</m:t>
            </m:r>
            <m:r>
              <m:t>4</m:t>
            </m:r>
          </m:e>
        </m:d>
        <m:r>
          <m:rPr>
            <m:sty m:val="p"/>
          </m:rPr>
          <m:t>⋅</m:t>
        </m:r>
        <m:sSup>
          <m:e>
            <m:r>
              <m:t>10</m:t>
            </m:r>
          </m:e>
          <m:sup>
            <m:r>
              <m:rPr>
                <m:sty m:val="p"/>
              </m:rPr>
              <m:t>−</m:t>
            </m:r>
            <m:r>
              <m:t>4</m:t>
            </m:r>
          </m:sup>
        </m:sSup>
      </m:oMath>
      <w:r>
        <w:t xml:space="preserve"> </w:t>
      </w:r>
      <w:r>
        <w:t xml:space="preserve">с⁻¹, т. е. 17–12 ошибок в сутки на всю память, а пиковая частота при СКЛ — 0,93–0,14 с⁻¹ (табл. 2). Поэтому слагаемое СКЛ в знаменателе (3) в 400–7700 раз больше слагаемого ГКЛ. Периоды рассчитаны при точечной оценке</w:t>
      </w:r>
      <w:r>
        <w:t xml:space="preserve"> </w:t>
      </w:r>
      <m:oMath>
        <m:sSub>
          <m:e>
            <m:r>
              <m:t>Λ</m:t>
            </m:r>
          </m:e>
          <m:sub>
            <m:r>
              <m:t>1</m:t>
            </m:r>
          </m:sub>
        </m:sSub>
      </m:oMath>
      <w:r>
        <w:t xml:space="preserve">. При учёте только ГКЛ допустимый период составляет 80–178 с, с учётом СКЛ — 0,010–0,45 с (рис. 3); при защите 1 г/см² и тоньше даже без СКЛ он не превышает минуты. В дополнительном расчёте с учётом прямой ионизации протонами по измеренному сечению [23, 30] при принятом коэффициенте углового пересчёта 1/2 допустимый период уменьшается примерно в пять раз.</w:t>
      </w:r>
    </w:p>
    <w:p>
      <w:pPr>
        <w:pStyle w:val="CaptionedFigure"/>
        <w:keepNext/>
        <w:keepLines/>
        <w:widowControl/>
      </w:pPr>
      <w:r>
        <w:drawing>
          <wp:inline>
            <wp:extent cx="5334000" cy="3501390"/>
            <wp:effectExtent b="0" l="0" r="0" t="0"/>
            <wp:docPr descr="Рис. 3. Допустимый постоянный период скраббинга в зависимости от поверхностной плотности алюминиевой защиты при точечной оценке \Lambda_1; горизонтальные линии — минимальное время полного цикла опроса памяти в режиме ×8" title="" id="32" name="Picture"/>
            <a:graphic>
              <a:graphicData uri="http://schemas.openxmlformats.org/drawingml/2006/picture">
                <pic:pic>
                  <pic:nvPicPr>
                    <pic:cNvPr descr="fig/v19_fig3.png" id="33" name="Picture"/>
                    <pic:cNvPicPr>
                      <a:picLocks noChangeArrowheads="1" noChangeAspect="1"/>
                    </pic:cNvPicPr>
                  </pic:nvPicPr>
                  <pic:blipFill>
                    <a:blip r:embed="rId31"/>
                    <a:stretch>
                      <a:fillRect/>
                    </a:stretch>
                  </pic:blipFill>
                  <pic:spPr bwMode="auto">
                    <a:xfrm>
                      <a:off x="0" y="0"/>
                      <a:ext cx="5334000" cy="3501390"/>
                    </a:xfrm>
                    <a:prstGeom prst="rect">
                      <a:avLst/>
                    </a:prstGeom>
                    <a:noFill/>
                    <a:ln w="9525">
                      <a:noFill/>
                      <a:headEnd/>
                      <a:tailEnd/>
                    </a:ln>
                  </pic:spPr>
                </pic:pic>
              </a:graphicData>
            </a:graphic>
          </wp:inline>
        </w:drawing>
      </w:r>
    </w:p>
    <w:p>
      <w:pPr>
        <w:pStyle w:val="ImageCaption"/>
        <w:keepLines/>
        <w:widowControl/>
      </w:pPr>
      <w:r>
        <w:t xml:space="preserve">Рис. 3. Допустимый постоянный период скраббинга в зависимости от поверхностной плотности алюминиевой защиты при точечной оценке</w:t>
      </w:r>
      <w:r>
        <w:t xml:space="preserve"> </w:t>
      </w:r>
      <m:oMath>
        <m:sSub>
          <m:e>
            <m:r>
              <m:t>Λ</m:t>
            </m:r>
          </m:e>
          <m:sub>
            <m:r>
              <m:t>1</m:t>
            </m:r>
          </m:sub>
        </m:sSub>
      </m:oMath>
      <w:r>
        <w:t xml:space="preserve">; горизонтальные линии — минимальное время полного цикла опроса памяти в режиме ×8</w:t>
      </w:r>
    </w:p>
    <w:p>
      <w:pPr>
        <w:pStyle w:val="BodyText"/>
        <w:widowControl/>
      </w:pPr>
      <w:r>
        <w:t xml:space="preserve">Минимальное время полного цикла опроса памяти в режиме ×8 при длительности циклов чтения и записи по 45 нс [31] составляет 0,047 с для 2¹⁹ внутренних слов при известной группировке адресов и 0,189 с для всех 2²¹ внешних адресов. Если запись выполняется только после выставления сигнала ERR, то при малой доле записей это время составляет 0,024 и 0,094 с. Если группировка адресов известна, непрерывный скраббинг с постоянным периодом впервые среди рассмотренных значений защиты удовлетворяет достаточному условию при 2,0 г/см² с записью по сигналу ERR и при 2,25 г/см² с записью после каждого чтения. При опросе всех адресов соответствующие значения — 2,75 и 3,5 г/см². Для рассмотренных значений защиты до 1,75 г/см² включительно условие не выполняется ни в одном из рассмотренных режимов опроса.</w:t>
      </w:r>
    </w:p>
    <w:p>
      <w:pPr>
        <w:pStyle w:val="BodyText"/>
        <w:keepNext/>
        <w:widowControl/>
        <w:spacing w:after="120"/>
      </w:pPr>
      <w:r>
        <w:rPr>
          <w:bCs/>
          <w:b/>
        </w:rPr>
        <w:t xml:space="preserve">Таблица 2 — Частоты ошибок и ожидаемое число SMU за САС</w:t>
      </w:r>
    </w:p>
    <w:tbl>
      <w:tblPr>
        <w:tblStyle w:val="Table"/>
        <w:tblW w:type="dxa" w:w="9638"/>
        <w:jc w:val="center"/>
        <w:tblLayout w:type="fixed"/>
        <w:tblLook w:firstRow="1" w:lastRow="0" w:firstColumn="0" w:lastColumn="0" w:noHBand="0" w:noVBand="0" w:val="0020"/>
      </w:tblPr>
      <w:tblGrid>
        <w:gridCol w:w="964"/>
        <w:gridCol w:w="1106"/>
        <w:gridCol w:w="964"/>
        <w:gridCol w:w="1871"/>
        <w:gridCol w:w="510"/>
        <w:gridCol w:w="2013"/>
        <w:gridCol w:w="2211"/>
      </w:tblGrid>
      <w:tr>
        <w:trPr>
          <w:tblHeader w:val="true"/>
          <w:cantSplit/>
        </w:trPr>
        <w:tc>
          <w:tcPr>
            <w:tcW w:type="dxa" w:w="96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Защита,</w:t>
            </w:r>
            <w:r>
              <w:br/>
            </w:r>
            <w:r>
              <w:rPr>
                <w:rFonts w:ascii="Times New Roman" w:hAnsi="Times New Roman"/>
                <w:sz w:val="22"/>
              </w:rPr>
              <w:t>г/см²</w:t>
            </w:r>
          </w:p>
        </w:tc>
        <w:tc>
          <w:tcPr>
            <w:tcW w:type="dxa" w:w="1106"/>
            <w:vAlign w:val="center"/>
            <w:tcMar>
              <w:top w:w="55" w:type="dxa"/>
              <w:bottom w:w="55" w:type="dxa"/>
              <w:left w:w="60" w:type="dxa"/>
              <w:right w:w="60" w:type="dxa"/>
            </w:tcMar>
          </w:tcPr>
          <w:p>
            <w:pPr>
              <w:pStyle w:val="Compact"/>
              <w:keepNext/>
              <w:keepLines/>
              <w:spacing w:before="0" w:after="0" w:line="240" w:lineRule="auto"/>
              <w:jc w:val="center"/>
              <w:rPr>
                <w:sz w:val="22"/>
              </w:rPr>
            </w:pPr>
            <m:oMath>
              <m:sSub>
                <m:e>
                  <m:r>
                    <w:rPr>
                      <w:sz w:val="22"/>
                    </w:rPr>
                    <m:t>ν</m:t>
                  </m:r>
                </m:e>
                <m:sub>
                  <m:r>
                    <w:rPr>
                      <w:sz w:val="22"/>
                    </w:rPr>
                    <m:rPr>
                      <m:nor/>
                      <m:sty m:val="p"/>
                    </m:rPr>
                    <m:t>Г</m:t>
                  </m:r>
                </m:sub>
              </m:sSub>
            </m:oMath>
            <w:r>
              <w:rPr>
                <w:rFonts w:ascii="Times New Roman" w:hAnsi="Times New Roman"/>
                <w:sz w:val="22"/>
              </w:rPr>
              <w:t xml:space="preserve">, 10⁻⁴ с⁻¹</w:t>
            </w:r>
          </w:p>
        </w:tc>
        <w:tc>
          <w:tcPr>
            <w:tcW w:type="dxa" w:w="964"/>
            <w:vAlign w:val="center"/>
            <w:tcMar>
              <w:top w:w="55" w:type="dxa"/>
              <w:bottom w:w="55" w:type="dxa"/>
              <w:left w:w="60" w:type="dxa"/>
              <w:right w:w="60" w:type="dxa"/>
            </w:tcMar>
          </w:tcPr>
          <w:p>
            <w:pPr>
              <w:pStyle w:val="Compact"/>
              <w:keepNext/>
              <w:keepLines/>
              <w:spacing w:before="0" w:after="0" w:line="240" w:lineRule="auto"/>
              <w:jc w:val="center"/>
              <w:rPr>
                <w:sz w:val="22"/>
              </w:rPr>
            </w:pPr>
            <m:oMath>
              <m:sSub>
                <m:e>
                  <m:r>
                    <w:rPr>
                      <w:sz w:val="22"/>
                    </w:rPr>
                    <m:t>ν</m:t>
                  </m:r>
                </m:e>
                <m:sub>
                  <m:r>
                    <w:rPr>
                      <w:sz w:val="22"/>
                    </w:rPr>
                    <m:rPr>
                      <m:nor/>
                      <m:sty m:val="p"/>
                    </m:rPr>
                    <m:t>С</m:t>
                  </m:r>
                </m:sub>
              </m:sSub>
            </m:oMath>
            <w:r>
              <w:rPr>
                <w:rFonts w:ascii="Times New Roman" w:hAnsi="Times New Roman"/>
                <w:sz w:val="22"/>
              </w:rPr>
              <w:t xml:space="preserve">, с⁻¹</w:t>
            </w:r>
          </w:p>
        </w:tc>
        <w:tc>
          <w:tcPr>
            <w:tcW w:type="dxa" w:w="1871"/>
            <w:vAlign w:val="center"/>
            <w:tcMar>
              <w:top w:w="55" w:type="dxa"/>
              <w:bottom w:w="55" w:type="dxa"/>
              <w:left w:w="60" w:type="dxa"/>
              <w:right w:w="60" w:type="dxa"/>
            </w:tcMar>
          </w:tcPr>
          <w:p>
            <w:pPr>
              <w:pStyle w:val="Compact"/>
              <w:keepNext/>
              <w:keepLines/>
              <w:spacing w:before="0" w:after="0" w:line="240" w:lineRule="auto"/>
              <w:jc w:val="center"/>
              <w:rPr>
                <w:sz w:val="22"/>
              </w:rPr>
            </w:pPr>
            <m:oMath>
              <m:sSub>
                <m:e>
                  <m:r>
                    <w:rPr>
                      <w:sz w:val="22"/>
                    </w:rPr>
                    <m:t>Λ</m:t>
                  </m:r>
                </m:e>
                <m:sub>
                  <m:r>
                    <w:rPr>
                      <w:sz w:val="22"/>
                    </w:rPr>
                    <m:t>1</m:t>
                  </m:r>
                </m:sub>
              </m:sSub>
            </m:oMath>
            <w:r>
              <w:rPr>
                <w:rFonts w:ascii="Times New Roman" w:hAnsi="Times New Roman"/>
                <w:sz w:val="22"/>
              </w:rPr>
              <w:t xml:space="preserve">, точечная оценка, слово в разных строках</w:t>
            </w:r>
          </w:p>
        </w:tc>
        <w:tc>
          <w:tcPr>
            <w:tcW w:type="dxa" w:w="510"/>
            <w:vAlign w:val="center"/>
            <w:tcMar>
              <w:top w:w="55" w:type="dxa"/>
              <w:bottom w:w="55" w:type="dxa"/>
              <w:left w:w="60" w:type="dxa"/>
              <w:right w:w="60" w:type="dxa"/>
            </w:tcMar>
          </w:tcPr>
          <w:p>
            <w:pPr>
              <w:pStyle w:val="Compact"/>
              <w:keepNext/>
              <w:keepLines/>
              <w:spacing w:before="0" w:after="0" w:line="240" w:lineRule="auto"/>
              <w:jc w:val="center"/>
              <w:rPr>
                <w:sz w:val="22"/>
              </w:rPr>
            </w:pPr>
            <m:oMath>
              <m:sSup>
                <m:e>
                  <m:r>
                    <w:rPr>
                      <w:sz w:val="22"/>
                    </w:rPr>
                    <m:t>k</m:t>
                  </m:r>
                </m:e>
                <m:sup>
                  <m:r>
                    <w:rPr>
                      <w:sz w:val="22"/>
                    </w:rPr>
                    <m:rPr>
                      <m:sty m:val="p"/>
                    </m:rPr>
                    <m:t>*</m:t>
                  </m:r>
                </m:sup>
              </m:sSup>
            </m:oMath>
          </w:p>
        </w:tc>
        <w:tc>
          <w:tcPr>
            <w:tcW w:type="dxa" w:w="2013"/>
            <w:vAlign w:val="center"/>
            <w:tcMar>
              <w:top w:w="55" w:type="dxa"/>
              <w:bottom w:w="55" w:type="dxa"/>
              <w:left w:w="60" w:type="dxa"/>
              <w:right w:w="60" w:type="dxa"/>
            </w:tcMar>
          </w:tcPr>
          <w:p>
            <w:pPr>
              <w:pStyle w:val="Compact"/>
              <w:keepNext/>
              <w:keepLines/>
              <w:spacing w:before="0" w:after="0" w:line="240" w:lineRule="auto"/>
              <w:jc w:val="center"/>
              <w:rPr>
                <w:sz w:val="22"/>
              </w:rPr>
            </w:pPr>
            <m:oMath>
              <m:sSub>
                <m:e>
                  <m:r>
                    <w:rPr>
                      <w:sz w:val="22"/>
                    </w:rPr>
                    <m:t>Λ</m:t>
                  </m:r>
                </m:e>
                <m:sub>
                  <m:r>
                    <w:rPr>
                      <w:sz w:val="22"/>
                    </w:rPr>
                    <m:t>1</m:t>
                  </m:r>
                </m:sub>
              </m:sSub>
            </m:oMath>
            <w:r>
              <w:rPr>
                <w:rFonts w:ascii="Times New Roman" w:hAnsi="Times New Roman"/>
                <w:sz w:val="22"/>
              </w:rPr>
              <w:t xml:space="preserve">, верхняя оценка, слово в разных строках</w:t>
            </w:r>
          </w:p>
        </w:tc>
        <w:tc>
          <w:tcPr>
            <w:tcW w:type="dxa" w:w="2211"/>
            <w:vAlign w:val="center"/>
            <w:tcMar>
              <w:top w:w="55" w:type="dxa"/>
              <w:bottom w:w="55" w:type="dxa"/>
              <w:left w:w="60" w:type="dxa"/>
              <w:right w:w="60" w:type="dxa"/>
            </w:tcMar>
          </w:tcPr>
          <w:p>
            <w:pPr>
              <w:pStyle w:val="Compact"/>
              <w:keepNext/>
              <w:keepLines/>
              <w:spacing w:before="0" w:after="0" w:line="240" w:lineRule="auto"/>
              <w:jc w:val="center"/>
              <w:rPr>
                <w:sz w:val="22"/>
              </w:rPr>
            </w:pPr>
            <m:oMath>
              <m:sSub>
                <m:e>
                  <m:r>
                    <w:rPr>
                      <w:sz w:val="22"/>
                    </w:rPr>
                    <m:t>Λ</m:t>
                  </m:r>
                </m:e>
                <m:sub>
                  <m:r>
                    <w:rPr>
                      <w:sz w:val="22"/>
                    </w:rPr>
                    <m:t>1</m:t>
                  </m:r>
                </m:sub>
              </m:sSub>
            </m:oMath>
            <w:r>
              <w:rPr>
                <w:rFonts w:ascii="Times New Roman" w:hAnsi="Times New Roman"/>
                <w:sz w:val="22"/>
              </w:rPr>
              <w:t xml:space="preserve">, верхняя оценка, слово в одной строке</w:t>
            </w:r>
          </w:p>
        </w:tc>
      </w:tr>
      <w:tr>
        <w:trPr>
          <w:cantSplit/>
        </w:trPr>
        <w:tc>
          <w:tcPr>
            <w:tcW w:type="dxa" w:w="96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0,1</w:t>
            </w:r>
          </w:p>
        </w:tc>
        <w:tc>
          <w:tcPr>
            <w:tcW w:type="dxa" w:w="1106"/>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11,2</w:t>
            </w:r>
          </w:p>
        </w:tc>
        <w:tc>
          <w:tcPr>
            <w:tcW w:type="dxa" w:w="96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113</w:t>
            </w:r>
          </w:p>
        </w:tc>
        <w:tc>
          <w:tcPr>
            <w:tcW w:type="dxa" w:w="187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1,9·10⁻⁴</w:t>
            </w:r>
          </w:p>
        </w:tc>
        <w:tc>
          <w:tcPr>
            <w:tcW w:type="dxa" w:w="510"/>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5</w:t>
            </w:r>
          </w:p>
        </w:tc>
        <w:tc>
          <w:tcPr>
            <w:tcW w:type="dxa" w:w="2013"/>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8,0</w:t>
            </w:r>
          </w:p>
        </w:tc>
        <w:tc>
          <w:tcPr>
            <w:tcW w:type="dxa" w:w="221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1,8</w:t>
            </w:r>
          </w:p>
        </w:tc>
      </w:tr>
      <w:tr>
        <w:trPr>
          <w:cantSplit/>
        </w:trPr>
        <w:tc>
          <w:tcPr>
            <w:tcW w:type="dxa" w:w="96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0,5</w:t>
            </w:r>
          </w:p>
        </w:tc>
        <w:tc>
          <w:tcPr>
            <w:tcW w:type="dxa" w:w="1106"/>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3,33</w:t>
            </w:r>
          </w:p>
        </w:tc>
        <w:tc>
          <w:tcPr>
            <w:tcW w:type="dxa" w:w="96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7,6</w:t>
            </w:r>
          </w:p>
        </w:tc>
        <w:tc>
          <w:tcPr>
            <w:tcW w:type="dxa" w:w="187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8,2·10⁻⁵</w:t>
            </w:r>
          </w:p>
        </w:tc>
        <w:tc>
          <w:tcPr>
            <w:tcW w:type="dxa" w:w="510"/>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12</w:t>
            </w:r>
          </w:p>
        </w:tc>
        <w:tc>
          <w:tcPr>
            <w:tcW w:type="dxa" w:w="2013"/>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0,23</w:t>
            </w:r>
          </w:p>
        </w:tc>
        <w:tc>
          <w:tcPr>
            <w:tcW w:type="dxa" w:w="221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5,2·10⁻²</w:t>
            </w:r>
          </w:p>
        </w:tc>
      </w:tr>
      <w:tr>
        <w:trPr>
          <w:cantSplit/>
        </w:trPr>
        <w:tc>
          <w:tcPr>
            <w:tcW w:type="dxa" w:w="96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1,0</w:t>
            </w:r>
          </w:p>
        </w:tc>
        <w:tc>
          <w:tcPr>
            <w:tcW w:type="dxa" w:w="1106"/>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2,38</w:t>
            </w:r>
          </w:p>
        </w:tc>
        <w:tc>
          <w:tcPr>
            <w:tcW w:type="dxa" w:w="96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2,0</w:t>
            </w:r>
          </w:p>
        </w:tc>
        <w:tc>
          <w:tcPr>
            <w:tcW w:type="dxa" w:w="187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5,9·10⁻⁵</w:t>
            </w:r>
          </w:p>
        </w:tc>
        <w:tc>
          <w:tcPr>
            <w:tcW w:type="dxa" w:w="510"/>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17</w:t>
            </w:r>
          </w:p>
        </w:tc>
        <w:tc>
          <w:tcPr>
            <w:tcW w:type="dxa" w:w="2013"/>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6,1·10⁻²</w:t>
            </w:r>
          </w:p>
        </w:tc>
        <w:tc>
          <w:tcPr>
            <w:tcW w:type="dxa" w:w="221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1,4·10⁻²</w:t>
            </w:r>
          </w:p>
        </w:tc>
      </w:tr>
      <w:tr>
        <w:trPr>
          <w:cantSplit/>
        </w:trPr>
        <w:tc>
          <w:tcPr>
            <w:tcW w:type="dxa" w:w="96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1,5</w:t>
            </w:r>
          </w:p>
        </w:tc>
        <w:tc>
          <w:tcPr>
            <w:tcW w:type="dxa" w:w="1106"/>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2,02</w:t>
            </w:r>
          </w:p>
        </w:tc>
        <w:tc>
          <w:tcPr>
            <w:tcW w:type="dxa" w:w="96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0,93</w:t>
            </w:r>
          </w:p>
        </w:tc>
        <w:tc>
          <w:tcPr>
            <w:tcW w:type="dxa" w:w="187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4,8·10⁻⁵</w:t>
            </w:r>
          </w:p>
        </w:tc>
        <w:tc>
          <w:tcPr>
            <w:tcW w:type="dxa" w:w="510"/>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21</w:t>
            </w:r>
          </w:p>
        </w:tc>
        <w:tc>
          <w:tcPr>
            <w:tcW w:type="dxa" w:w="2013"/>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3,1·10⁻²</w:t>
            </w:r>
          </w:p>
        </w:tc>
        <w:tc>
          <w:tcPr>
            <w:tcW w:type="dxa" w:w="221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7,1·10⁻³</w:t>
            </w:r>
          </w:p>
        </w:tc>
      </w:tr>
      <w:tr>
        <w:trPr>
          <w:cantSplit/>
        </w:trPr>
        <w:tc>
          <w:tcPr>
            <w:tcW w:type="dxa" w:w="96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2,0</w:t>
            </w:r>
          </w:p>
        </w:tc>
        <w:tc>
          <w:tcPr>
            <w:tcW w:type="dxa" w:w="1106"/>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1,81</w:t>
            </w:r>
          </w:p>
        </w:tc>
        <w:tc>
          <w:tcPr>
            <w:tcW w:type="dxa" w:w="96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0,53</w:t>
            </w:r>
          </w:p>
        </w:tc>
        <w:tc>
          <w:tcPr>
            <w:tcW w:type="dxa" w:w="187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4,1·10⁻⁵</w:t>
            </w:r>
          </w:p>
        </w:tc>
        <w:tc>
          <w:tcPr>
            <w:tcW w:type="dxa" w:w="510"/>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25</w:t>
            </w:r>
          </w:p>
        </w:tc>
        <w:tc>
          <w:tcPr>
            <w:tcW w:type="dxa" w:w="2013"/>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2,1·10⁻²</w:t>
            </w:r>
          </w:p>
        </w:tc>
        <w:tc>
          <w:tcPr>
            <w:tcW w:type="dxa" w:w="221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4,6·10⁻³</w:t>
            </w:r>
          </w:p>
        </w:tc>
      </w:tr>
      <w:tr>
        <w:trPr>
          <w:cantSplit/>
        </w:trPr>
        <w:tc>
          <w:tcPr>
            <w:tcW w:type="dxa" w:w="96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3,0</w:t>
            </w:r>
          </w:p>
        </w:tc>
        <w:tc>
          <w:tcPr>
            <w:tcW w:type="dxa" w:w="1106"/>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1,55</w:t>
            </w:r>
          </w:p>
        </w:tc>
        <w:tc>
          <w:tcPr>
            <w:tcW w:type="dxa" w:w="964"/>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0,24</w:t>
            </w:r>
          </w:p>
        </w:tc>
        <w:tc>
          <w:tcPr>
            <w:tcW w:type="dxa" w:w="187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3,1·10⁻⁵</w:t>
            </w:r>
          </w:p>
        </w:tc>
        <w:tc>
          <w:tcPr>
            <w:tcW w:type="dxa" w:w="510"/>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32</w:t>
            </w:r>
          </w:p>
        </w:tc>
        <w:tc>
          <w:tcPr>
            <w:tcW w:type="dxa" w:w="2013"/>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1,2·10⁻²</w:t>
            </w:r>
          </w:p>
        </w:tc>
        <w:tc>
          <w:tcPr>
            <w:tcW w:type="dxa" w:w="2211"/>
            <w:vAlign w:val="center"/>
            <w:tcMar>
              <w:top w:w="55" w:type="dxa"/>
              <w:bottom w:w="55" w:type="dxa"/>
              <w:left w:w="60" w:type="dxa"/>
              <w:right w:w="60" w:type="dxa"/>
            </w:tcMar>
          </w:tcPr>
          <w:p>
            <w:pPr>
              <w:pStyle w:val="Compact"/>
              <w:keepNext/>
              <w:keepLines/>
              <w:spacing w:before="0" w:after="0" w:line="240" w:lineRule="auto"/>
              <w:jc w:val="center"/>
              <w:rPr>
                <w:sz w:val="22"/>
              </w:rPr>
            </w:pPr>
            <w:r>
              <w:rPr>
                <w:rFonts w:ascii="Times New Roman" w:hAnsi="Times New Roman"/>
                <w:sz w:val="22"/>
              </w:rPr>
              <w:t xml:space="preserve">2,8·10⁻³</w:t>
            </w:r>
          </w:p>
        </w:tc>
      </w:tr>
      <w:tr>
        <w:trPr>
          <w:cantSplit/>
        </w:trPr>
        <w:tc>
          <w:tcPr>
            <w:tcW w:type="dxa" w:w="964"/>
            <w:vAlign w:val="center"/>
            <w:tcMar>
              <w:top w:w="55" w:type="dxa"/>
              <w:bottom w:w="55" w:type="dxa"/>
              <w:left w:w="60" w:type="dxa"/>
              <w:right w:w="60" w:type="dxa"/>
            </w:tcMar>
          </w:tcPr>
          <w:p>
            <w:pPr>
              <w:pStyle w:val="Compact"/>
              <w:keepNext w:val="0"/>
              <w:keepLines/>
              <w:spacing w:before="0" w:after="0" w:line="240" w:lineRule="auto"/>
              <w:jc w:val="center"/>
              <w:rPr>
                <w:sz w:val="22"/>
              </w:rPr>
            </w:pPr>
            <w:r>
              <w:rPr>
                <w:rFonts w:ascii="Times New Roman" w:hAnsi="Times New Roman"/>
                <w:sz w:val="22"/>
              </w:rPr>
              <w:t xml:space="preserve">4,0</w:t>
            </w:r>
          </w:p>
        </w:tc>
        <w:tc>
          <w:tcPr>
            <w:tcW w:type="dxa" w:w="1106"/>
            <w:vAlign w:val="center"/>
            <w:tcMar>
              <w:top w:w="55" w:type="dxa"/>
              <w:bottom w:w="55" w:type="dxa"/>
              <w:left w:w="60" w:type="dxa"/>
              <w:right w:w="60" w:type="dxa"/>
            </w:tcMar>
          </w:tcPr>
          <w:p>
            <w:pPr>
              <w:pStyle w:val="Compact"/>
              <w:keepNext w:val="0"/>
              <w:keepLines/>
              <w:spacing w:before="0" w:after="0" w:line="240" w:lineRule="auto"/>
              <w:jc w:val="center"/>
              <w:rPr>
                <w:sz w:val="22"/>
              </w:rPr>
            </w:pPr>
            <w:r>
              <w:rPr>
                <w:rFonts w:ascii="Times New Roman" w:hAnsi="Times New Roman"/>
                <w:sz w:val="22"/>
              </w:rPr>
              <w:t xml:space="preserve">1,37</w:t>
            </w:r>
          </w:p>
        </w:tc>
        <w:tc>
          <w:tcPr>
            <w:tcW w:type="dxa" w:w="964"/>
            <w:vAlign w:val="center"/>
            <w:tcMar>
              <w:top w:w="55" w:type="dxa"/>
              <w:bottom w:w="55" w:type="dxa"/>
              <w:left w:w="60" w:type="dxa"/>
              <w:right w:w="60" w:type="dxa"/>
            </w:tcMar>
          </w:tcPr>
          <w:p>
            <w:pPr>
              <w:pStyle w:val="Compact"/>
              <w:keepNext w:val="0"/>
              <w:keepLines/>
              <w:spacing w:before="0" w:after="0" w:line="240" w:lineRule="auto"/>
              <w:jc w:val="center"/>
              <w:rPr>
                <w:sz w:val="22"/>
              </w:rPr>
            </w:pPr>
            <w:r>
              <w:rPr>
                <w:rFonts w:ascii="Times New Roman" w:hAnsi="Times New Roman"/>
                <w:sz w:val="22"/>
              </w:rPr>
              <w:t xml:space="preserve">0,14</w:t>
            </w:r>
          </w:p>
        </w:tc>
        <w:tc>
          <w:tcPr>
            <w:tcW w:type="dxa" w:w="1871"/>
            <w:vAlign w:val="center"/>
            <w:tcMar>
              <w:top w:w="55" w:type="dxa"/>
              <w:bottom w:w="55" w:type="dxa"/>
              <w:left w:w="60" w:type="dxa"/>
              <w:right w:w="60" w:type="dxa"/>
            </w:tcMar>
          </w:tcPr>
          <w:p>
            <w:pPr>
              <w:pStyle w:val="Compact"/>
              <w:keepNext w:val="0"/>
              <w:keepLines/>
              <w:spacing w:before="0" w:after="0" w:line="240" w:lineRule="auto"/>
              <w:jc w:val="center"/>
              <w:rPr>
                <w:sz w:val="22"/>
              </w:rPr>
            </w:pPr>
            <w:r>
              <w:rPr>
                <w:rFonts w:ascii="Times New Roman" w:hAnsi="Times New Roman"/>
                <w:sz w:val="22"/>
              </w:rPr>
              <w:t xml:space="preserve">2,5·10⁻⁵</w:t>
            </w:r>
          </w:p>
        </w:tc>
        <w:tc>
          <w:tcPr>
            <w:tcW w:type="dxa" w:w="510"/>
            <w:vAlign w:val="center"/>
            <w:tcMar>
              <w:top w:w="55" w:type="dxa"/>
              <w:bottom w:w="55" w:type="dxa"/>
              <w:left w:w="60" w:type="dxa"/>
              <w:right w:w="60" w:type="dxa"/>
            </w:tcMar>
          </w:tcPr>
          <w:p>
            <w:pPr>
              <w:pStyle w:val="Compact"/>
              <w:keepNext w:val="0"/>
              <w:keepLines/>
              <w:spacing w:before="0" w:after="0" w:line="240" w:lineRule="auto"/>
              <w:jc w:val="center"/>
              <w:rPr>
                <w:sz w:val="22"/>
              </w:rPr>
            </w:pPr>
            <w:r>
              <w:rPr>
                <w:rFonts w:ascii="Times New Roman" w:hAnsi="Times New Roman"/>
                <w:sz w:val="22"/>
              </w:rPr>
              <w:t xml:space="preserve">41</w:t>
            </w:r>
          </w:p>
        </w:tc>
        <w:tc>
          <w:tcPr>
            <w:tcW w:type="dxa" w:w="2013"/>
            <w:vAlign w:val="center"/>
            <w:tcMar>
              <w:top w:w="55" w:type="dxa"/>
              <w:bottom w:w="55" w:type="dxa"/>
              <w:left w:w="60" w:type="dxa"/>
              <w:right w:w="60" w:type="dxa"/>
            </w:tcMar>
          </w:tcPr>
          <w:p>
            <w:pPr>
              <w:pStyle w:val="Compact"/>
              <w:keepNext w:val="0"/>
              <w:keepLines/>
              <w:spacing w:before="0" w:after="0" w:line="240" w:lineRule="auto"/>
              <w:jc w:val="center"/>
              <w:rPr>
                <w:sz w:val="22"/>
              </w:rPr>
            </w:pPr>
            <w:r>
              <w:rPr>
                <w:rFonts w:ascii="Times New Roman" w:hAnsi="Times New Roman"/>
                <w:sz w:val="22"/>
              </w:rPr>
              <w:t xml:space="preserve">9,0·10⁻³</w:t>
            </w:r>
          </w:p>
        </w:tc>
        <w:tc>
          <w:tcPr>
            <w:tcW w:type="dxa" w:w="2211"/>
            <w:vAlign w:val="center"/>
            <w:tcMar>
              <w:top w:w="55" w:type="dxa"/>
              <w:bottom w:w="55" w:type="dxa"/>
              <w:left w:w="60" w:type="dxa"/>
              <w:right w:w="60" w:type="dxa"/>
            </w:tcMar>
          </w:tcPr>
          <w:p>
            <w:pPr>
              <w:pStyle w:val="Compact"/>
              <w:keepNext w:val="0"/>
              <w:keepLines/>
              <w:spacing w:before="0" w:after="0" w:line="240" w:lineRule="auto"/>
              <w:jc w:val="center"/>
              <w:rPr>
                <w:sz w:val="22"/>
              </w:rPr>
            </w:pPr>
            <w:r>
              <w:rPr>
                <w:rFonts w:ascii="Times New Roman" w:hAnsi="Times New Roman"/>
                <w:sz w:val="22"/>
              </w:rPr>
              <w:t xml:space="preserve">2,0·10⁻³</w:t>
            </w:r>
          </w:p>
        </w:tc>
      </w:tr>
    </w:tbl>
    <w:p>
      <w:pPr>
        <w:pStyle w:val="BodyText"/>
        <w:widowControl/>
      </w:pPr>
      <w:r>
        <w:rPr>
          <w:iCs/>
          <w:i/>
        </w:rPr>
        <w:t xml:space="preserve">Примечание.</w:t>
      </w:r>
      <w:r>
        <w:t xml:space="preserve"> </w:t>
      </w:r>
      <m:oMath>
        <m:sSub>
          <m:e>
            <m:r>
              <m:t>ν</m:t>
            </m:r>
          </m:e>
          <m:sub>
            <m:r>
              <m:rPr>
                <m:nor/>
                <m:sty m:val="p"/>
              </m:rPr>
              <m:t>Г</m:t>
            </m:r>
          </m:sub>
        </m:sSub>
      </m:oMath>
      <w:r>
        <w:t xml:space="preserve"> </w:t>
      </w:r>
      <w:r>
        <w:t xml:space="preserve">и</w:t>
      </w:r>
      <w:r>
        <w:t xml:space="preserve"> </w:t>
      </w:r>
      <m:oMath>
        <m:sSub>
          <m:e>
            <m:r>
              <m:t>ν</m:t>
            </m:r>
          </m:e>
          <m:sub>
            <m:r>
              <m:rPr>
                <m:nor/>
                <m:sty m:val="p"/>
              </m:rPr>
              <m:t>С</m:t>
            </m:r>
          </m:sub>
        </m:sSub>
      </m:oMath>
      <w:r>
        <w:t xml:space="preserve"> </w:t>
      </w:r>
      <w:r>
        <w:t xml:space="preserve">— для 38 разрядов слова;</w:t>
      </w:r>
      <w:r>
        <w:t xml:space="preserve"> </w:t>
      </w:r>
      <m:oMath>
        <m:sSub>
          <m:e>
            <m:r>
              <m:t>Λ</m:t>
            </m:r>
          </m:e>
          <m:sub>
            <m:r>
              <m:t>1</m:t>
            </m:r>
          </m:sub>
        </m:sSub>
      </m:oMath>
      <w:r>
        <w:t xml:space="preserve"> </w:t>
      </w:r>
      <w:r>
        <w:t xml:space="preserve">— по сечениям SMU для информационных разрядов при нормальном падении.</w:t>
      </w:r>
    </w:p>
    <w:p>
      <w:pPr>
        <w:pStyle w:val="BodyText"/>
        <w:widowControl/>
      </w:pPr>
      <w:r>
        <w:t xml:space="preserve">Для слова в разных строках точечная оценка</w:t>
      </w:r>
      <w:r>
        <w:t xml:space="preserve"> </w:t>
      </w:r>
      <m:oMath>
        <m:sSub>
          <m:e>
            <m:r>
              <m:t>Λ</m:t>
            </m:r>
          </m:e>
          <m:sub>
            <m:r>
              <m:t>1</m:t>
            </m:r>
          </m:sub>
        </m:sSub>
      </m:oMath>
      <w:r>
        <w:t xml:space="preserve"> </w:t>
      </w:r>
      <w:r>
        <w:t xml:space="preserve">в 21–41 раз ниже</w:t>
      </w:r>
      <w:r>
        <w:t xml:space="preserve"> </w:t>
      </w:r>
      <m:oMath>
        <m:sSub>
          <m:e>
            <m:r>
              <m:t>Q</m:t>
            </m:r>
          </m:e>
          <m:sub>
            <m:r>
              <m:rPr>
                <m:nor/>
                <m:sty m:val="p"/>
              </m:rPr>
              <m:t>доп</m:t>
            </m:r>
          </m:sub>
        </m:sSub>
      </m:oMath>
      <w:r>
        <w:t xml:space="preserve"> </w:t>
      </w:r>
      <w:r>
        <w:t xml:space="preserve">при защите 1,5–4,0 г/см²; при тонкой защите запас уменьшается до 5 при 0,1 г/см², так как через неё проходит больше тяжёлых ядер с большой ЛПЭ. Верхняя оценка превышает</w:t>
      </w:r>
      <w:r>
        <w:t xml:space="preserve"> </w:t>
      </w:r>
      <m:oMath>
        <m:sSub>
          <m:e>
            <m:r>
              <m:t>Q</m:t>
            </m:r>
          </m:e>
          <m:sub>
            <m:r>
              <m:rPr>
                <m:nor/>
                <m:sty m:val="p"/>
              </m:rPr>
              <m:t>доп</m:t>
            </m:r>
          </m:sub>
        </m:sSub>
      </m:oMath>
      <w:r>
        <w:t xml:space="preserve"> </w:t>
      </w:r>
      <w:r>
        <w:t xml:space="preserve">во всём диапазоне защиты, поэтому по принятой методике требование по SMU не подтверждается. Основной вклад в верхнюю оценку даёт диапазон ЛПЭ 27–43 МэВ·см²/мг, где спектр ГКЛ резко спадает после ядер железа (рис. 4, а). Для слова в одной строке верхняя оценка ограничена флюенсом испытаний. Поскольку сечение считается неубывающим, отсутствие SMU при наибольшей ЛПЭ ограничивает сечение при всех меньших ЛПЭ. Для снижения верхней оценки до</w:t>
      </w:r>
      <w:r>
        <w:t xml:space="preserve"> </w:t>
      </w:r>
      <m:oMath>
        <m:r>
          <m:t>5</m:t>
        </m:r>
        <m:r>
          <m:rPr>
            <m:sty m:val="p"/>
          </m:rPr>
          <m:t>⋅</m:t>
        </m:r>
        <m:sSup>
          <m:e>
            <m:r>
              <m:t>10</m:t>
            </m:r>
          </m:e>
          <m:sup>
            <m:r>
              <m:rPr>
                <m:sty m:val="p"/>
              </m:rPr>
              <m:t>−</m:t>
            </m:r>
            <m:r>
              <m:t>4</m:t>
            </m:r>
          </m:sup>
        </m:sSup>
      </m:oMath>
      <w:r>
        <w:t xml:space="preserve"> </w:t>
      </w:r>
      <w:r>
        <w:t xml:space="preserve">нужен дополнительный флюенс ионов с ЛПЭ не менее 57 МэВ·см²/мг без SMU. Он составляет от</w:t>
      </w:r>
      <w:r>
        <w:t xml:space="preserve"> </w:t>
      </w:r>
      <m:oMath>
        <m:r>
          <m:t>1</m:t>
        </m:r>
        <m:r>
          <m:rPr>
            <m:sty m:val="p"/>
          </m:rPr>
          <m:t>,</m:t>
        </m:r>
        <m:r>
          <m:t>1</m:t>
        </m:r>
        <m:r>
          <m:rPr>
            <m:sty m:val="p"/>
          </m:rPr>
          <m:t>⋅</m:t>
        </m:r>
        <m:sSup>
          <m:e>
            <m:r>
              <m:t>10</m:t>
            </m:r>
          </m:e>
          <m:sup>
            <m:r>
              <m:t>5</m:t>
            </m:r>
          </m:sup>
        </m:sSup>
      </m:oMath>
      <w:r>
        <w:t xml:space="preserve"> </w:t>
      </w:r>
      <w:r>
        <w:t xml:space="preserve">см⁻² при защите 4 г/см² до</w:t>
      </w:r>
      <w:r>
        <w:t xml:space="preserve"> </w:t>
      </w:r>
      <m:oMath>
        <m:r>
          <m:t>4</m:t>
        </m:r>
        <m:r>
          <m:rPr>
            <m:sty m:val="p"/>
          </m:rPr>
          <m:t>,</m:t>
        </m:r>
        <m:r>
          <m:t>8</m:t>
        </m:r>
        <m:r>
          <m:rPr>
            <m:sty m:val="p"/>
          </m:rPr>
          <m:t>⋅</m:t>
        </m:r>
        <m:sSup>
          <m:e>
            <m:r>
              <m:t>10</m:t>
            </m:r>
          </m:e>
          <m:sup>
            <m:r>
              <m:t>5</m:t>
            </m:r>
          </m:sup>
        </m:sSup>
      </m:oMath>
      <w:r>
        <w:t xml:space="preserve"> </w:t>
      </w:r>
      <w:r>
        <w:t xml:space="preserve">см⁻² при 1,5 г/см², а при защите 1 г/см² и тоньше — около</w:t>
      </w:r>
      <w:r>
        <w:t xml:space="preserve"> </w:t>
      </w:r>
      <m:oMath>
        <m:sSup>
          <m:e>
            <m:r>
              <m:t>10</m:t>
            </m:r>
          </m:e>
          <m:sup>
            <m:r>
              <m:t>6</m:t>
            </m:r>
          </m:sup>
        </m:sSup>
      </m:oMath>
      <w:r>
        <w:t xml:space="preserve"> </w:t>
      </w:r>
      <w:r>
        <w:t xml:space="preserve">см⁻² и более.</w:t>
      </w:r>
    </w:p>
    <w:p>
      <w:pPr>
        <w:pStyle w:val="CaptionedFigure"/>
        <w:keepNext/>
        <w:keepLines/>
        <w:widowControl/>
      </w:pPr>
      <w:r>
        <w:drawing>
          <wp:inline>
            <wp:extent cx="4679999" cy="5348571"/>
            <wp:effectExtent b="0" l="0" r="0" t="0"/>
            <wp:docPr descr="Рис. 4. а — флюенс частиц с ЛПЭ выше L за 10 лет (ГКЛ) и за время T_{\text{эф}} (СКЛ) за защитой 2,5 г/см²; б — точечные оценки сечения SMU по данным и верхние расчётные оценки; штриховые участки и нулевое сечение ниже 27 МэВ·см²/мг — допущения" title="" id="35" name="Picture"/>
            <a:graphic>
              <a:graphicData uri="http://schemas.openxmlformats.org/drawingml/2006/picture">
                <pic:pic>
                  <pic:nvPicPr>
                    <pic:cNvPr descr="fig/v19_fig4.png" id="36" name="Picture"/>
                    <pic:cNvPicPr>
                      <a:picLocks noChangeArrowheads="1" noChangeAspect="1"/>
                    </pic:cNvPicPr>
                  </pic:nvPicPr>
                  <pic:blipFill>
                    <a:blip r:embed="rId34"/>
                    <a:stretch>
                      <a:fillRect/>
                    </a:stretch>
                  </pic:blipFill>
                  <pic:spPr bwMode="auto">
                    <a:xfrm>
                      <a:off x="0" y="0"/>
                      <a:ext cx="4679999" cy="5348571"/>
                    </a:xfrm>
                    <a:prstGeom prst="rect">
                      <a:avLst/>
                    </a:prstGeom>
                    <a:noFill/>
                    <a:ln w="9525">
                      <a:noFill/>
                      <a:headEnd/>
                      <a:tailEnd/>
                    </a:ln>
                  </pic:spPr>
                </pic:pic>
              </a:graphicData>
            </a:graphic>
          </wp:inline>
        </w:drawing>
      </w:r>
    </w:p>
    <w:p>
      <w:pPr>
        <w:pStyle w:val="ImageCaption"/>
        <w:keepLines/>
        <w:widowControl/>
      </w:pPr>
      <w:r>
        <w:t xml:space="preserve">Рис. 4. а — флюенс частиц с ЛПЭ выше</w:t>
      </w:r>
      <w:r>
        <w:t xml:space="preserve"> </w:t>
      </w:r>
      <m:oMath>
        <m:r>
          <m:t>L</m:t>
        </m:r>
      </m:oMath>
      <w:r>
        <w:t xml:space="preserve"> </w:t>
      </w:r>
      <w:r>
        <w:t xml:space="preserve">за 10 лет (ГКЛ) и за время</w:t>
      </w:r>
      <w:r>
        <w:t xml:space="preserve"> </w:t>
      </w:r>
      <m:oMath>
        <m:sSub>
          <m:e>
            <m:r>
              <m:t>T</m:t>
            </m:r>
          </m:e>
          <m:sub>
            <m:r>
              <m:rPr>
                <m:nor/>
                <m:sty m:val="p"/>
              </m:rPr>
              <m:t>эф</m:t>
            </m:r>
          </m:sub>
        </m:sSub>
      </m:oMath>
      <w:r>
        <w:t xml:space="preserve"> </w:t>
      </w:r>
      <w:r>
        <w:t xml:space="preserve">(СКЛ) за защитой 2,5 г/см²; б — точечные оценки сечения SMU по данным и верхние расчётные оценки; штриховые участки и нулевое сечение ниже 27 МэВ·см²/мг — допущения</w:t>
      </w:r>
    </w:p>
    <w:p>
      <w:pPr>
        <w:pStyle w:val="BodyText"/>
        <w:widowControl/>
      </w:pPr>
      <w:r>
        <w:t xml:space="preserve">Все данные получены при нормальном падении ионов. Если бы сечение SMU зависело от эффективной ЛПЭ, как в модели тонкого чувствительного слоя [5], точечная оценка</w:t>
      </w:r>
      <w:r>
        <w:t xml:space="preserve"> </w:t>
      </w:r>
      <m:oMath>
        <m:sSub>
          <m:e>
            <m:r>
              <m:t>Λ</m:t>
            </m:r>
          </m:e>
          <m:sub>
            <m:r>
              <m:t>1</m:t>
            </m:r>
          </m:sub>
        </m:sSub>
      </m:oMath>
      <w:r>
        <w:t xml:space="preserve"> </w:t>
      </w:r>
      <w:r>
        <w:t xml:space="preserve">при защите 1,5–4,0 г/см² возросла бы примерно в 94–175 раз. При наклонном падении ядра железа с ЛПЭ 20–30 МэВ·см²/мг достигают эффективной ЛПЭ 33–60 МэВ·см²/мг. Поэтому для определения угловой зависимости SMU нужны испытания при наклонном падении [32].</w:t>
      </w:r>
    </w:p>
    <w:bookmarkEnd w:id="37"/>
    <w:bookmarkStart w:id="38" w:name="заключение"/>
    <w:p>
      <w:pPr>
        <w:pStyle w:val="Heading1"/>
        <w:widowControl/>
      </w:pPr>
      <w:r>
        <w:rPr>
          <w:rFonts w:ascii="Times New Roman" w:hAnsi="Times New Roman"/>
          <w:color w:val="000000"/>
        </w:rPr>
        <w:t xml:space="preserve">Заключение</w:t>
      </w:r>
    </w:p>
    <w:p>
      <w:pPr>
        <w:widowControl/>
        <w:numPr>
          <w:ilvl w:val="0"/>
          <w:numId w:val="1001"/>
        </w:numPr>
      </w:pPr>
      <w:r>
        <w:t xml:space="preserve">Вероятность появления слова с неисправимой ошибкой ограничена снизу вероятностью SMU, не зависящей от периода скраббинга, а сверху — суммой этой вероятности и ожидаемого числа пар накопившихся ошибок. Оценка накопления требует только пиковой частоты ошибок и их ожидаемого числа, поэтому СКЛ учитываются без задания временного профиля солнечного события.</w:t>
      </w:r>
    </w:p>
    <w:p>
      <w:pPr>
        <w:widowControl/>
        <w:numPr>
          <w:ilvl w:val="0"/>
          <w:numId w:val="1001"/>
        </w:numPr>
      </w:pPr>
      <w:r>
        <w:t xml:space="preserve">Для СОЗУ CY62167GE30 по открытым данным восстановлена формула отображения координат во внешние адреса. Разряды байта расположены в строке через 16 столбцов; ячейки с адресами, различающимися только разрядом</w:t>
      </w:r>
      <w:r>
        <w:t xml:space="preserve"> </w:t>
      </w:r>
      <m:oMath>
        <m:sSub>
          <m:e>
            <m:r>
              <m:t>A</m:t>
            </m:r>
          </m:e>
          <m:sub>
            <m:r>
              <m:t>0</m:t>
            </m:r>
          </m:sub>
        </m:sSub>
      </m:oMath>
      <w:r>
        <w:t xml:space="preserve">, — через 16 строк.</w:t>
      </w:r>
    </w:p>
    <w:p>
      <w:pPr>
        <w:widowControl/>
        <w:numPr>
          <w:ilvl w:val="0"/>
          <w:numId w:val="1001"/>
        </w:numPr>
      </w:pPr>
      <w:r>
        <w:t xml:space="preserve">Для принятых группировок адресов SMU возможен, только если разность координат крайних ячеек события вдоль направления разнесения разрядов слова не меньше шага перемежения. Размещение информационных разрядов слова в одной строке исключает SMU от наблюдавшихся кластеров; размещение в разных строках их допускает. Фактическую группировку можно установить по сигналу ERR.</w:t>
      </w:r>
    </w:p>
    <w:p>
      <w:pPr>
        <w:widowControl/>
        <w:numPr>
          <w:ilvl w:val="0"/>
          <w:numId w:val="1001"/>
        </w:numPr>
      </w:pPr>
      <w:r>
        <w:t xml:space="preserve">Для геостационарной орбиты допустимый постоянный период определяется СКЛ: при защите 1,5–4,0 г/см² он составляет 80–178 с при учёте только ГКЛ, а с учётом СКЛ — 0,010–0,45 с. При дополнительном учёте прямой ионизации протонами с коэффициентом углового пересчёта 1/2 он примерно в пять раз меньше. Среди рассмотренных значений защиты непрерывный скраббинг впервые удовлетворяет достаточному условию при 2,0–3,5 г/см² в зависимости от способа опроса.</w:t>
      </w:r>
    </w:p>
    <w:p>
      <w:pPr>
        <w:widowControl/>
        <w:numPr>
          <w:ilvl w:val="0"/>
          <w:numId w:val="1001"/>
        </w:numPr>
      </w:pPr>
      <w:r>
        <w:t xml:space="preserve">При защите 1,5–4,0 г/см² точечная оценка ожидаемого числа SMU для слова в разных строках, полученная при нормальном падении, в 21–41 раз ниже допустимой вероятности, однако по принятой методике требование не подтверждается. Для его подтверждения при размещении слова в одной строке и той же защите нужны облучение при ЛПЭ не менее 57 МэВ·см²/мг без SMU с дополнительным флюенсом</w:t>
      </w:r>
      <w:r>
        <w:t xml:space="preserve"> </w:t>
      </w:r>
      <m:oMath>
        <m:sSup>
          <m:e>
            <m:r>
              <m:t>10</m:t>
            </m:r>
          </m:e>
          <m:sup>
            <m:r>
              <m:t>5</m:t>
            </m:r>
          </m:sup>
        </m:sSup>
      </m:oMath>
      <w:r>
        <w:t xml:space="preserve">–</w:t>
      </w:r>
      <m:oMath>
        <m:r>
          <m:t>5</m:t>
        </m:r>
        <m:r>
          <m:rPr>
            <m:sty m:val="p"/>
          </m:rPr>
          <m:t>⋅</m:t>
        </m:r>
        <m:sSup>
          <m:e>
            <m:r>
              <m:t>10</m:t>
            </m:r>
          </m:e>
          <m:sup>
            <m:r>
              <m:t>5</m:t>
            </m:r>
          </m:sup>
        </m:sSup>
      </m:oMath>
      <w:r>
        <w:t xml:space="preserve"> </w:t>
      </w:r>
      <w:r>
        <w:t xml:space="preserve">см⁻² и испытания при наклонном падении.</w:t>
      </w:r>
    </w:p>
    <w:bookmarkEnd w:id="38"/>
    <w:bookmarkStart w:id="39" w:name="данные-и-программы"/>
    <w:bookmarkEnd w:id="39"/>
    <w:bookmarkStart w:id="40" w:name="приложение-а.-вывод-оценок-2-и-3"/>
    <w:bookmarkEnd w:id="40"/>
    <w:bookmarkStart w:id="41" w:name="X9e09c93beae25eb47a8b5b864b68a5bcbaee7b4"/>
    <w:bookmarkEnd w:id="41"/>
    <w:bookmarkStart w:id="42" w:name="литература"/>
    <w:p>
      <w:pPr>
        <w:pStyle w:val="Heading1"/>
        <w:widowControl/>
      </w:pPr>
      <w:r>
        <w:rPr>
          <w:rFonts w:ascii="Times New Roman" w:hAnsi="Times New Roman"/>
          <w:color w:val="000000"/>
        </w:rPr>
        <w:t xml:space="preserve">Литература</w:t>
      </w:r>
    </w:p>
    <w:p>
      <w:pPr>
        <w:widowControl/>
        <w:numPr>
          <w:ilvl w:val="0"/>
          <w:numId w:val="1002"/>
        </w:numPr>
        <w:pStyle w:val="Compact"/>
      </w:pPr>
      <w:r>
        <w:t xml:space="preserve">Saleh A. M., Serrano J. J., Patel J. H. Reliability of scrubbing recovery-techniques for memory systems // IEEE Transactions on Reliability. 1990. Vol. 39, No. 1. P. 114–122. DOI: 10.1109/24.52622.</w:t>
      </w:r>
    </w:p>
    <w:p>
      <w:pPr>
        <w:widowControl/>
        <w:numPr>
          <w:ilvl w:val="0"/>
          <w:numId w:val="1002"/>
        </w:numPr>
        <w:pStyle w:val="Compact"/>
      </w:pPr>
      <w:r>
        <w:t xml:space="preserve">Gasiot G., Giot D., Roche P. Multiple cell upsets as the key contribution to the total SER of 65 nm CMOS SRAMs and its dependence on well engineering // IEEE Transactions on Nuclear Science. 2007. Vol. 54, No. 6. P. 2468–2473. DOI: 10.1109/TNS.2007.908147.</w:t>
      </w:r>
    </w:p>
    <w:p>
      <w:pPr>
        <w:widowControl/>
        <w:numPr>
          <w:ilvl w:val="0"/>
          <w:numId w:val="1002"/>
        </w:numPr>
        <w:pStyle w:val="Compact"/>
      </w:pPr>
      <w:r>
        <w:t xml:space="preserve">Боруздина А. Б., Григорьев Н. Г., Уланова А. В. Влияние топологического размещения ячеек в микросхемах памяти на кратность сбоев от ТЗЧ // Микроэлектроника. 2014. Т. 43, № 2. С. 88–93. DOI: 10.7868/S0544126914020033.</w:t>
      </w:r>
    </w:p>
    <w:p>
      <w:pPr>
        <w:widowControl/>
        <w:numPr>
          <w:ilvl w:val="0"/>
          <w:numId w:val="1002"/>
        </w:numPr>
        <w:pStyle w:val="Compact"/>
      </w:pPr>
      <w:r>
        <w:t xml:space="preserve">Чумаков А. И. Радиационные эффекты в интегральных схемах. М.: Техносфера, 2024. 384 с. ISBN 978-5-94836-707-1.</w:t>
      </w:r>
    </w:p>
    <w:p>
      <w:pPr>
        <w:widowControl/>
        <w:numPr>
          <w:ilvl w:val="0"/>
          <w:numId w:val="1002"/>
        </w:numPr>
        <w:pStyle w:val="Compact"/>
      </w:pPr>
      <w:r>
        <w:t xml:space="preserve">СТО ГК Роскосмос 04.01.0010–2025. Типовые методики расчётно-экспериментальной оценки стойкости комплектующих изделий электронной компонентной базы бортовой радиоэлектронной аппаратуры автоматических космических аппаратов к воздействию ионизирующего излучения космического пространства по одиночным радиационным эффектам.</w:t>
      </w:r>
    </w:p>
    <w:p>
      <w:pPr>
        <w:widowControl/>
        <w:numPr>
          <w:ilvl w:val="0"/>
          <w:numId w:val="1002"/>
        </w:numPr>
        <w:pStyle w:val="Compact"/>
      </w:pPr>
      <w:r>
        <w:t xml:space="preserve">Боруздина А. Б., Темирбулатов М. С., Печенкин А. А. и др. Особенности экспериментальных методов исследования микросхем памяти с помехоустойчивым кодированием данных // Проблемы разработки перспективных микро- и наноэлектронных систем. 2016. № 4. С. 184–189.</w:t>
      </w:r>
    </w:p>
    <w:p>
      <w:pPr>
        <w:widowControl/>
        <w:numPr>
          <w:ilvl w:val="0"/>
          <w:numId w:val="1002"/>
        </w:numPr>
        <w:pStyle w:val="Compact"/>
      </w:pPr>
      <w:r>
        <w:t xml:space="preserve">Cypress Semiconductor (Infineon Technologies). AN88889. Mitigating Single-Event Upsets Using Cypress’s 65-nm Asynchronous SRAM. Document No. 001-88889 Rev. *C. 2015.</w:t>
      </w:r>
    </w:p>
    <w:p>
      <w:pPr>
        <w:widowControl/>
        <w:numPr>
          <w:ilvl w:val="0"/>
          <w:numId w:val="1002"/>
        </w:numPr>
        <w:pStyle w:val="Compact"/>
      </w:pPr>
      <w:r>
        <w:t xml:space="preserve">Tausch H. J. Simplified birthday statistics and Hamming EDAC // IEEE Transactions on Nuclear Science. 2009. Vol. 56, No. 2. P. 474–478. DOI: 10.1109/TNS.2009.2012710.</w:t>
      </w:r>
    </w:p>
    <w:p>
      <w:pPr>
        <w:widowControl/>
        <w:numPr>
          <w:ilvl w:val="0"/>
          <w:numId w:val="1002"/>
        </w:numPr>
        <w:pStyle w:val="Compact"/>
      </w:pPr>
      <w:r>
        <w:t xml:space="preserve">Reviriego P., Maestro J. A., Baeg S. et al. Protection of memories suffering MCUs through the selection of the optimal interleaving distance // IEEE Transactions on Nuclear Science. 2010. Vol. 57, No. 4. P. 2124–2128. DOI: 10.1109/TNS.2010.2042818.</w:t>
      </w:r>
    </w:p>
    <w:p>
      <w:pPr>
        <w:widowControl/>
        <w:numPr>
          <w:ilvl w:val="0"/>
          <w:numId w:val="1002"/>
        </w:numPr>
        <w:pStyle w:val="Compact"/>
      </w:pPr>
      <w:r>
        <w:t xml:space="preserve">Lee S., Baeg S., Reviriego P. Memory reliability model for accumulated and clustered soft errors // IEEE Transactions on Nuclear Science. 2011. Vol. 58, No. 5. P. 2483–2492. DOI: 10.1109/TNS.2011.2164555.</w:t>
      </w:r>
    </w:p>
    <w:p>
      <w:pPr>
        <w:widowControl/>
        <w:numPr>
          <w:ilvl w:val="0"/>
          <w:numId w:val="1002"/>
        </w:numPr>
        <w:pStyle w:val="Compact"/>
      </w:pPr>
      <w:r>
        <w:t xml:space="preserve">Wu W., Seifert N. MBU-Calc: A compact model for multi-bit upset (MBU) SER estimation // 2015 IEEE International Reliability Physics Symposium (IRPS). 2015. P. SE.2.1–SE.2.6. DOI: 10.1109/IRPS.2015.7112831.</w:t>
      </w:r>
    </w:p>
    <w:p>
      <w:pPr>
        <w:widowControl/>
        <w:numPr>
          <w:ilvl w:val="0"/>
          <w:numId w:val="1002"/>
        </w:numPr>
        <w:pStyle w:val="Compact"/>
      </w:pPr>
      <w:r>
        <w:t xml:space="preserve">Zebrev G. I., Galimov A. M., Mrozovskaya L. V. et al. Multiple cell upset partitioning for simulation of soft error rates in space systems with error correcting codes // arXiv:1704.07271v2. 2017.</w:t>
      </w:r>
    </w:p>
    <w:p>
      <w:pPr>
        <w:widowControl/>
        <w:numPr>
          <w:ilvl w:val="0"/>
          <w:numId w:val="1002"/>
        </w:numPr>
        <w:pStyle w:val="Compact"/>
      </w:pPr>
      <w:r>
        <w:t xml:space="preserve">Clemente J. A., Rezaei M., Franco F. J. Reliability of error correction codes against multiple events by accumulation // IEEE Transactions on Nuclear Science. 2022. Vol. 69, No. 2. P. 169–180. DOI: 10.1109/TNS.2022.3143652.</w:t>
      </w:r>
    </w:p>
    <w:p>
      <w:pPr>
        <w:widowControl/>
        <w:numPr>
          <w:ilvl w:val="0"/>
          <w:numId w:val="1002"/>
        </w:numPr>
        <w:pStyle w:val="Compact"/>
      </w:pPr>
      <w:r>
        <w:t xml:space="preserve">Rezaei M., Franco F. J., Hubert G., Clemente J. A. A method to neutralize the impact of DVS on the reliability of COTS SRAMs with ECC by using periodic scrubbing // IEEE Transactions on Nuclear Science. 2023. Vol. 70, No. 12. P. 2578–2589. DOI: 10.1109/TNS.2023.3332635.</w:t>
      </w:r>
    </w:p>
    <w:p>
      <w:pPr>
        <w:widowControl/>
        <w:numPr>
          <w:ilvl w:val="0"/>
          <w:numId w:val="1002"/>
        </w:numPr>
        <w:pStyle w:val="Compact"/>
      </w:pPr>
      <w:r>
        <w:t xml:space="preserve">Подзолко М. В. Моделирование опасности одиночных сбоев от космических частиц для памяти с коррекцией ошибок // Вестник Московского университета. Серия 3: Физика. Астрономия. 2017. № 6. С. 99–106 (Moscow University Physics Bulletin. 2017. Vol. 72, No. 6. P. 601–608. DOI: 10.3103/S0027134917060133).</w:t>
      </w:r>
    </w:p>
    <w:p>
      <w:pPr>
        <w:widowControl/>
        <w:numPr>
          <w:ilvl w:val="0"/>
          <w:numId w:val="1002"/>
        </w:numPr>
        <w:pStyle w:val="Compact"/>
      </w:pPr>
      <w:r>
        <w:t xml:space="preserve">Красников Г. Я., Лушников А. С., Мещанов В. Д. и др. Исследование сбоеустойчивости СОЗУ с функцией исправления одиночных сбоев при воздействии ТЗЧ // Электронная техника. Серия 3: Микроэлектроника. 2018. № 1 (169). С. 68–76.</w:t>
      </w:r>
    </w:p>
    <w:p>
      <w:pPr>
        <w:widowControl/>
        <w:numPr>
          <w:ilvl w:val="0"/>
          <w:numId w:val="1002"/>
        </w:numPr>
        <w:pStyle w:val="Compact"/>
      </w:pPr>
      <w:r>
        <w:t xml:space="preserve">Щигорев Л. А. Эффективность методов повышения сбое- и отказоустойчивости блоков статической оперативной памяти // Микроэлектроника. 2022. Т. 51, № 4. С. 313–320. DOI: 10.31857/S054412692204010X.</w:t>
      </w:r>
    </w:p>
    <w:p>
      <w:pPr>
        <w:widowControl/>
        <w:numPr>
          <w:ilvl w:val="0"/>
          <w:numId w:val="1002"/>
        </w:numPr>
        <w:pStyle w:val="Compact"/>
      </w:pPr>
      <w:r>
        <w:t xml:space="preserve">Wirthlin M., Lee D., Swift G., Quinn H. A method and case study on identifying physically adjacent multiple-cell upsets using 28-nm, interleaved and SECDED-protected arrays // IEEE Transactions on Nuclear Science. 2014. Vol. 61, No. 6. P. 3080–3087. DOI: 10.1109/TNS.2014.2366913.</w:t>
      </w:r>
    </w:p>
    <w:p>
      <w:pPr>
        <w:widowControl/>
        <w:numPr>
          <w:ilvl w:val="0"/>
          <w:numId w:val="1002"/>
        </w:numPr>
        <w:pStyle w:val="Compact"/>
      </w:pPr>
      <w:r>
        <w:t xml:space="preserve">Clemente J. A., Franco F. J., Villa F. et al. Statistical anomalies of bitflips in SRAMs to discriminate SBUs from MCUs // IEEE Transactions on Nuclear Science. 2016. Vol. 63, No. 4. P. 2087–2094. DOI: 10.1109/TNS.2016.2551263.</w:t>
      </w:r>
    </w:p>
    <w:p>
      <w:pPr>
        <w:widowControl/>
        <w:numPr>
          <w:ilvl w:val="0"/>
          <w:numId w:val="1002"/>
        </w:numPr>
        <w:pStyle w:val="Compact"/>
      </w:pPr>
      <w:r>
        <w:t xml:space="preserve">Guo J., Mao G., Liu W. et al. The bitmap decryption model on interleaved SRAM using multiple-bit upset analysis // IEEE Transactions on Nuclear Science. 2022. Vol. 69, No. 8. P. 1857–1864. DOI: 10.1109/TNS.2022.3186083.</w:t>
      </w:r>
    </w:p>
    <w:p>
      <w:pPr>
        <w:widowControl/>
        <w:numPr>
          <w:ilvl w:val="0"/>
          <w:numId w:val="1002"/>
        </w:numPr>
        <w:pStyle w:val="Compact"/>
      </w:pPr>
      <w:r>
        <w:t xml:space="preserve">Clemente J. A., Rezaei M., Fabero J. C. et al. LELAPE: An open-source tool to classify SEUs according to their multiplicity in radiation-ground tests on memories // IEEE Transactions on Nuclear Science. 2024. Vol. 71, No. 10. P. 2260–2271. DOI: 10.1109/TNS.2024.3450607.</w:t>
      </w:r>
    </w:p>
    <w:p>
      <w:pPr>
        <w:widowControl/>
        <w:numPr>
          <w:ilvl w:val="0"/>
          <w:numId w:val="1002"/>
        </w:numPr>
        <w:pStyle w:val="Compact"/>
      </w:pPr>
      <w:r>
        <w:t xml:space="preserve">Coronetti A., Matana Luza L., Bosser A. et al. MCU data in a Cypress 65 nm SRAM from heavy ions and protons collected at ground facilities [Data set]. Zenodo, 2023. DOI: 10.5281/zenodo.8314389.</w:t>
      </w:r>
    </w:p>
    <w:p>
      <w:pPr>
        <w:widowControl/>
        <w:numPr>
          <w:ilvl w:val="0"/>
          <w:numId w:val="1002"/>
        </w:numPr>
        <w:pStyle w:val="Compact"/>
      </w:pPr>
      <w:r>
        <w:t xml:space="preserve">Coronetti A., Cecchetto M., Wang J. et al. SEU characterization of commercial and custom-designed SRAMs based on 90 nm technology and below // 2020 IEEE Radiation Effects Data Workshop (REDW). 2020. P. 56–63. DOI: 10.1109/REDW51883.2020.9325822.</w:t>
      </w:r>
    </w:p>
    <w:p>
      <w:pPr>
        <w:widowControl/>
        <w:numPr>
          <w:ilvl w:val="0"/>
          <w:numId w:val="1002"/>
        </w:numPr>
        <w:pStyle w:val="Compact"/>
      </w:pPr>
      <w:r>
        <w:t xml:space="preserve">Coronetti A., García-Alía R., Dilillo L. et al. SRAM-based heavy-ion beam flux and LET dosimetry // IEEE Transactions on Nuclear Science. 2025. Vol. 72, No. 8. P. 2458–2465. DOI: 10.1109/TNS.2024.3487647.</w:t>
      </w:r>
    </w:p>
    <w:p>
      <w:pPr>
        <w:widowControl/>
        <w:numPr>
          <w:ilvl w:val="0"/>
          <w:numId w:val="1002"/>
        </w:numPr>
        <w:pStyle w:val="Compact"/>
      </w:pPr>
      <w:r>
        <w:t xml:space="preserve">Tsiligiannis G. et al. Multiple cell upset classification in commercial SRAMs // IEEE Transactions on Nuclear Science. 2014. Vol. 61, No. 4. P. 1747–1754. DOI: 10.1109/TNS.2014.2313742.</w:t>
      </w:r>
    </w:p>
    <w:p>
      <w:pPr>
        <w:widowControl/>
        <w:numPr>
          <w:ilvl w:val="0"/>
          <w:numId w:val="1002"/>
        </w:numPr>
        <w:pStyle w:val="Compact"/>
      </w:pPr>
      <w:r>
        <w:t xml:space="preserve">Bosser A., Gupta V., Tsiligiannis G. et al. Investigation on MCU clustering methodologies for cross-section estimation of RAMs // IEEE Transactions on Nuclear Science. 2015. Vol. 62, No. 6. P. 2620–2626. DOI: 10.1109/TNS.2015.2496874.</w:t>
      </w:r>
    </w:p>
    <w:p>
      <w:pPr>
        <w:widowControl/>
        <w:numPr>
          <w:ilvl w:val="0"/>
          <w:numId w:val="1002"/>
        </w:numPr>
        <w:pStyle w:val="Compact"/>
      </w:pPr>
      <w:r>
        <w:t xml:space="preserve">García Alía R. et al. Heavy ion energy deposition and SEE intercomparison within the RADNEXT irradiation facility network // IEEE Transactions on Nuclear Science. 2023. Vol. 70, No. 8. P. 1596–1605. DOI: 10.1109/TNS.2023.3260309.</w:t>
      </w:r>
    </w:p>
    <w:p>
      <w:pPr>
        <w:widowControl/>
        <w:numPr>
          <w:ilvl w:val="0"/>
          <w:numId w:val="1002"/>
        </w:numPr>
        <w:pStyle w:val="Compact"/>
      </w:pPr>
      <w:r>
        <w:t xml:space="preserve">Кузнецов Н. В., Малышкин Ю. М., Николаева Н. И. и др. Программный комплекс COSRAD для прогнозирования радиационных условий на борту космических аппаратов // Вопросы атомной науки и техники. Серия: Физика радиационного воздействия на радиоэлектронную аппаратуру. 2011. № 2. С. 72–78.</w:t>
      </w:r>
    </w:p>
    <w:p>
      <w:pPr>
        <w:widowControl/>
        <w:numPr>
          <w:ilvl w:val="0"/>
          <w:numId w:val="1002"/>
        </w:numPr>
        <w:pStyle w:val="Compact"/>
      </w:pPr>
      <w:r>
        <w:t xml:space="preserve">Prochazka A. CATIMA — library for calculation of energy loss, range, angular scattering and time of flight of charged particles in matter [Электронный ресурс]. Версия 1.7. URL: https://github.com/hrosiak/catima.</w:t>
      </w:r>
    </w:p>
    <w:p>
      <w:pPr>
        <w:widowControl/>
        <w:numPr>
          <w:ilvl w:val="0"/>
          <w:numId w:val="1002"/>
        </w:numPr>
        <w:pStyle w:val="Compact"/>
      </w:pPr>
      <w:r>
        <w:t xml:space="preserve">Coronetti A., García Alía R., Wang J. et al. Assessment of proton direct ionization for the radiation hardness assurance of deep submicron SRAMs used in space applications // IEEE Transactions on Nuclear Science. 2021. Vol. 68, No. 5. P. 937–948. DOI: 10.1109/TNS.2021.3061209.</w:t>
      </w:r>
    </w:p>
    <w:p>
      <w:pPr>
        <w:widowControl/>
        <w:numPr>
          <w:ilvl w:val="0"/>
          <w:numId w:val="1002"/>
        </w:numPr>
        <w:pStyle w:val="Compact"/>
      </w:pPr>
      <w:r>
        <w:t xml:space="preserve">Infineon Technologies AG. CY62167G/CY62167GE MoBL, 16-Mbit (1M words × 16-bit / 2M words × 8-bit) Static RAM with Error-Correcting Code (ECC). Data Sheet. Document No. 001-81537.</w:t>
      </w:r>
    </w:p>
    <w:p>
      <w:pPr>
        <w:widowControl/>
        <w:numPr>
          <w:ilvl w:val="0"/>
          <w:numId w:val="1002"/>
        </w:numPr>
        <w:pStyle w:val="Compact"/>
      </w:pPr>
      <w:r>
        <w:t xml:space="preserve">Kato T., Yamazaki T., Saito N., Matsuyama H. Neutron-induced multiple-cell upsets in 20-nm bulk SRAM: Angular sensitivity and impact of multiwell potential perturbation // IEEE Transactions on Nuclear Science. 2019. Vol. 66, No. 7. P. 1381–1389. DOI: 10.1109/TNS.2019.2900629.</w:t>
      </w:r>
    </w:p>
    <w:bookmarkEnd w:id="42"/>
    <w:sectPr>
      <w:pgSz w:w="11906" w:h="16838"/>
      <w:pgMar w:left="1134" w:right="1134" w:top="1134" w:bottom="1134"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4"/>
    </w:rPr>
  </w:style>
  <w:style w:styleId="BodyText" w:type="paragraph">
    <w:name w:val="Body Text"/>
    <w:basedOn w:val="Normal"/>
    <w:link w:val="BodyTextChar"/>
    <w:pPr>
      <w:spacing w:after="180" w:before="180"/>
    </w:pPr>
    <w:qFormat/>
    <w:rPr>
      <w:rFonts w:ascii="Times New Roman" w:hAnsi="Times New Roman"/>
      <w:color w:val="000000"/>
      <w:sz w:val="24"/>
    </w:rPr>
  </w:style>
  <w:style w:customStyle="1" w:styleId="FirstParagraph" w:type="paragraph">
    <w:name w:val="First Paragraph"/>
    <w:basedOn w:val="BodyText"/>
    <w:next w:val="BodyText"/>
    <w:qFormat/>
    <w:rPr>
      <w:rFonts w:ascii="Times New Roman" w:hAnsi="Times New Roman"/>
      <w:color w:val="000000"/>
      <w:sz w:val="24"/>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240" w:before="0"/>
      <w:jc w:val="center"/>
    </w:pPr>
    <w:rPr>
      <w:rFonts w:ascii="Times New Roman" w:hAnsi="Times New Roman"/>
      <w:b/>
      <w:bCs/>
      <w:color w:val="000000"/>
      <w:sz w:val="32"/>
      <w:szCs w:val="36"/>
    </w:rPr>
  </w:style>
  <w:style w:styleId="Subtitle" w:type="paragraph">
    <w:name w:val="Subtitle"/>
    <w:basedOn w:val="Title"/>
    <w:next w:val="BodyText"/>
    <w:qFormat/>
    <w:pPr>
      <w:keepNext/>
      <w:keepLines/>
      <w:spacing w:after="240" w:before="240"/>
      <w:jc w:val="center"/>
    </w:pPr>
    <w:rPr>
      <w:rFonts w:ascii="Times New Roman" w:hAnsi="Times New Roman"/>
      <w:color w:val="000000"/>
      <w:sz w:val="30"/>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40"/>
      <w:outlineLvl w:val="0"/>
    </w:pPr>
    <w:rPr>
      <w:rFonts w:ascii="Times New Roman" w:hAnsi="Times New Roman"/>
      <w:b/>
      <w:bCs/>
      <w:color w:val="000000"/>
      <w:sz w:val="28"/>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hAnsi="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b w:val="0"/>
      <w:bCs w:val="0"/>
      <w:color w:val="000000"/>
    </w:rPr>
  </w:style>
  <w:style w:type="paragraph" w:customStyle="1" w:styleId="SourceCode">
    <w:name w:val="Source Code"/>
    <w:basedOn w:val="Normal"/>
    <w:link w:val="VerbatimChar"/>
    <w:pPr>
      <w:wordWrap w:val="off"/>
    </w:pPr>
    <w:rPr>
      <w:rFonts w:ascii="Times New Roman" w:hAnsi="Times New Roman"/>
      <w:color w:val="00000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34" Type="http://schemas.openxmlformats.org/officeDocument/2006/relationships/image" Target="media/rId34.png"/><Relationship Id="rId21" Type="http://schemas.openxmlformats.org/officeDocument/2006/relationships/image" Target="media/rId21.pn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Период скраббинга статической памяти с учётом множественных сбоев в пределах слова</dc:title>
  <dc:creator/>
  <dc:language>ru-RU</dc:language>
  <cp:keywords/>
  <dcterms:created xsi:type="dcterms:W3CDTF">2026-09-30T09:35:36Z</dcterms:created>
  <dcterms:modified xsi:type="dcterms:W3CDTF">2026-09-30T09:35:36Z</dcterms:modified>
  <dc:subject>Рукопись статьи, версия 21</dc:subject>
  <dc:description/>
</cp:coreProperties>
</file>

<file path=docProps/custom.xml><?xml version="1.0" encoding="utf-8"?>
<Properties xmlns="http://schemas.openxmlformats.org/officeDocument/2006/custom-properties" xmlns:vt="http://schemas.openxmlformats.org/officeDocument/2006/docPropsVTypes"/>
</file>