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60" w:before="0"/>
        <w:jc w:val="center"/>
      </w:pPr>
      <w:r>
        <w:rPr>
          <w:rFonts w:ascii="Arial" w:cs="Arial" w:eastAsia="Arial" w:hAnsi="Arial"/>
          <w:b/>
          <w:bCs/>
          <w:color w:val="1A3C5E"/>
          <w:sz w:val="48"/>
          <w:szCs w:val="48"/>
        </w:rPr>
        <w:t xml:space="preserve">BASIRA | بصيرة</w:t>
      </w:r>
    </w:p>
    <w:p>
      <w:pPr>
        <w:spacing w:after="200" w:before="0"/>
        <w:jc w:val="center"/>
      </w:pPr>
      <w:r>
        <w:rPr>
          <w:rFonts w:ascii="Arial" w:cs="Arial" w:eastAsia="Arial" w:hAnsi="Arial"/>
          <w:color w:val="2E86AB"/>
          <w:sz w:val="28"/>
          <w:szCs w:val="28"/>
        </w:rPr>
        <w:t xml:space="preserve">Financial Analysis Platform</w:t>
      </w:r>
    </w:p>
    <w:p>
      <w:pPr>
        <w:pBdr>
          <w:top w:val="single" w:color="2E86AB" w:sz="6"/>
          <w:bottom w:val="single" w:color="2E86AB" w:sz="6"/>
        </w:pBdr>
        <w:spacing w:after="60" w:before="60"/>
        <w:jc w:val="center"/>
      </w:pPr>
      <w:r>
        <w:rPr>
          <w:rFonts w:ascii="Arial" w:cs="Arial" w:eastAsia="Arial" w:hAnsi="Arial"/>
          <w:b/>
          <w:bCs/>
          <w:color w:val="1A3C5E"/>
          <w:sz w:val="36"/>
          <w:szCs w:val="36"/>
        </w:rPr>
        <w:t xml:space="preserve">Financial Forecasting Models &amp; Methods</w:t>
      </w:r>
    </w:p>
    <w:p>
      <w:pPr>
        <w:spacing w:after="60" w:before="100"/>
        <w:jc w:val="center"/>
      </w:pPr>
      <w:r>
        <w:rPr>
          <w:rFonts w:ascii="Arial" w:cs="Arial" w:eastAsia="Arial" w:hAnsi="Arial"/>
          <w:i/>
          <w:iCs/>
          <w:color w:val="555555"/>
          <w:sz w:val="26"/>
          <w:szCs w:val="26"/>
        </w:rPr>
        <w:t xml:space="preserve">A Comprehensive Technical Analysis Document</w:t>
      </w:r>
    </w:p>
    <w:p>
      <w:pPr>
        <w:spacing w:after="600" w:before="80"/>
        <w:jc w:val="center"/>
      </w:pPr>
      <w:r>
        <w:rPr>
          <w:rFonts w:ascii="Arial" w:cs="Arial" w:eastAsia="Arial" w:hAnsi="Arial"/>
          <w:color w:val="2E86AB"/>
          <w:sz w:val="22"/>
          <w:szCs w:val="22"/>
        </w:rPr>
        <w:t xml:space="preserve">Moving Beyond GBM — Toward Multi-Model Intelligence for EGX</w:t>
      </w:r>
    </w:p>
    <w:p>
      <w:pPr>
        <w:spacing w:after="40" w:before="0"/>
        <w:jc w:val="center"/>
      </w:pPr>
      <w:r>
        <w:rPr>
          <w:rFonts w:ascii="Arial" w:cs="Arial" w:eastAsia="Arial" w:hAnsi="Arial"/>
          <w:b/>
          <w:bCs/>
          <w:color w:val="1A3C5E"/>
          <w:sz w:val="22"/>
          <w:szCs w:val="22"/>
        </w:rPr>
        <w:t xml:space="preserve">Prepared by: Zeyad Refaey</w:t>
      </w:r>
    </w:p>
    <w:p>
      <w:pPr>
        <w:jc w:val="center"/>
      </w:pPr>
      <w:r>
        <w:rPr>
          <w:rFonts w:ascii="Arial" w:cs="Arial" w:eastAsia="Arial" w:hAnsi="Arial"/>
          <w:color w:val="555555"/>
          <w:sz w:val="22"/>
          <w:szCs w:val="22"/>
        </w:rPr>
        <w:t xml:space="preserve">June 2026</w:t>
      </w:r>
    </w:p>
    <w:p>
      <w:r>
        <w:br w:type="page"/>
      </w:r>
    </w:p>
    <w:p>
      <w:pPr>
        <w:pStyle w:val="Heading1"/>
        <w:pBdr>
          <w:bottom w:val="single" w:color="2E86AB" w:sz="8" w:space="4"/>
        </w:pBdr>
        <w:spacing w:after="200" w:before="400"/>
      </w:pPr>
      <w:r>
        <w:rPr>
          <w:rFonts w:ascii="Arial" w:cs="Arial" w:eastAsia="Arial" w:hAnsi="Arial"/>
          <w:b/>
          <w:bCs/>
          <w:color w:val="1A3C5E"/>
          <w:sz w:val="32"/>
          <w:szCs w:val="32"/>
        </w:rPr>
        <w:t xml:space="preserve">0. Why GBM Alone Is Not Enough</w:t>
      </w:r>
    </w:p>
    <w:p>
      <w:pPr>
        <w:spacing w:after="100" w:before="80"/>
      </w:pPr>
      <w:r>
        <w:rPr>
          <w:rFonts w:ascii="Arial" w:cs="Arial" w:eastAsia="Arial" w:hAnsi="Arial"/>
          <w:sz w:val="22"/>
          <w:szCs w:val="22"/>
        </w:rPr>
        <w:t xml:space="preserve">Your existing GBMForecaster.py implements Geometric Brownian Motion — a classic stochastic model grounded in the Efficient Market Hypothesis. While it produces visually compelling 95% prediction intervals and chunk-based backtesting, it carries structural assumptions that limit its real-world accuracy, especially on emerging markets like the EGX.</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60"/>
      </w:tblGrid>
      <w:tr>
        <w:trPr>
          <w:tblHeader/>
        </w:trP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GBM Assumption</w:t>
            </w:r>
          </w:p>
        </w:tc>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Reality on EGX</w:t>
            </w:r>
          </w:p>
        </w:tc>
        <w:tc>
          <w:tcPr>
            <w:tcW w:type="dxa" w:w="2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Log-returns are normally distributed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EGX returns show fat tails and skewness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Underestimates extreme moves</w:t>
            </w:r>
          </w:p>
        </w:tc>
      </w:tr>
      <w:tr>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Constant drift (μ) and volatility (σ)</w:t>
            </w:r>
          </w:p>
        </w:tc>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Volatility clusters around news events</w:t>
            </w:r>
          </w:p>
        </w:tc>
        <w:tc>
          <w:tcPr>
            <w:tcW w:type="dxa" w:w="2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PI bands are too uniform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is fully efficient (no patterns)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EGX has thin liquidity and momentum effects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Misses exploitable patterns</w:t>
            </w:r>
          </w:p>
        </w:tc>
      </w:tr>
      <w:tr>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Independent price steps</w:t>
            </w:r>
          </w:p>
        </w:tc>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Autocorrelation exists in low-cap EGX stocks</w:t>
            </w:r>
          </w:p>
        </w:tc>
        <w:tc>
          <w:tcPr>
            <w:tcW w:type="dxa" w:w="2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MAPE remains high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regime awareness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Political/macro shocks change market behavior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Blindsided by structural breaks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Key Diagnostic from Your Code</w:t>
            </w:r>
          </w:p>
          <w:p>
            <w:pPr>
              <w:spacing w:after="0" w:before="0"/>
            </w:pPr>
            <w:r>
              <w:rPr>
                <w:rFonts w:ascii="Arial" w:cs="Arial" w:eastAsia="Arial" w:hAnsi="Arial"/>
                <w:sz w:val="20"/>
                <w:szCs w:val="20"/>
              </w:rPr>
              <w:t xml:space="preserve">The chunk-based OOS backtest in _out_of_sample_evaluation() already reveals the core problem: if MAPE is consistently above 5–8%, it's a signal that GBM's fixed μ and σ estimation window cannot capture regime changes. The solution is an ensemble of models that each capture a different signal.</w:t>
            </w:r>
          </w:p>
        </w:tc>
      </w:tr>
    </w:tbl>
    <w:p>
      <w:r>
        <w:br w:type="page"/>
      </w:r>
    </w:p>
    <w:p>
      <w:pPr>
        <w:pStyle w:val="Heading1"/>
        <w:pBdr>
          <w:bottom w:val="single" w:color="2E86AB" w:sz="8" w:space="4"/>
        </w:pBdr>
        <w:spacing w:after="200" w:before="400"/>
      </w:pPr>
      <w:r>
        <w:rPr>
          <w:rFonts w:ascii="Arial" w:cs="Arial" w:eastAsia="Arial" w:hAnsi="Arial"/>
          <w:b/>
          <w:bCs/>
          <w:color w:val="1A3C5E"/>
          <w:sz w:val="32"/>
          <w:szCs w:val="32"/>
        </w:rPr>
        <w:t xml:space="preserve">1. Model Taxonomy Overview</w:t>
      </w:r>
    </w:p>
    <w:p>
      <w:pPr>
        <w:spacing w:after="100" w:before="80"/>
      </w:pPr>
      <w:r>
        <w:rPr>
          <w:rFonts w:ascii="Arial" w:cs="Arial" w:eastAsia="Arial" w:hAnsi="Arial"/>
          <w:sz w:val="22"/>
          <w:szCs w:val="22"/>
        </w:rPr>
        <w:t xml:space="preserve">The following 10 model families cover the full spectrum of forecasting approaches applicable to EGX stock data. They are grouped into five categories, from classical statistics to modern deep learning. For Basira, the recommended strategy is not to pick one winner, but to build a multi-model comparison engine where each model's prediction is shown side-by-side.</w:t>
      </w:r>
    </w:p>
    <w:p>
      <w:pPr>
        <w:spacing w:after="0" w:before="80"/>
      </w:pPr>
      <w:r>
        <w:t xml:space="preserve"/>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360"/>
        <w:gridCol w:w="2520"/>
        <w:gridCol w:w="1440"/>
        <w:gridCol w:w="1080"/>
        <w:gridCol w:w="900"/>
        <w:gridCol w:w="1800"/>
      </w:tblGrid>
      <w:tr>
        <w:trPr>
          <w:tblHeader/>
        </w:trPr>
        <w:tc>
          <w:tcPr>
            <w:tcW w:type="dxa" w:w="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5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 / Method</w:t>
            </w:r>
          </w:p>
        </w:tc>
        <w:tc>
          <w:tcPr>
            <w:tcW w:type="dxa" w:w="14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10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Complexity</w:t>
            </w:r>
          </w:p>
        </w:tc>
        <w:tc>
          <w:tcPr>
            <w:tcW w:type="dxa" w:w="9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EGX Fit</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Primary Signal</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ARIMA / SARIMA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Classical Stats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 autocorrelation, trend</w:t>
            </w:r>
          </w:p>
        </w:tc>
      </w:tr>
      <w:tr>
        <w:tc>
          <w:tcPr>
            <w:tcW w:type="dxa" w:w="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2</w:t>
            </w:r>
          </w:p>
        </w:tc>
        <w:tc>
          <w:tcPr>
            <w:tcW w:type="dxa" w:w="25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GARCH Family</w:t>
            </w:r>
          </w:p>
        </w:tc>
        <w:tc>
          <w:tcPr>
            <w:tcW w:type="dxa" w:w="14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Volatility Models</w:t>
            </w:r>
          </w:p>
        </w:tc>
        <w:tc>
          <w:tcPr>
            <w:tcW w:type="dxa" w:w="10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Low–Med</w:t>
            </w:r>
          </w:p>
        </w:tc>
        <w:tc>
          <w:tcPr>
            <w:tcW w:type="dxa" w:w="9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Volatility clustering</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Prophet (Meta)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Decomposition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Trend + seasonality</w:t>
            </w:r>
          </w:p>
        </w:tc>
      </w:tr>
      <w:tr>
        <w:tc>
          <w:tcPr>
            <w:tcW w:type="dxa" w:w="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4</w:t>
            </w:r>
          </w:p>
        </w:tc>
        <w:tc>
          <w:tcPr>
            <w:tcW w:type="dxa" w:w="25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Jump-Diffusion (Merton)</w:t>
            </w:r>
          </w:p>
        </w:tc>
        <w:tc>
          <w:tcPr>
            <w:tcW w:type="dxa" w:w="14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Stochastic</w:t>
            </w:r>
          </w:p>
        </w:tc>
        <w:tc>
          <w:tcPr>
            <w:tcW w:type="dxa" w:w="10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Fat tails, sudden jumps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Heston Model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Stochastic Vol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Stochastic volatility</w:t>
            </w:r>
          </w:p>
        </w:tc>
      </w:tr>
      <w:tr>
        <w:tc>
          <w:tcPr>
            <w:tcW w:type="dxa" w:w="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6</w:t>
            </w:r>
          </w:p>
        </w:tc>
        <w:tc>
          <w:tcPr>
            <w:tcW w:type="dxa" w:w="25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LSTM / GRU</w:t>
            </w:r>
          </w:p>
        </w:tc>
        <w:tc>
          <w:tcPr>
            <w:tcW w:type="dxa" w:w="14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Deep Learning</w:t>
            </w:r>
          </w:p>
        </w:tc>
        <w:tc>
          <w:tcPr>
            <w:tcW w:type="dxa" w:w="10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Medium–High</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Nonlinear sequential patterns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Transformer / TFT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Learning</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Long-range dependencies</w:t>
            </w:r>
          </w:p>
        </w:tc>
      </w:tr>
      <w:tr>
        <w:tc>
          <w:tcPr>
            <w:tcW w:type="dxa" w:w="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8</w:t>
            </w:r>
          </w:p>
        </w:tc>
        <w:tc>
          <w:tcPr>
            <w:tcW w:type="dxa" w:w="25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XGBoost / LightGBM</w:t>
            </w:r>
          </w:p>
        </w:tc>
        <w:tc>
          <w:tcPr>
            <w:tcW w:type="dxa" w:w="14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ML Ensemble</w:t>
            </w:r>
          </w:p>
        </w:tc>
        <w:tc>
          <w:tcPr>
            <w:tcW w:type="dxa" w:w="10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Feature-engineered patterns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Kalman Filter + HMM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State-Space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Regime detection</w:t>
            </w:r>
          </w:p>
        </w:tc>
      </w:tr>
      <w:tr>
        <w:tc>
          <w:tcPr>
            <w:tcW w:type="dxa" w:w="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10</w:t>
            </w:r>
          </w:p>
        </w:tc>
        <w:tc>
          <w:tcPr>
            <w:tcW w:type="dxa" w:w="25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Monte Carlo Ensemble</w:t>
            </w:r>
          </w:p>
        </w:tc>
        <w:tc>
          <w:tcPr>
            <w:tcW w:type="dxa" w:w="14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Ensemble</w:t>
            </w:r>
          </w:p>
        </w:tc>
        <w:tc>
          <w:tcPr>
            <w:tcW w:type="dxa" w:w="10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Uncertainty aggregation</w:t>
            </w:r>
          </w:p>
        </w:tc>
      </w:tr>
    </w:tbl>
    <w:p>
      <w:r>
        <w:br w:type="page"/>
      </w:r>
    </w:p>
    <w:p>
      <w:pPr>
        <w:pStyle w:val="Heading1"/>
        <w:pBdr>
          <w:bottom w:val="single" w:color="2E86AB" w:sz="8" w:space="4"/>
        </w:pBdr>
        <w:spacing w:after="200" w:before="400"/>
      </w:pPr>
      <w:r>
        <w:rPr>
          <w:rFonts w:ascii="Arial" w:cs="Arial" w:eastAsia="Arial" w:hAnsi="Arial"/>
          <w:b/>
          <w:bCs/>
          <w:color w:val="1A3C5E"/>
          <w:sz w:val="32"/>
          <w:szCs w:val="32"/>
        </w:rPr>
        <w:t xml:space="preserve">2. Detailed Model Analysis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120"/>
              <w:left w:type="dxa" w:w="180"/>
              <w:bottom w:type="dxa" w:w="120"/>
              <w:right w:type="dxa" w:w="180"/>
            </w:tcMar>
          </w:tcPr>
          <w:p>
            <w:r>
              <w:rPr>
                <w:rFonts w:ascii="Arial" w:cs="Arial" w:eastAsia="Arial" w:hAnsi="Arial"/>
                <w:b/>
                <w:bCs/>
                <w:color w:val="AACCEE"/>
                <w:sz w:val="24"/>
                <w:szCs w:val="24"/>
              </w:rPr>
              <w:t xml:space="preserve">Model 1: </w:t>
            </w:r>
            <w:r>
              <w:rPr>
                <w:rFonts w:ascii="Arial" w:cs="Arial" w:eastAsia="Arial" w:hAnsi="Arial"/>
                <w:b/>
                <w:bCs/>
                <w:color w:val="FFFFFF"/>
                <w:sz w:val="24"/>
                <w:szCs w:val="24"/>
              </w:rPr>
              <w:t xml:space="preserve">ARIMA / SARIMA</w:t>
            </w:r>
            <w:r>
              <w:rPr>
                <w:rFonts w:ascii="Arial" w:cs="Arial" w:eastAsia="Arial" w:hAnsi="Arial"/>
                <w:color w:val="AACCEE"/>
                <w:sz w:val="20"/>
                <w:szCs w:val="20"/>
              </w:rPr>
              <w:t xml:space="preserve">  [Classical Time Series]</w:t>
            </w:r>
          </w:p>
        </w:tc>
      </w:tr>
      <w:tr>
        <w:tc>
          <w:tcPr>
            <w:tcW w:type="dxa" w:w="9360"/>
            <w:tcBorders>
              <w:top w:val="none" w:color="FFFFFF" w:sz="0"/>
              <w:left w:val="none" w:color="FFFFFF" w:sz="0"/>
              <w:bottom w:val="none" w:color="FFFFFF" w:sz="0"/>
              <w:right w:val="none" w:color="FFFFFF" w:sz="0"/>
            </w:tcBorders>
            <w:shd w:fill="F4F6F8" w:val="clear"/>
            <w:tcMar>
              <w:top w:type="dxa" w:w="80"/>
              <w:left w:type="dxa" w:w="180"/>
              <w:bottom w:type="dxa" w:w="80"/>
              <w:right w:type="dxa" w:w="180"/>
            </w:tcMar>
          </w:tcPr>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1500"/>
              <w:gridCol w:w="2000"/>
            </w:tblGrid>
            <w:tr>
              <w:tc>
                <w:tcPr>
                  <w:tcW w:type="dxa" w:w="2500"/>
                  <w:tcBorders>
                    <w:top w:val="none" w:color="FFFFFF" w:sz="0"/>
                    <w:left w:val="none" w:color="FFFFFF" w:sz="0"/>
                    <w:bottom w:val="none" w:color="FFFFFF" w:sz="0"/>
                    <w:right w:val="none" w:color="FFFFFF" w:sz="0"/>
                  </w:tcBorders>
                  <w:tcMar>
                    <w:top w:type="dxa" w:w="40"/>
                    <w:left w:type="dxa" w:w="0"/>
                    <w:bottom w:type="dxa" w:w="40"/>
                    <w:right w:type="dxa" w:w="40"/>
                  </w:tcMar>
                </w:tcPr>
                <w:p>
                  <w:r>
                    <w:rPr>
                      <w:rFonts w:ascii="Arial" w:cs="Arial" w:eastAsia="Arial" w:hAnsi="Arial"/>
                      <w:b/>
                      <w:bCs/>
                      <w:sz w:val="20"/>
                      <w:szCs w:val="20"/>
                    </w:rPr>
                    <w:t xml:space="preserve">Complexity:</w:t>
                  </w:r>
                </w:p>
              </w:tc>
              <w:tc>
                <w:tcPr>
                  <w:tcW w:type="dxa" w:w="1500"/>
                  <w:tcBorders>
                    <w:top w:val="single" w:color="CCCCCC" w:sz="1"/>
                    <w:left w:val="single" w:color="CCCCCC" w:sz="1"/>
                    <w:bottom w:val="single" w:color="CCCCCC" w:sz="1"/>
                    <w:right w:val="single" w:color="CCCCCC" w:sz="1"/>
                  </w:tcBorders>
                  <w:shd w:fill="1A734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Low</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sz w:val="20"/>
                      <w:szCs w:val="20"/>
                    </w:rPr>
                    <w:t xml:space="preserve">EGX Data Fit:</w:t>
                  </w:r>
                </w:p>
              </w:tc>
              <w:tc>
                <w:tcPr>
                  <w:tcW w:type="dxa" w:w="1500"/>
                  <w:tcBorders>
                    <w:top w:val="single" w:color="CCCCCC" w:sz="1"/>
                    <w:left w:val="single" w:color="CCCCCC" w:sz="1"/>
                    <w:bottom w:val="single" w:color="CCCCCC" w:sz="1"/>
                    <w:right w:val="single" w:color="CCCCCC" w:sz="1"/>
                  </w:tcBorders>
                  <w:shd w:fill="B5591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Medium</w:t>
                  </w:r>
                </w:p>
              </w:tc>
              <w:tc>
                <w:tcPr>
                  <w:tcW w:type="dxa" w:w="2000"/>
                  <w:tcBorders>
                    <w:top w:val="none" w:color="FFFFFF" w:sz="0"/>
                    <w:left w:val="none" w:color="FFFFFF" w:sz="0"/>
                    <w:bottom w:val="none" w:color="FFFFFF" w:sz="0"/>
                    <w:right w:val="none" w:color="FFFFFF" w:sz="0"/>
                  </w:tcBorders>
                </w:tcPr>
                <w:p>
                  <w:r>
                    <w:t xml:space="preserve"/>
                  </w:r>
                </w:p>
              </w:tc>
            </w:tr>
          </w:tbl>
          <w:p/>
        </w:tc>
      </w:tr>
      <w:tr>
        <w:tc>
          <w:tcPr>
            <w:tcW w:type="dxa" w:w="9360"/>
            <w:tcBorders>
              <w:top w:val="single" w:color="CCCCCC" w:sz="1"/>
              <w:left w:val="single" w:color="CCCCCC" w:sz="1"/>
              <w:bottom w:val="single" w:color="CCCCCC" w:sz="1"/>
              <w:right w:val="single" w:color="CCCCCC" w:sz="1"/>
            </w:tcBorders>
            <w:tcMar>
              <w:top w:type="dxa" w:w="120"/>
              <w:left w:type="dxa" w:w="180"/>
              <w:bottom w:type="dxa" w:w="80"/>
              <w:right w:type="dxa" w:w="180"/>
            </w:tcMar>
          </w:tcPr>
          <w:p>
            <w:pPr>
              <w:spacing w:after="80" w:before="0"/>
            </w:pPr>
            <w:r>
              <w:rPr>
                <w:rFonts w:ascii="Arial" w:cs="Arial" w:eastAsia="Arial" w:hAnsi="Arial"/>
                <w:b/>
                <w:bCs/>
                <w:color w:val="1A3C5E"/>
                <w:sz w:val="20"/>
                <w:szCs w:val="20"/>
              </w:rPr>
              <w:t xml:space="preserve">Overview</w:t>
            </w:r>
          </w:p>
          <w:p>
            <w:pPr>
              <w:spacing w:after="80" w:before="0"/>
            </w:pPr>
            <w:r>
              <w:rPr>
                <w:rFonts w:ascii="Arial" w:cs="Arial" w:eastAsia="Arial" w:hAnsi="Arial"/>
                <w:sz w:val="20"/>
                <w:szCs w:val="20"/>
              </w:rPr>
              <w:t xml:space="preserve">AutoRegressive Integrated Moving Average (ARIMA) is the workhorse of classical time series forecasting. It models linear dependencies in a price or return series using three components: p (autoregressive lags), d (differencing for stationarity), and q (moving average of errors). SARIMA adds seasonal components, useful if EGX stocks show weekly patterns from trading session rhythms.</w:t>
            </w:r>
          </w:p>
          <w:p>
            <w:pPr>
              <w:spacing w:after="60" w:before="80"/>
            </w:pPr>
            <w:r>
              <w:rPr>
                <w:rFonts w:ascii="Arial" w:cs="Arial" w:eastAsia="Arial" w:hAnsi="Arial"/>
                <w:b/>
                <w:bCs/>
                <w:color w:val="1A7340"/>
                <w:sz w:val="20"/>
                <w:szCs w:val="20"/>
              </w:rPr>
              <w:t xml:space="preserve">Strengths</w:t>
            </w:r>
          </w:p>
          <w:p>
            <w:pPr>
              <w:pStyle w:val="ListParagraph"/>
              <w:numPr>
                <w:ilvl w:val="0"/>
                <w:numId w:val="2"/>
              </w:numPr>
              <w:spacing w:after="20" w:before="20"/>
            </w:pPr>
            <w:r>
              <w:rPr>
                <w:rFonts w:ascii="Arial" w:cs="Arial" w:eastAsia="Arial" w:hAnsi="Arial"/>
                <w:sz w:val="20"/>
                <w:szCs w:val="20"/>
              </w:rPr>
              <w:t xml:space="preserve">Well-understood, interpretable, fast to train</w:t>
            </w:r>
          </w:p>
          <w:p>
            <w:pPr>
              <w:pStyle w:val="ListParagraph"/>
              <w:numPr>
                <w:ilvl w:val="0"/>
                <w:numId w:val="2"/>
              </w:numPr>
              <w:spacing w:after="20" w:before="20"/>
            </w:pPr>
            <w:r>
              <w:rPr>
                <w:rFonts w:ascii="Arial" w:cs="Arial" w:eastAsia="Arial" w:hAnsi="Arial"/>
                <w:sz w:val="20"/>
                <w:szCs w:val="20"/>
              </w:rPr>
              <w:t xml:space="preserve">Works well on short-horizon forecasts (1–5 days)</w:t>
            </w:r>
          </w:p>
          <w:p>
            <w:pPr>
              <w:pStyle w:val="ListParagraph"/>
              <w:numPr>
                <w:ilvl w:val="0"/>
                <w:numId w:val="2"/>
              </w:numPr>
              <w:spacing w:after="20" w:before="20"/>
            </w:pPr>
            <w:r>
              <w:rPr>
                <w:rFonts w:ascii="Arial" w:cs="Arial" w:eastAsia="Arial" w:hAnsi="Arial"/>
                <w:sz w:val="20"/>
                <w:szCs w:val="20"/>
              </w:rPr>
              <w:t xml:space="preserve">Established statistical testing (ADF, Ljung-Box) to validate assumptions</w:t>
            </w:r>
          </w:p>
          <w:p>
            <w:pPr>
              <w:pStyle w:val="ListParagraph"/>
              <w:numPr>
                <w:ilvl w:val="0"/>
                <w:numId w:val="2"/>
              </w:numPr>
              <w:spacing w:after="20" w:before="20"/>
            </w:pPr>
            <w:r>
              <w:rPr>
                <w:rFonts w:ascii="Arial" w:cs="Arial" w:eastAsia="Arial" w:hAnsi="Arial"/>
                <w:sz w:val="20"/>
                <w:szCs w:val="20"/>
              </w:rPr>
              <w:t xml:space="preserve">Auto-ARIMA libraries (pmdarima) eliminate manual p,d,q tuning</w:t>
            </w:r>
          </w:p>
          <w:p>
            <w:pPr>
              <w:pStyle w:val="ListParagraph"/>
              <w:numPr>
                <w:ilvl w:val="0"/>
                <w:numId w:val="2"/>
              </w:numPr>
              <w:spacing w:after="20" w:before="20"/>
            </w:pPr>
            <w:r>
              <w:rPr>
                <w:rFonts w:ascii="Arial" w:cs="Arial" w:eastAsia="Arial" w:hAnsi="Arial"/>
                <w:sz w:val="20"/>
                <w:szCs w:val="20"/>
              </w:rPr>
              <w:t xml:space="preserve">Can be recalibrated daily on rolling windows — same approach as your GBM</w:t>
            </w:r>
          </w:p>
          <w:p>
            <w:pPr>
              <w:spacing w:after="60" w:before="80"/>
            </w:pPr>
            <w:r>
              <w:rPr>
                <w:rFonts w:ascii="Arial" w:cs="Arial" w:eastAsia="Arial" w:hAnsi="Arial"/>
                <w:b/>
                <w:bCs/>
                <w:color w:val="8B1A1A"/>
                <w:sz w:val="20"/>
                <w:szCs w:val="20"/>
              </w:rPr>
              <w:t xml:space="preserve">Limitations</w:t>
            </w:r>
          </w:p>
          <w:p>
            <w:pPr>
              <w:pStyle w:val="ListParagraph"/>
              <w:numPr>
                <w:ilvl w:val="0"/>
                <w:numId w:val="2"/>
              </w:numPr>
              <w:spacing w:after="20" w:before="20"/>
            </w:pPr>
            <w:r>
              <w:rPr>
                <w:rFonts w:ascii="Arial" w:cs="Arial" w:eastAsia="Arial" w:hAnsi="Arial"/>
                <w:sz w:val="20"/>
                <w:szCs w:val="20"/>
              </w:rPr>
              <w:t xml:space="preserve">Assumes linearity — cannot capture complex market dynamics</w:t>
            </w:r>
          </w:p>
          <w:p>
            <w:pPr>
              <w:pStyle w:val="ListParagraph"/>
              <w:numPr>
                <w:ilvl w:val="0"/>
                <w:numId w:val="2"/>
              </w:numPr>
              <w:spacing w:after="20" w:before="20"/>
            </w:pPr>
            <w:r>
              <w:rPr>
                <w:rFonts w:ascii="Arial" w:cs="Arial" w:eastAsia="Arial" w:hAnsi="Arial"/>
                <w:sz w:val="20"/>
                <w:szCs w:val="20"/>
              </w:rPr>
              <w:t xml:space="preserve">Poor on non-stationary data with structural breaks (very common on EGX)</w:t>
            </w:r>
          </w:p>
          <w:p>
            <w:pPr>
              <w:pStyle w:val="ListParagraph"/>
              <w:numPr>
                <w:ilvl w:val="0"/>
                <w:numId w:val="2"/>
              </w:numPr>
              <w:spacing w:after="20" w:before="20"/>
            </w:pPr>
            <w:r>
              <w:rPr>
                <w:rFonts w:ascii="Arial" w:cs="Arial" w:eastAsia="Arial" w:hAnsi="Arial"/>
                <w:sz w:val="20"/>
                <w:szCs w:val="20"/>
              </w:rPr>
              <w:t xml:space="preserve">Volatility is assumed constant (ARIMA on prices, not returns, inflates errors)</w:t>
            </w:r>
          </w:p>
          <w:p>
            <w:pPr>
              <w:pStyle w:val="ListParagraph"/>
              <w:numPr>
                <w:ilvl w:val="0"/>
                <w:numId w:val="2"/>
              </w:numPr>
              <w:spacing w:after="20" w:before="20"/>
            </w:pPr>
            <w:r>
              <w:rPr>
                <w:rFonts w:ascii="Arial" w:cs="Arial" w:eastAsia="Arial" w:hAnsi="Arial"/>
                <w:sz w:val="20"/>
                <w:szCs w:val="20"/>
              </w:rPr>
              <w:t xml:space="preserve">Does not generalize well beyond 5–7 trading days</w:t>
            </w:r>
          </w:p>
          <w:p>
            <w:pPr>
              <w:pStyle w:val="ListParagraph"/>
              <w:numPr>
                <w:ilvl w:val="0"/>
                <w:numId w:val="2"/>
              </w:numPr>
              <w:spacing w:after="20" w:before="20"/>
            </w:pPr>
            <w:r>
              <w:rPr>
                <w:rFonts w:ascii="Arial" w:cs="Arial" w:eastAsia="Arial" w:hAnsi="Arial"/>
                <w:sz w:val="20"/>
                <w:szCs w:val="20"/>
              </w:rPr>
              <w:t xml:space="preserve">Sensitive to outliers from news-driven spikes</w:t>
            </w:r>
          </w:p>
          <w:p>
            <w:pPr>
              <w:spacing w:after="40" w:before="80"/>
            </w:pPr>
            <w:r>
              <w:rPr>
                <w:rFonts w:ascii="Arial" w:cs="Arial" w:eastAsia="Arial" w:hAnsi="Arial"/>
                <w:b/>
                <w:bCs/>
                <w:color w:val="2E86AB"/>
                <w:sz w:val="20"/>
                <w:szCs w:val="20"/>
              </w:rPr>
              <w:t xml:space="preserve">Best Used For: </w:t>
            </w:r>
            <w:r>
              <w:rPr>
                <w:rFonts w:ascii="Arial" w:cs="Arial" w:eastAsia="Arial" w:hAnsi="Arial"/>
                <w:sz w:val="20"/>
                <w:szCs w:val="20"/>
              </w:rPr>
              <w:t xml:space="preserve">Short-horizon mean-reversion detection; baseline benchmark for all other models. Always include ARIMA as the 'Model 1' floor that others must beat.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120"/>
              <w:left w:type="dxa" w:w="180"/>
              <w:bottom w:type="dxa" w:w="120"/>
              <w:right w:type="dxa" w:w="180"/>
            </w:tcMar>
          </w:tcPr>
          <w:p>
            <w:r>
              <w:rPr>
                <w:rFonts w:ascii="Arial" w:cs="Arial" w:eastAsia="Arial" w:hAnsi="Arial"/>
                <w:b/>
                <w:bCs/>
                <w:color w:val="AACCEE"/>
                <w:sz w:val="24"/>
                <w:szCs w:val="24"/>
              </w:rPr>
              <w:t xml:space="preserve">Model 2: </w:t>
            </w:r>
            <w:r>
              <w:rPr>
                <w:rFonts w:ascii="Arial" w:cs="Arial" w:eastAsia="Arial" w:hAnsi="Arial"/>
                <w:b/>
                <w:bCs/>
                <w:color w:val="FFFFFF"/>
                <w:sz w:val="24"/>
                <w:szCs w:val="24"/>
              </w:rPr>
              <w:t xml:space="preserve">GARCH Family (GARCH, EGARCH, GJR-GARCH)</w:t>
            </w:r>
            <w:r>
              <w:rPr>
                <w:rFonts w:ascii="Arial" w:cs="Arial" w:eastAsia="Arial" w:hAnsi="Arial"/>
                <w:color w:val="AACCEE"/>
                <w:sz w:val="20"/>
                <w:szCs w:val="20"/>
              </w:rPr>
              <w:t xml:space="preserve">  [Volatility Modeling]</w:t>
            </w:r>
          </w:p>
        </w:tc>
      </w:tr>
      <w:tr>
        <w:tc>
          <w:tcPr>
            <w:tcW w:type="dxa" w:w="9360"/>
            <w:tcBorders>
              <w:top w:val="none" w:color="FFFFFF" w:sz="0"/>
              <w:left w:val="none" w:color="FFFFFF" w:sz="0"/>
              <w:bottom w:val="none" w:color="FFFFFF" w:sz="0"/>
              <w:right w:val="none" w:color="FFFFFF" w:sz="0"/>
            </w:tcBorders>
            <w:shd w:fill="F4F6F8" w:val="clear"/>
            <w:tcMar>
              <w:top w:type="dxa" w:w="80"/>
              <w:left w:type="dxa" w:w="180"/>
              <w:bottom w:type="dxa" w:w="80"/>
              <w:right w:type="dxa" w:w="180"/>
            </w:tcMar>
          </w:tcPr>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1500"/>
              <w:gridCol w:w="2000"/>
            </w:tblGrid>
            <w:tr>
              <w:tc>
                <w:tcPr>
                  <w:tcW w:type="dxa" w:w="2500"/>
                  <w:tcBorders>
                    <w:top w:val="none" w:color="FFFFFF" w:sz="0"/>
                    <w:left w:val="none" w:color="FFFFFF" w:sz="0"/>
                    <w:bottom w:val="none" w:color="FFFFFF" w:sz="0"/>
                    <w:right w:val="none" w:color="FFFFFF" w:sz="0"/>
                  </w:tcBorders>
                  <w:tcMar>
                    <w:top w:type="dxa" w:w="40"/>
                    <w:left w:type="dxa" w:w="0"/>
                    <w:bottom w:type="dxa" w:w="40"/>
                    <w:right w:type="dxa" w:w="40"/>
                  </w:tcMar>
                </w:tcPr>
                <w:p>
                  <w:r>
                    <w:rPr>
                      <w:rFonts w:ascii="Arial" w:cs="Arial" w:eastAsia="Arial" w:hAnsi="Arial"/>
                      <w:b/>
                      <w:bCs/>
                      <w:sz w:val="20"/>
                      <w:szCs w:val="20"/>
                    </w:rPr>
                    <w:t xml:space="preserve">Complexity:</w:t>
                  </w:r>
                </w:p>
              </w:tc>
              <w:tc>
                <w:tcPr>
                  <w:tcW w:type="dxa" w:w="1500"/>
                  <w:tcBorders>
                    <w:top w:val="single" w:color="CCCCCC" w:sz="1"/>
                    <w:left w:val="single" w:color="CCCCCC" w:sz="1"/>
                    <w:bottom w:val="single" w:color="CCCCCC" w:sz="1"/>
                    <w:right w:val="single" w:color="CCCCCC" w:sz="1"/>
                  </w:tcBorders>
                  <w:shd w:fill="8B1A1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Low–Medium</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sz w:val="20"/>
                      <w:szCs w:val="20"/>
                    </w:rPr>
                    <w:t xml:space="preserve">EGX Data Fit:</w:t>
                  </w:r>
                </w:p>
              </w:tc>
              <w:tc>
                <w:tcPr>
                  <w:tcW w:type="dxa" w:w="1500"/>
                  <w:tcBorders>
                    <w:top w:val="single" w:color="CCCCCC" w:sz="1"/>
                    <w:left w:val="single" w:color="CCCCCC" w:sz="1"/>
                    <w:bottom w:val="single" w:color="CCCCCC" w:sz="1"/>
                    <w:right w:val="single" w:color="CCCCCC" w:sz="1"/>
                  </w:tcBorders>
                  <w:shd w:fill="1A734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High</w:t>
                  </w:r>
                </w:p>
              </w:tc>
              <w:tc>
                <w:tcPr>
                  <w:tcW w:type="dxa" w:w="2000"/>
                  <w:tcBorders>
                    <w:top w:val="none" w:color="FFFFFF" w:sz="0"/>
                    <w:left w:val="none" w:color="FFFFFF" w:sz="0"/>
                    <w:bottom w:val="none" w:color="FFFFFF" w:sz="0"/>
                    <w:right w:val="none" w:color="FFFFFF" w:sz="0"/>
                  </w:tcBorders>
                </w:tcPr>
                <w:p>
                  <w:r>
                    <w:t xml:space="preserve"/>
                  </w:r>
                </w:p>
              </w:tc>
            </w:tr>
          </w:tbl>
          <w:p/>
        </w:tc>
      </w:tr>
      <w:tr>
        <w:tc>
          <w:tcPr>
            <w:tcW w:type="dxa" w:w="9360"/>
            <w:tcBorders>
              <w:top w:val="single" w:color="CCCCCC" w:sz="1"/>
              <w:left w:val="single" w:color="CCCCCC" w:sz="1"/>
              <w:bottom w:val="single" w:color="CCCCCC" w:sz="1"/>
              <w:right w:val="single" w:color="CCCCCC" w:sz="1"/>
            </w:tcBorders>
            <w:tcMar>
              <w:top w:type="dxa" w:w="120"/>
              <w:left w:type="dxa" w:w="180"/>
              <w:bottom w:type="dxa" w:w="80"/>
              <w:right w:type="dxa" w:w="180"/>
            </w:tcMar>
          </w:tcPr>
          <w:p>
            <w:pPr>
              <w:spacing w:after="80" w:before="0"/>
            </w:pPr>
            <w:r>
              <w:rPr>
                <w:rFonts w:ascii="Arial" w:cs="Arial" w:eastAsia="Arial" w:hAnsi="Arial"/>
                <w:b/>
                <w:bCs/>
                <w:color w:val="1A3C5E"/>
                <w:sz w:val="20"/>
                <w:szCs w:val="20"/>
              </w:rPr>
              <w:t xml:space="preserve">Overview</w:t>
            </w:r>
          </w:p>
          <w:p>
            <w:pPr>
              <w:spacing w:after="80" w:before="0"/>
            </w:pPr>
            <w:r>
              <w:rPr>
                <w:rFonts w:ascii="Arial" w:cs="Arial" w:eastAsia="Arial" w:hAnsi="Arial"/>
                <w:sz w:val="20"/>
                <w:szCs w:val="20"/>
              </w:rPr>
              <w:t xml:space="preserve">Generalized Autoregressive Conditional Heteroskedasticity (GARCH) models volatility directly, not price. A GARCH(1,1) says today's variance is a function of yesterday's variance and yesterday's squared return shock. This is critical for EGX where news events cause volatility clusters. EGARCH handles the leverage effect (bad news → more volatility than good news). GJR-GARCH is the pragmatic middle ground.</w:t>
            </w:r>
          </w:p>
          <w:p>
            <w:pPr>
              <w:spacing w:after="60" w:before="80"/>
            </w:pPr>
            <w:r>
              <w:rPr>
                <w:rFonts w:ascii="Arial" w:cs="Arial" w:eastAsia="Arial" w:hAnsi="Arial"/>
                <w:b/>
                <w:bCs/>
                <w:color w:val="1A7340"/>
                <w:sz w:val="20"/>
                <w:szCs w:val="20"/>
              </w:rPr>
              <w:t xml:space="preserve">Strengths</w:t>
            </w:r>
          </w:p>
          <w:p>
            <w:pPr>
              <w:pStyle w:val="ListParagraph"/>
              <w:numPr>
                <w:ilvl w:val="0"/>
                <w:numId w:val="2"/>
              </w:numPr>
              <w:spacing w:after="20" w:before="20"/>
            </w:pPr>
            <w:r>
              <w:rPr>
                <w:rFonts w:ascii="Arial" w:cs="Arial" w:eastAsia="Arial" w:hAnsi="Arial"/>
                <w:sz w:val="20"/>
                <w:szCs w:val="20"/>
              </w:rPr>
              <w:t xml:space="preserve">Directly models time-varying volatility — the most critical missing piece in your GBM</w:t>
            </w:r>
          </w:p>
          <w:p>
            <w:pPr>
              <w:pStyle w:val="ListParagraph"/>
              <w:numPr>
                <w:ilvl w:val="0"/>
                <w:numId w:val="2"/>
              </w:numPr>
              <w:spacing w:after="20" w:before="20"/>
            </w:pPr>
            <w:r>
              <w:rPr>
                <w:rFonts w:ascii="Arial" w:cs="Arial" w:eastAsia="Arial" w:hAnsi="Arial"/>
                <w:sz w:val="20"/>
                <w:szCs w:val="20"/>
              </w:rPr>
              <w:t xml:space="preserve">GARCH + ARIMA mean equation = complete return distribution model</w:t>
            </w:r>
          </w:p>
          <w:p>
            <w:pPr>
              <w:pStyle w:val="ListParagraph"/>
              <w:numPr>
                <w:ilvl w:val="0"/>
                <w:numId w:val="2"/>
              </w:numPr>
              <w:spacing w:after="20" w:before="20"/>
            </w:pPr>
            <w:r>
              <w:rPr>
                <w:rFonts w:ascii="Arial" w:cs="Arial" w:eastAsia="Arial" w:hAnsi="Arial"/>
                <w:sz w:val="20"/>
                <w:szCs w:val="20"/>
              </w:rPr>
              <w:t xml:space="preserve">Excellent for risk metrics: VaR, CVaR, confidence intervals that actually shrink and widen dynamically</w:t>
            </w:r>
          </w:p>
          <w:p>
            <w:pPr>
              <w:pStyle w:val="ListParagraph"/>
              <w:numPr>
                <w:ilvl w:val="0"/>
                <w:numId w:val="2"/>
              </w:numPr>
              <w:spacing w:after="20" w:before="20"/>
            </w:pPr>
            <w:r>
              <w:rPr>
                <w:rFonts w:ascii="Arial" w:cs="Arial" w:eastAsia="Arial" w:hAnsi="Arial"/>
                <w:sz w:val="20"/>
                <w:szCs w:val="20"/>
              </w:rPr>
              <w:t xml:space="preserve">arch library in Python is mature, fast, and well-documented</w:t>
            </w:r>
          </w:p>
          <w:p>
            <w:pPr>
              <w:pStyle w:val="ListParagraph"/>
              <w:numPr>
                <w:ilvl w:val="0"/>
                <w:numId w:val="2"/>
              </w:numPr>
              <w:spacing w:after="20" w:before="20"/>
            </w:pPr>
            <w:r>
              <w:rPr>
                <w:rFonts w:ascii="Arial" w:cs="Arial" w:eastAsia="Arial" w:hAnsi="Arial"/>
                <w:sz w:val="20"/>
                <w:szCs w:val="20"/>
              </w:rPr>
              <w:t xml:space="preserve">High EGX fit: thin market liquidity causes pronounced volatility clustering</w:t>
            </w:r>
          </w:p>
          <w:p>
            <w:pPr>
              <w:spacing w:after="60" w:before="80"/>
            </w:pPr>
            <w:r>
              <w:rPr>
                <w:rFonts w:ascii="Arial" w:cs="Arial" w:eastAsia="Arial" w:hAnsi="Arial"/>
                <w:b/>
                <w:bCs/>
                <w:color w:val="8B1A1A"/>
                <w:sz w:val="20"/>
                <w:szCs w:val="20"/>
              </w:rPr>
              <w:t xml:space="preserve">Limitations</w:t>
            </w:r>
          </w:p>
          <w:p>
            <w:pPr>
              <w:pStyle w:val="ListParagraph"/>
              <w:numPr>
                <w:ilvl w:val="0"/>
                <w:numId w:val="2"/>
              </w:numPr>
              <w:spacing w:after="20" w:before="20"/>
            </w:pPr>
            <w:r>
              <w:rPr>
                <w:rFonts w:ascii="Arial" w:cs="Arial" w:eastAsia="Arial" w:hAnsi="Arial"/>
                <w:sz w:val="20"/>
                <w:szCs w:val="20"/>
              </w:rPr>
              <w:t xml:space="preserve">Models volatility, not direction — needs to be paired with a mean equation for price forecasts</w:t>
            </w:r>
          </w:p>
          <w:p>
            <w:pPr>
              <w:pStyle w:val="ListParagraph"/>
              <w:numPr>
                <w:ilvl w:val="0"/>
                <w:numId w:val="2"/>
              </w:numPr>
              <w:spacing w:after="20" w:before="20"/>
            </w:pPr>
            <w:r>
              <w:rPr>
                <w:rFonts w:ascii="Arial" w:cs="Arial" w:eastAsia="Arial" w:hAnsi="Arial"/>
                <w:sz w:val="20"/>
                <w:szCs w:val="20"/>
              </w:rPr>
              <w:t xml:space="preserve">Assumes symmetric/asymmetric Gaussian shocks — fat tails require t-distribution or GED innovations</w:t>
            </w:r>
          </w:p>
          <w:p>
            <w:pPr>
              <w:pStyle w:val="ListParagraph"/>
              <w:numPr>
                <w:ilvl w:val="0"/>
                <w:numId w:val="2"/>
              </w:numPr>
              <w:spacing w:after="20" w:before="20"/>
            </w:pPr>
            <w:r>
              <w:rPr>
                <w:rFonts w:ascii="Arial" w:cs="Arial" w:eastAsia="Arial" w:hAnsi="Arial"/>
                <w:sz w:val="20"/>
                <w:szCs w:val="20"/>
              </w:rPr>
              <w:t xml:space="preserve">Short memory: GARCH(1,1) forgets regime changes after a few weeks</w:t>
            </w:r>
          </w:p>
          <w:p>
            <w:pPr>
              <w:pStyle w:val="ListParagraph"/>
              <w:numPr>
                <w:ilvl w:val="0"/>
                <w:numId w:val="2"/>
              </w:numPr>
              <w:spacing w:after="20" w:before="20"/>
            </w:pPr>
            <w:r>
              <w:rPr>
                <w:rFonts w:ascii="Arial" w:cs="Arial" w:eastAsia="Arial" w:hAnsi="Arial"/>
                <w:sz w:val="20"/>
                <w:szCs w:val="20"/>
              </w:rPr>
              <w:t xml:space="preserve">Requires careful distributional assumption testing</w:t>
            </w:r>
          </w:p>
          <w:p>
            <w:pPr>
              <w:spacing w:after="40" w:before="80"/>
            </w:pPr>
            <w:r>
              <w:rPr>
                <w:rFonts w:ascii="Arial" w:cs="Arial" w:eastAsia="Arial" w:hAnsi="Arial"/>
                <w:b/>
                <w:bCs/>
                <w:color w:val="2E86AB"/>
                <w:sz w:val="20"/>
                <w:szCs w:val="20"/>
              </w:rPr>
              <w:t xml:space="preserve">Best Used For: </w:t>
            </w:r>
            <w:r>
              <w:rPr>
                <w:rFonts w:ascii="Arial" w:cs="Arial" w:eastAsia="Arial" w:hAnsi="Arial"/>
                <w:sz w:val="20"/>
                <w:szCs w:val="20"/>
              </w:rPr>
              <w:t xml:space="preserve">Dynamic volatility-adjusted prediction intervals on Basira. Replace GBM's fixed σ with a GARCH-estimated σ_t. Show users 'Volatility Regime: HIGH / NORMAL / LOW' based on GARCH output.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120"/>
              <w:left w:type="dxa" w:w="180"/>
              <w:bottom w:type="dxa" w:w="120"/>
              <w:right w:type="dxa" w:w="180"/>
            </w:tcMar>
          </w:tcPr>
          <w:p>
            <w:r>
              <w:rPr>
                <w:rFonts w:ascii="Arial" w:cs="Arial" w:eastAsia="Arial" w:hAnsi="Arial"/>
                <w:b/>
                <w:bCs/>
                <w:color w:val="AACCEE"/>
                <w:sz w:val="24"/>
                <w:szCs w:val="24"/>
              </w:rPr>
              <w:t xml:space="preserve">Model 3: </w:t>
            </w:r>
            <w:r>
              <w:rPr>
                <w:rFonts w:ascii="Arial" w:cs="Arial" w:eastAsia="Arial" w:hAnsi="Arial"/>
                <w:b/>
                <w:bCs/>
                <w:color w:val="FFFFFF"/>
                <w:sz w:val="24"/>
                <w:szCs w:val="24"/>
              </w:rPr>
              <w:t xml:space="preserve">Prophet (Meta / Facebook)</w:t>
            </w:r>
            <w:r>
              <w:rPr>
                <w:rFonts w:ascii="Arial" w:cs="Arial" w:eastAsia="Arial" w:hAnsi="Arial"/>
                <w:color w:val="AACCEE"/>
                <w:sz w:val="20"/>
                <w:szCs w:val="20"/>
              </w:rPr>
              <w:t xml:space="preserve">  [Decomposition / Trend]</w:t>
            </w:r>
          </w:p>
        </w:tc>
      </w:tr>
      <w:tr>
        <w:tc>
          <w:tcPr>
            <w:tcW w:type="dxa" w:w="9360"/>
            <w:tcBorders>
              <w:top w:val="none" w:color="FFFFFF" w:sz="0"/>
              <w:left w:val="none" w:color="FFFFFF" w:sz="0"/>
              <w:bottom w:val="none" w:color="FFFFFF" w:sz="0"/>
              <w:right w:val="none" w:color="FFFFFF" w:sz="0"/>
            </w:tcBorders>
            <w:shd w:fill="F4F6F8" w:val="clear"/>
            <w:tcMar>
              <w:top w:type="dxa" w:w="80"/>
              <w:left w:type="dxa" w:w="180"/>
              <w:bottom w:type="dxa" w:w="80"/>
              <w:right w:type="dxa" w:w="180"/>
            </w:tcMar>
          </w:tcPr>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1500"/>
              <w:gridCol w:w="2000"/>
            </w:tblGrid>
            <w:tr>
              <w:tc>
                <w:tcPr>
                  <w:tcW w:type="dxa" w:w="2500"/>
                  <w:tcBorders>
                    <w:top w:val="none" w:color="FFFFFF" w:sz="0"/>
                    <w:left w:val="none" w:color="FFFFFF" w:sz="0"/>
                    <w:bottom w:val="none" w:color="FFFFFF" w:sz="0"/>
                    <w:right w:val="none" w:color="FFFFFF" w:sz="0"/>
                  </w:tcBorders>
                  <w:tcMar>
                    <w:top w:type="dxa" w:w="40"/>
                    <w:left w:type="dxa" w:w="0"/>
                    <w:bottom w:type="dxa" w:w="40"/>
                    <w:right w:type="dxa" w:w="40"/>
                  </w:tcMar>
                </w:tcPr>
                <w:p>
                  <w:r>
                    <w:rPr>
                      <w:rFonts w:ascii="Arial" w:cs="Arial" w:eastAsia="Arial" w:hAnsi="Arial"/>
                      <w:b/>
                      <w:bCs/>
                      <w:sz w:val="20"/>
                      <w:szCs w:val="20"/>
                    </w:rPr>
                    <w:t xml:space="preserve">Complexity:</w:t>
                  </w:r>
                </w:p>
              </w:tc>
              <w:tc>
                <w:tcPr>
                  <w:tcW w:type="dxa" w:w="1500"/>
                  <w:tcBorders>
                    <w:top w:val="single" w:color="CCCCCC" w:sz="1"/>
                    <w:left w:val="single" w:color="CCCCCC" w:sz="1"/>
                    <w:bottom w:val="single" w:color="CCCCCC" w:sz="1"/>
                    <w:right w:val="single" w:color="CCCCCC" w:sz="1"/>
                  </w:tcBorders>
                  <w:shd w:fill="1A734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Low</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sz w:val="20"/>
                      <w:szCs w:val="20"/>
                    </w:rPr>
                    <w:t xml:space="preserve">EGX Data Fit:</w:t>
                  </w:r>
                </w:p>
              </w:tc>
              <w:tc>
                <w:tcPr>
                  <w:tcW w:type="dxa" w:w="1500"/>
                  <w:tcBorders>
                    <w:top w:val="single" w:color="CCCCCC" w:sz="1"/>
                    <w:left w:val="single" w:color="CCCCCC" w:sz="1"/>
                    <w:bottom w:val="single" w:color="CCCCCC" w:sz="1"/>
                    <w:right w:val="single" w:color="CCCCCC" w:sz="1"/>
                  </w:tcBorders>
                  <w:shd w:fill="B5591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Medium</w:t>
                  </w:r>
                </w:p>
              </w:tc>
              <w:tc>
                <w:tcPr>
                  <w:tcW w:type="dxa" w:w="2000"/>
                  <w:tcBorders>
                    <w:top w:val="none" w:color="FFFFFF" w:sz="0"/>
                    <w:left w:val="none" w:color="FFFFFF" w:sz="0"/>
                    <w:bottom w:val="none" w:color="FFFFFF" w:sz="0"/>
                    <w:right w:val="none" w:color="FFFFFF" w:sz="0"/>
                  </w:tcBorders>
                </w:tcPr>
                <w:p>
                  <w:r>
                    <w:t xml:space="preserve"/>
                  </w:r>
                </w:p>
              </w:tc>
            </w:tr>
          </w:tbl>
          <w:p/>
        </w:tc>
      </w:tr>
      <w:tr>
        <w:tc>
          <w:tcPr>
            <w:tcW w:type="dxa" w:w="9360"/>
            <w:tcBorders>
              <w:top w:val="single" w:color="CCCCCC" w:sz="1"/>
              <w:left w:val="single" w:color="CCCCCC" w:sz="1"/>
              <w:bottom w:val="single" w:color="CCCCCC" w:sz="1"/>
              <w:right w:val="single" w:color="CCCCCC" w:sz="1"/>
            </w:tcBorders>
            <w:tcMar>
              <w:top w:type="dxa" w:w="120"/>
              <w:left w:type="dxa" w:w="180"/>
              <w:bottom w:type="dxa" w:w="80"/>
              <w:right w:type="dxa" w:w="180"/>
            </w:tcMar>
          </w:tcPr>
          <w:p>
            <w:pPr>
              <w:spacing w:after="80" w:before="0"/>
            </w:pPr>
            <w:r>
              <w:rPr>
                <w:rFonts w:ascii="Arial" w:cs="Arial" w:eastAsia="Arial" w:hAnsi="Arial"/>
                <w:b/>
                <w:bCs/>
                <w:color w:val="1A3C5E"/>
                <w:sz w:val="20"/>
                <w:szCs w:val="20"/>
              </w:rPr>
              <w:t xml:space="preserve">Overview</w:t>
            </w:r>
          </w:p>
          <w:p>
            <w:pPr>
              <w:spacing w:after="80" w:before="0"/>
            </w:pPr>
            <w:r>
              <w:rPr>
                <w:rFonts w:ascii="Arial" w:cs="Arial" w:eastAsia="Arial" w:hAnsi="Arial"/>
                <w:sz w:val="20"/>
                <w:szCs w:val="20"/>
              </w:rPr>
              <w:t xml:space="preserve">Prophet decomposes a time series into trend, seasonality, and holiday effects using an additive or multiplicative model. It was designed for business time series with strong seasonality. For EGX stocks, the value comes from modeling Egyptian market holidays (Eid, Revolution Day, etc.), weekly trading patterns, and long-term trend bends at structural breaks.</w:t>
            </w:r>
          </w:p>
          <w:p>
            <w:pPr>
              <w:spacing w:after="60" w:before="80"/>
            </w:pPr>
            <w:r>
              <w:rPr>
                <w:rFonts w:ascii="Arial" w:cs="Arial" w:eastAsia="Arial" w:hAnsi="Arial"/>
                <w:b/>
                <w:bCs/>
                <w:color w:val="1A7340"/>
                <w:sz w:val="20"/>
                <w:szCs w:val="20"/>
              </w:rPr>
              <w:t xml:space="preserve">Strengths</w:t>
            </w:r>
          </w:p>
          <w:p>
            <w:pPr>
              <w:pStyle w:val="ListParagraph"/>
              <w:numPr>
                <w:ilvl w:val="0"/>
                <w:numId w:val="2"/>
              </w:numPr>
              <w:spacing w:after="20" w:before="20"/>
            </w:pPr>
            <w:r>
              <w:rPr>
                <w:rFonts w:ascii="Arial" w:cs="Arial" w:eastAsia="Arial" w:hAnsi="Arial"/>
                <w:sz w:val="20"/>
                <w:szCs w:val="20"/>
              </w:rPr>
              <w:t xml:space="preserve">Built-in Egyptian holiday support via custom holiday calendars</w:t>
            </w:r>
          </w:p>
          <w:p>
            <w:pPr>
              <w:pStyle w:val="ListParagraph"/>
              <w:numPr>
                <w:ilvl w:val="0"/>
                <w:numId w:val="2"/>
              </w:numPr>
              <w:spacing w:after="20" w:before="20"/>
            </w:pPr>
            <w:r>
              <w:rPr>
                <w:rFonts w:ascii="Arial" w:cs="Arial" w:eastAsia="Arial" w:hAnsi="Arial"/>
                <w:sz w:val="20"/>
                <w:szCs w:val="20"/>
              </w:rPr>
              <w:t xml:space="preserve">Handles missing data and irregular trading days gracefully</w:t>
            </w:r>
          </w:p>
          <w:p>
            <w:pPr>
              <w:pStyle w:val="ListParagraph"/>
              <w:numPr>
                <w:ilvl w:val="0"/>
                <w:numId w:val="2"/>
              </w:numPr>
              <w:spacing w:after="20" w:before="20"/>
            </w:pPr>
            <w:r>
              <w:rPr>
                <w:rFonts w:ascii="Arial" w:cs="Arial" w:eastAsia="Arial" w:hAnsi="Arial"/>
                <w:sz w:val="20"/>
                <w:szCs w:val="20"/>
              </w:rPr>
              <w:t xml:space="preserve">Change-point detection identifies structural breaks in EGX trends</w:t>
            </w:r>
          </w:p>
          <w:p>
            <w:pPr>
              <w:pStyle w:val="ListParagraph"/>
              <w:numPr>
                <w:ilvl w:val="0"/>
                <w:numId w:val="2"/>
              </w:numPr>
              <w:spacing w:after="20" w:before="20"/>
            </w:pPr>
            <w:r>
              <w:rPr>
                <w:rFonts w:ascii="Arial" w:cs="Arial" w:eastAsia="Arial" w:hAnsi="Arial"/>
                <w:sz w:val="20"/>
                <w:szCs w:val="20"/>
              </w:rPr>
              <w:t xml:space="preserve">Extremely easy to use — hours to production, not weeks</w:t>
            </w:r>
          </w:p>
          <w:p>
            <w:pPr>
              <w:pStyle w:val="ListParagraph"/>
              <w:numPr>
                <w:ilvl w:val="0"/>
                <w:numId w:val="2"/>
              </w:numPr>
              <w:spacing w:after="20" w:before="20"/>
            </w:pPr>
            <w:r>
              <w:rPr>
                <w:rFonts w:ascii="Arial" w:cs="Arial" w:eastAsia="Arial" w:hAnsi="Arial"/>
                <w:sz w:val="20"/>
                <w:szCs w:val="20"/>
              </w:rPr>
              <w:t xml:space="preserve">Produces interpretable component plots (trend vs. seasonality) — great for Basira UI</w:t>
            </w:r>
          </w:p>
          <w:p>
            <w:pPr>
              <w:spacing w:after="60" w:before="80"/>
            </w:pPr>
            <w:r>
              <w:rPr>
                <w:rFonts w:ascii="Arial" w:cs="Arial" w:eastAsia="Arial" w:hAnsi="Arial"/>
                <w:b/>
                <w:bCs/>
                <w:color w:val="8B1A1A"/>
                <w:sz w:val="20"/>
                <w:szCs w:val="20"/>
              </w:rPr>
              <w:t xml:space="preserve">Limitations</w:t>
            </w:r>
          </w:p>
          <w:p>
            <w:pPr>
              <w:pStyle w:val="ListParagraph"/>
              <w:numPr>
                <w:ilvl w:val="0"/>
                <w:numId w:val="2"/>
              </w:numPr>
              <w:spacing w:after="20" w:before="20"/>
            </w:pPr>
            <w:r>
              <w:rPr>
                <w:rFonts w:ascii="Arial" w:cs="Arial" w:eastAsia="Arial" w:hAnsi="Arial"/>
                <w:sz w:val="20"/>
                <w:szCs w:val="20"/>
              </w:rPr>
              <w:t xml:space="preserve">Not designed for financial return forecasting — assumes smoother patterns than stock prices</w:t>
            </w:r>
          </w:p>
          <w:p>
            <w:pPr>
              <w:pStyle w:val="ListParagraph"/>
              <w:numPr>
                <w:ilvl w:val="0"/>
                <w:numId w:val="2"/>
              </w:numPr>
              <w:spacing w:after="20" w:before="20"/>
            </w:pPr>
            <w:r>
              <w:rPr>
                <w:rFonts w:ascii="Arial" w:cs="Arial" w:eastAsia="Arial" w:hAnsi="Arial"/>
                <w:sz w:val="20"/>
                <w:szCs w:val="20"/>
              </w:rPr>
              <w:t xml:space="preserve">Does not model volatility clustering at all</w:t>
            </w:r>
          </w:p>
          <w:p>
            <w:pPr>
              <w:pStyle w:val="ListParagraph"/>
              <w:numPr>
                <w:ilvl w:val="0"/>
                <w:numId w:val="2"/>
              </w:numPr>
              <w:spacing w:after="20" w:before="20"/>
            </w:pPr>
            <w:r>
              <w:rPr>
                <w:rFonts w:ascii="Arial" w:cs="Arial" w:eastAsia="Arial" w:hAnsi="Arial"/>
                <w:sz w:val="20"/>
                <w:szCs w:val="20"/>
              </w:rPr>
              <w:t xml:space="preserve">Overconfident prediction intervals on noisy financial data</w:t>
            </w:r>
          </w:p>
          <w:p>
            <w:pPr>
              <w:pStyle w:val="ListParagraph"/>
              <w:numPr>
                <w:ilvl w:val="0"/>
                <w:numId w:val="2"/>
              </w:numPr>
              <w:spacing w:after="20" w:before="20"/>
            </w:pPr>
            <w:r>
              <w:rPr>
                <w:rFonts w:ascii="Arial" w:cs="Arial" w:eastAsia="Arial" w:hAnsi="Arial"/>
                <w:sz w:val="20"/>
                <w:szCs w:val="20"/>
              </w:rPr>
              <w:t xml:space="preserve">Best for weekly/monthly trend analysis, not daily price point prediction</w:t>
            </w:r>
          </w:p>
          <w:p>
            <w:pPr>
              <w:spacing w:after="40" w:before="80"/>
            </w:pPr>
            <w:r>
              <w:rPr>
                <w:rFonts w:ascii="Arial" w:cs="Arial" w:eastAsia="Arial" w:hAnsi="Arial"/>
                <w:b/>
                <w:bCs/>
                <w:color w:val="2E86AB"/>
                <w:sz w:val="20"/>
                <w:szCs w:val="20"/>
              </w:rPr>
              <w:t xml:space="preserve">Best Used For: </w:t>
            </w:r>
            <w:r>
              <w:rPr>
                <w:rFonts w:ascii="Arial" w:cs="Arial" w:eastAsia="Arial" w:hAnsi="Arial"/>
                <w:sz w:val="20"/>
                <w:szCs w:val="20"/>
              </w:rPr>
              <w:t xml:space="preserve">Trend analysis and seasonality visualization in Basira. Show users 'Long-term trend: Bullish / Bearish' and 'Seasonal effect this week: +X%'. Useful for Premium tier macro-view.</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120"/>
              <w:left w:type="dxa" w:w="180"/>
              <w:bottom w:type="dxa" w:w="120"/>
              <w:right w:type="dxa" w:w="180"/>
            </w:tcMar>
          </w:tcPr>
          <w:p>
            <w:r>
              <w:rPr>
                <w:rFonts w:ascii="Arial" w:cs="Arial" w:eastAsia="Arial" w:hAnsi="Arial"/>
                <w:b/>
                <w:bCs/>
                <w:color w:val="AACCEE"/>
                <w:sz w:val="24"/>
                <w:szCs w:val="24"/>
              </w:rPr>
              <w:t xml:space="preserve">Model 4: </w:t>
            </w:r>
            <w:r>
              <w:rPr>
                <w:rFonts w:ascii="Arial" w:cs="Arial" w:eastAsia="Arial" w:hAnsi="Arial"/>
                <w:b/>
                <w:bCs/>
                <w:color w:val="FFFFFF"/>
                <w:sz w:val="24"/>
                <w:szCs w:val="24"/>
              </w:rPr>
              <w:t xml:space="preserve">Jump-Diffusion Model (Merton 1976)</w:t>
            </w:r>
            <w:r>
              <w:rPr>
                <w:rFonts w:ascii="Arial" w:cs="Arial" w:eastAsia="Arial" w:hAnsi="Arial"/>
                <w:color w:val="AACCEE"/>
                <w:sz w:val="20"/>
                <w:szCs w:val="20"/>
              </w:rPr>
              <w:t xml:space="preserve">  [Stochastic Process]</w:t>
            </w:r>
          </w:p>
        </w:tc>
      </w:tr>
      <w:tr>
        <w:tc>
          <w:tcPr>
            <w:tcW w:type="dxa" w:w="9360"/>
            <w:tcBorders>
              <w:top w:val="none" w:color="FFFFFF" w:sz="0"/>
              <w:left w:val="none" w:color="FFFFFF" w:sz="0"/>
              <w:bottom w:val="none" w:color="FFFFFF" w:sz="0"/>
              <w:right w:val="none" w:color="FFFFFF" w:sz="0"/>
            </w:tcBorders>
            <w:shd w:fill="F4F6F8" w:val="clear"/>
            <w:tcMar>
              <w:top w:type="dxa" w:w="80"/>
              <w:left w:type="dxa" w:w="180"/>
              <w:bottom w:type="dxa" w:w="80"/>
              <w:right w:type="dxa" w:w="180"/>
            </w:tcMar>
          </w:tcPr>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1500"/>
              <w:gridCol w:w="2000"/>
            </w:tblGrid>
            <w:tr>
              <w:tc>
                <w:tcPr>
                  <w:tcW w:type="dxa" w:w="2500"/>
                  <w:tcBorders>
                    <w:top w:val="none" w:color="FFFFFF" w:sz="0"/>
                    <w:left w:val="none" w:color="FFFFFF" w:sz="0"/>
                    <w:bottom w:val="none" w:color="FFFFFF" w:sz="0"/>
                    <w:right w:val="none" w:color="FFFFFF" w:sz="0"/>
                  </w:tcBorders>
                  <w:tcMar>
                    <w:top w:type="dxa" w:w="40"/>
                    <w:left w:type="dxa" w:w="0"/>
                    <w:bottom w:type="dxa" w:w="40"/>
                    <w:right w:type="dxa" w:w="40"/>
                  </w:tcMar>
                </w:tcPr>
                <w:p>
                  <w:r>
                    <w:rPr>
                      <w:rFonts w:ascii="Arial" w:cs="Arial" w:eastAsia="Arial" w:hAnsi="Arial"/>
                      <w:b/>
                      <w:bCs/>
                      <w:sz w:val="20"/>
                      <w:szCs w:val="20"/>
                    </w:rPr>
                    <w:t xml:space="preserve">Complexity:</w:t>
                  </w:r>
                </w:p>
              </w:tc>
              <w:tc>
                <w:tcPr>
                  <w:tcW w:type="dxa" w:w="1500"/>
                  <w:tcBorders>
                    <w:top w:val="single" w:color="CCCCCC" w:sz="1"/>
                    <w:left w:val="single" w:color="CCCCCC" w:sz="1"/>
                    <w:bottom w:val="single" w:color="CCCCCC" w:sz="1"/>
                    <w:right w:val="single" w:color="CCCCCC" w:sz="1"/>
                  </w:tcBorders>
                  <w:shd w:fill="B5591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Medium</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sz w:val="20"/>
                      <w:szCs w:val="20"/>
                    </w:rPr>
                    <w:t xml:space="preserve">EGX Data Fit:</w:t>
                  </w:r>
                </w:p>
              </w:tc>
              <w:tc>
                <w:tcPr>
                  <w:tcW w:type="dxa" w:w="1500"/>
                  <w:tcBorders>
                    <w:top w:val="single" w:color="CCCCCC" w:sz="1"/>
                    <w:left w:val="single" w:color="CCCCCC" w:sz="1"/>
                    <w:bottom w:val="single" w:color="CCCCCC" w:sz="1"/>
                    <w:right w:val="single" w:color="CCCCCC" w:sz="1"/>
                  </w:tcBorders>
                  <w:shd w:fill="1A734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High</w:t>
                  </w:r>
                </w:p>
              </w:tc>
              <w:tc>
                <w:tcPr>
                  <w:tcW w:type="dxa" w:w="2000"/>
                  <w:tcBorders>
                    <w:top w:val="none" w:color="FFFFFF" w:sz="0"/>
                    <w:left w:val="none" w:color="FFFFFF" w:sz="0"/>
                    <w:bottom w:val="none" w:color="FFFFFF" w:sz="0"/>
                    <w:right w:val="none" w:color="FFFFFF" w:sz="0"/>
                  </w:tcBorders>
                </w:tcPr>
                <w:p>
                  <w:r>
                    <w:t xml:space="preserve"/>
                  </w:r>
                </w:p>
              </w:tc>
            </w:tr>
          </w:tbl>
          <w:p/>
        </w:tc>
      </w:tr>
      <w:tr>
        <w:tc>
          <w:tcPr>
            <w:tcW w:type="dxa" w:w="9360"/>
            <w:tcBorders>
              <w:top w:val="single" w:color="CCCCCC" w:sz="1"/>
              <w:left w:val="single" w:color="CCCCCC" w:sz="1"/>
              <w:bottom w:val="single" w:color="CCCCCC" w:sz="1"/>
              <w:right w:val="single" w:color="CCCCCC" w:sz="1"/>
            </w:tcBorders>
            <w:tcMar>
              <w:top w:type="dxa" w:w="120"/>
              <w:left w:type="dxa" w:w="180"/>
              <w:bottom w:type="dxa" w:w="80"/>
              <w:right w:type="dxa" w:w="180"/>
            </w:tcMar>
          </w:tcPr>
          <w:p>
            <w:pPr>
              <w:spacing w:after="80" w:before="0"/>
            </w:pPr>
            <w:r>
              <w:rPr>
                <w:rFonts w:ascii="Arial" w:cs="Arial" w:eastAsia="Arial" w:hAnsi="Arial"/>
                <w:b/>
                <w:bCs/>
                <w:color w:val="1A3C5E"/>
                <w:sz w:val="20"/>
                <w:szCs w:val="20"/>
              </w:rPr>
              <w:t xml:space="preserve">Overview</w:t>
            </w:r>
          </w:p>
          <w:p>
            <w:pPr>
              <w:spacing w:after="80" w:before="0"/>
            </w:pPr>
            <w:r>
              <w:rPr>
                <w:rFonts w:ascii="Arial" w:cs="Arial" w:eastAsia="Arial" w:hAnsi="Arial"/>
                <w:sz w:val="20"/>
                <w:szCs w:val="20"/>
              </w:rPr>
              <w:t xml:space="preserve">Merton's Jump-Diffusion extends GBM (which you already have) by adding a Poisson jump component: dS = μS dt + σS dW + J dN, where dN is a Poisson process with intensity λ (jump frequency) and J is a log-normally distributed jump size. This directly addresses the fat-tailed returns on EGX caused by political news, Central Bank of Egypt announcements, and sector-specific shocks.</w:t>
            </w:r>
          </w:p>
          <w:p>
            <w:pPr>
              <w:spacing w:after="60" w:before="80"/>
            </w:pPr>
            <w:r>
              <w:rPr>
                <w:rFonts w:ascii="Arial" w:cs="Arial" w:eastAsia="Arial" w:hAnsi="Arial"/>
                <w:b/>
                <w:bCs/>
                <w:color w:val="1A7340"/>
                <w:sz w:val="20"/>
                <w:szCs w:val="20"/>
              </w:rPr>
              <w:t xml:space="preserve">Strengths</w:t>
            </w:r>
          </w:p>
          <w:p>
            <w:pPr>
              <w:pStyle w:val="ListParagraph"/>
              <w:numPr>
                <w:ilvl w:val="0"/>
                <w:numId w:val="2"/>
              </w:numPr>
              <w:spacing w:after="20" w:before="20"/>
            </w:pPr>
            <w:r>
              <w:rPr>
                <w:rFonts w:ascii="Arial" w:cs="Arial" w:eastAsia="Arial" w:hAnsi="Arial"/>
                <w:sz w:val="20"/>
                <w:szCs w:val="20"/>
              </w:rPr>
              <w:t xml:space="preserve">Direct extension of your existing GBM codebase — minimal refactor needed</w:t>
            </w:r>
          </w:p>
          <w:p>
            <w:pPr>
              <w:pStyle w:val="ListParagraph"/>
              <w:numPr>
                <w:ilvl w:val="0"/>
                <w:numId w:val="2"/>
              </w:numPr>
              <w:spacing w:after="20" w:before="20"/>
            </w:pPr>
            <w:r>
              <w:rPr>
                <w:rFonts w:ascii="Arial" w:cs="Arial" w:eastAsia="Arial" w:hAnsi="Arial"/>
                <w:sz w:val="20"/>
                <w:szCs w:val="20"/>
              </w:rPr>
              <w:t xml:space="preserve">Captures fat tails and sudden price gaps that GBM systematically misses</w:t>
            </w:r>
          </w:p>
          <w:p>
            <w:pPr>
              <w:pStyle w:val="ListParagraph"/>
              <w:numPr>
                <w:ilvl w:val="0"/>
                <w:numId w:val="2"/>
              </w:numPr>
              <w:spacing w:after="20" w:before="20"/>
            </w:pPr>
            <w:r>
              <w:rPr>
                <w:rFonts w:ascii="Arial" w:cs="Arial" w:eastAsia="Arial" w:hAnsi="Arial"/>
                <w:sz w:val="20"/>
                <w:szCs w:val="20"/>
              </w:rPr>
              <w:t xml:space="preserve">Calibrate λ (jump intensity) and μ_J, σ_J (jump size) from EGX historical data</w:t>
            </w:r>
          </w:p>
          <w:p>
            <w:pPr>
              <w:pStyle w:val="ListParagraph"/>
              <w:numPr>
                <w:ilvl w:val="0"/>
                <w:numId w:val="2"/>
              </w:numPr>
              <w:spacing w:after="20" w:before="20"/>
            </w:pPr>
            <w:r>
              <w:rPr>
                <w:rFonts w:ascii="Arial" w:cs="Arial" w:eastAsia="Arial" w:hAnsi="Arial"/>
                <w:sz w:val="20"/>
                <w:szCs w:val="20"/>
              </w:rPr>
              <w:t xml:space="preserve">Monte Carlo simulation structure is identical to your current _future_forecast() method</w:t>
            </w:r>
          </w:p>
          <w:p>
            <w:pPr>
              <w:pStyle w:val="ListParagraph"/>
              <w:numPr>
                <w:ilvl w:val="0"/>
                <w:numId w:val="2"/>
              </w:numPr>
              <w:spacing w:after="20" w:before="20"/>
            </w:pPr>
            <w:r>
              <w:rPr>
                <w:rFonts w:ascii="Arial" w:cs="Arial" w:eastAsia="Arial" w:hAnsi="Arial"/>
                <w:sz w:val="20"/>
                <w:szCs w:val="20"/>
              </w:rPr>
              <w:t xml:space="preserve">Produces more realistic PI bounds — especially for small/mid-cap EGX stocks</w:t>
            </w:r>
          </w:p>
          <w:p>
            <w:pPr>
              <w:spacing w:after="60" w:before="80"/>
            </w:pPr>
            <w:r>
              <w:rPr>
                <w:rFonts w:ascii="Arial" w:cs="Arial" w:eastAsia="Arial" w:hAnsi="Arial"/>
                <w:b/>
                <w:bCs/>
                <w:color w:val="8B1A1A"/>
                <w:sz w:val="20"/>
                <w:szCs w:val="20"/>
              </w:rPr>
              <w:t xml:space="preserve">Limitations</w:t>
            </w:r>
          </w:p>
          <w:p>
            <w:pPr>
              <w:pStyle w:val="ListParagraph"/>
              <w:numPr>
                <w:ilvl w:val="0"/>
                <w:numId w:val="2"/>
              </w:numPr>
              <w:spacing w:after="20" w:before="20"/>
            </w:pPr>
            <w:r>
              <w:rPr>
                <w:rFonts w:ascii="Arial" w:cs="Arial" w:eastAsia="Arial" w:hAnsi="Arial"/>
                <w:sz w:val="20"/>
                <w:szCs w:val="20"/>
              </w:rPr>
              <w:t xml:space="preserve">More parameters to estimate: λ, μ_J, σ_J — need sufficient history per ticker</w:t>
            </w:r>
          </w:p>
          <w:p>
            <w:pPr>
              <w:pStyle w:val="ListParagraph"/>
              <w:numPr>
                <w:ilvl w:val="0"/>
                <w:numId w:val="2"/>
              </w:numPr>
              <w:spacing w:after="20" w:before="20"/>
            </w:pPr>
            <w:r>
              <w:rPr>
                <w:rFonts w:ascii="Arial" w:cs="Arial" w:eastAsia="Arial" w:hAnsi="Arial"/>
                <w:sz w:val="20"/>
                <w:szCs w:val="20"/>
              </w:rPr>
              <w:t xml:space="preserve">Jump parameters are unstable if calibrated on short windows (&lt; 2 years of data)</w:t>
            </w:r>
          </w:p>
          <w:p>
            <w:pPr>
              <w:pStyle w:val="ListParagraph"/>
              <w:numPr>
                <w:ilvl w:val="0"/>
                <w:numId w:val="2"/>
              </w:numPr>
              <w:spacing w:after="20" w:before="20"/>
            </w:pPr>
            <w:r>
              <w:rPr>
                <w:rFonts w:ascii="Arial" w:cs="Arial" w:eastAsia="Arial" w:hAnsi="Arial"/>
                <w:sz w:val="20"/>
                <w:szCs w:val="20"/>
              </w:rPr>
              <w:t xml:space="preserve">Computationally heavier than GBM — manageable with NumPy vectorization</w:t>
            </w:r>
          </w:p>
          <w:p>
            <w:pPr>
              <w:pStyle w:val="ListParagraph"/>
              <w:numPr>
                <w:ilvl w:val="0"/>
                <w:numId w:val="2"/>
              </w:numPr>
              <w:spacing w:after="20" w:before="20"/>
            </w:pPr>
            <w:r>
              <w:rPr>
                <w:rFonts w:ascii="Arial" w:cs="Arial" w:eastAsia="Arial" w:hAnsi="Arial"/>
                <w:sz w:val="20"/>
                <w:szCs w:val="20"/>
              </w:rPr>
              <w:t xml:space="preserve">Does not model stochastic volatility between jumps</w:t>
            </w:r>
          </w:p>
          <w:p>
            <w:pPr>
              <w:spacing w:after="40" w:before="80"/>
            </w:pPr>
            <w:r>
              <w:rPr>
                <w:rFonts w:ascii="Arial" w:cs="Arial" w:eastAsia="Arial" w:hAnsi="Arial"/>
                <w:b/>
                <w:bCs/>
                <w:color w:val="2E86AB"/>
                <w:sz w:val="20"/>
                <w:szCs w:val="20"/>
              </w:rPr>
              <w:t xml:space="preserve">Best Used For: </w:t>
            </w:r>
            <w:r>
              <w:rPr>
                <w:rFonts w:ascii="Arial" w:cs="Arial" w:eastAsia="Arial" w:hAnsi="Arial"/>
                <w:sz w:val="20"/>
                <w:szCs w:val="20"/>
              </w:rPr>
              <w:t xml:space="preserve">This is your Model 2 — the immediate next step after GBM. Show side-by-side: 'GBM Forecast (no jumps)' vs 'Jump-Diffusion Forecast' to help users see tail risk.</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120"/>
              <w:left w:type="dxa" w:w="180"/>
              <w:bottom w:type="dxa" w:w="120"/>
              <w:right w:type="dxa" w:w="180"/>
            </w:tcMar>
          </w:tcPr>
          <w:p>
            <w:r>
              <w:rPr>
                <w:rFonts w:ascii="Arial" w:cs="Arial" w:eastAsia="Arial" w:hAnsi="Arial"/>
                <w:b/>
                <w:bCs/>
                <w:color w:val="AACCEE"/>
                <w:sz w:val="24"/>
                <w:szCs w:val="24"/>
              </w:rPr>
              <w:t xml:space="preserve">Model 5: </w:t>
            </w:r>
            <w:r>
              <w:rPr>
                <w:rFonts w:ascii="Arial" w:cs="Arial" w:eastAsia="Arial" w:hAnsi="Arial"/>
                <w:b/>
                <w:bCs/>
                <w:color w:val="FFFFFF"/>
                <w:sz w:val="24"/>
                <w:szCs w:val="24"/>
              </w:rPr>
              <w:t xml:space="preserve">LSTM / GRU (Deep Learning)</w:t>
            </w:r>
            <w:r>
              <w:rPr>
                <w:rFonts w:ascii="Arial" w:cs="Arial" w:eastAsia="Arial" w:hAnsi="Arial"/>
                <w:color w:val="AACCEE"/>
                <w:sz w:val="20"/>
                <w:szCs w:val="20"/>
              </w:rPr>
              <w:t xml:space="preserve">  [Recurrent Neural Networks]</w:t>
            </w:r>
          </w:p>
        </w:tc>
      </w:tr>
      <w:tr>
        <w:tc>
          <w:tcPr>
            <w:tcW w:type="dxa" w:w="9360"/>
            <w:tcBorders>
              <w:top w:val="none" w:color="FFFFFF" w:sz="0"/>
              <w:left w:val="none" w:color="FFFFFF" w:sz="0"/>
              <w:bottom w:val="none" w:color="FFFFFF" w:sz="0"/>
              <w:right w:val="none" w:color="FFFFFF" w:sz="0"/>
            </w:tcBorders>
            <w:shd w:fill="F4F6F8" w:val="clear"/>
            <w:tcMar>
              <w:top w:type="dxa" w:w="80"/>
              <w:left w:type="dxa" w:w="180"/>
              <w:bottom w:type="dxa" w:w="80"/>
              <w:right w:type="dxa" w:w="180"/>
            </w:tcMar>
          </w:tcPr>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1500"/>
              <w:gridCol w:w="2000"/>
            </w:tblGrid>
            <w:tr>
              <w:tc>
                <w:tcPr>
                  <w:tcW w:type="dxa" w:w="2500"/>
                  <w:tcBorders>
                    <w:top w:val="none" w:color="FFFFFF" w:sz="0"/>
                    <w:left w:val="none" w:color="FFFFFF" w:sz="0"/>
                    <w:bottom w:val="none" w:color="FFFFFF" w:sz="0"/>
                    <w:right w:val="none" w:color="FFFFFF" w:sz="0"/>
                  </w:tcBorders>
                  <w:tcMar>
                    <w:top w:type="dxa" w:w="40"/>
                    <w:left w:type="dxa" w:w="0"/>
                    <w:bottom w:type="dxa" w:w="40"/>
                    <w:right w:type="dxa" w:w="40"/>
                  </w:tcMar>
                </w:tcPr>
                <w:p>
                  <w:r>
                    <w:rPr>
                      <w:rFonts w:ascii="Arial" w:cs="Arial" w:eastAsia="Arial" w:hAnsi="Arial"/>
                      <w:b/>
                      <w:bCs/>
                      <w:sz w:val="20"/>
                      <w:szCs w:val="20"/>
                    </w:rPr>
                    <w:t xml:space="preserve">Complexity:</w:t>
                  </w:r>
                </w:p>
              </w:tc>
              <w:tc>
                <w:tcPr>
                  <w:tcW w:type="dxa" w:w="1500"/>
                  <w:tcBorders>
                    <w:top w:val="single" w:color="CCCCCC" w:sz="1"/>
                    <w:left w:val="single" w:color="CCCCCC" w:sz="1"/>
                    <w:bottom w:val="single" w:color="CCCCCC" w:sz="1"/>
                    <w:right w:val="single" w:color="CCCCCC" w:sz="1"/>
                  </w:tcBorders>
                  <w:shd w:fill="8B1A1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High</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sz w:val="20"/>
                      <w:szCs w:val="20"/>
                    </w:rPr>
                    <w:t xml:space="preserve">EGX Data Fit:</w:t>
                  </w:r>
                </w:p>
              </w:tc>
              <w:tc>
                <w:tcPr>
                  <w:tcW w:type="dxa" w:w="1500"/>
                  <w:tcBorders>
                    <w:top w:val="single" w:color="CCCCCC" w:sz="1"/>
                    <w:left w:val="single" w:color="CCCCCC" w:sz="1"/>
                    <w:bottom w:val="single" w:color="CCCCCC" w:sz="1"/>
                    <w:right w:val="single" w:color="CCCCCC" w:sz="1"/>
                  </w:tcBorders>
                  <w:shd w:fill="8B1A1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Medium–High</w:t>
                  </w:r>
                </w:p>
              </w:tc>
              <w:tc>
                <w:tcPr>
                  <w:tcW w:type="dxa" w:w="2000"/>
                  <w:tcBorders>
                    <w:top w:val="none" w:color="FFFFFF" w:sz="0"/>
                    <w:left w:val="none" w:color="FFFFFF" w:sz="0"/>
                    <w:bottom w:val="none" w:color="FFFFFF" w:sz="0"/>
                    <w:right w:val="none" w:color="FFFFFF" w:sz="0"/>
                  </w:tcBorders>
                </w:tcPr>
                <w:p>
                  <w:r>
                    <w:t xml:space="preserve"/>
                  </w:r>
                </w:p>
              </w:tc>
            </w:tr>
          </w:tbl>
          <w:p/>
        </w:tc>
      </w:tr>
      <w:tr>
        <w:tc>
          <w:tcPr>
            <w:tcW w:type="dxa" w:w="9360"/>
            <w:tcBorders>
              <w:top w:val="single" w:color="CCCCCC" w:sz="1"/>
              <w:left w:val="single" w:color="CCCCCC" w:sz="1"/>
              <w:bottom w:val="single" w:color="CCCCCC" w:sz="1"/>
              <w:right w:val="single" w:color="CCCCCC" w:sz="1"/>
            </w:tcBorders>
            <w:tcMar>
              <w:top w:type="dxa" w:w="120"/>
              <w:left w:type="dxa" w:w="180"/>
              <w:bottom w:type="dxa" w:w="80"/>
              <w:right w:type="dxa" w:w="180"/>
            </w:tcMar>
          </w:tcPr>
          <w:p>
            <w:pPr>
              <w:spacing w:after="80" w:before="0"/>
            </w:pPr>
            <w:r>
              <w:rPr>
                <w:rFonts w:ascii="Arial" w:cs="Arial" w:eastAsia="Arial" w:hAnsi="Arial"/>
                <w:b/>
                <w:bCs/>
                <w:color w:val="1A3C5E"/>
                <w:sz w:val="20"/>
                <w:szCs w:val="20"/>
              </w:rPr>
              <w:t xml:space="preserve">Overview</w:t>
            </w:r>
          </w:p>
          <w:p>
            <w:pPr>
              <w:spacing w:after="80" w:before="0"/>
            </w:pPr>
            <w:r>
              <w:rPr>
                <w:rFonts w:ascii="Arial" w:cs="Arial" w:eastAsia="Arial" w:hAnsi="Arial"/>
                <w:sz w:val="20"/>
                <w:szCs w:val="20"/>
              </w:rPr>
              <w:t xml:space="preserve">Long Short-Term Memory networks are recurrent neural networks with gating mechanisms that allow them to learn long-range dependencies in sequential data. For stock forecasting, an LSTM takes a window of past returns, volumes, and technical indicators as input features and outputs a future price or return prediction. GRU is a lighter variant with similar performance.</w:t>
            </w:r>
          </w:p>
          <w:p>
            <w:pPr>
              <w:spacing w:after="60" w:before="80"/>
            </w:pPr>
            <w:r>
              <w:rPr>
                <w:rFonts w:ascii="Arial" w:cs="Arial" w:eastAsia="Arial" w:hAnsi="Arial"/>
                <w:b/>
                <w:bCs/>
                <w:color w:val="1A7340"/>
                <w:sz w:val="20"/>
                <w:szCs w:val="20"/>
              </w:rPr>
              <w:t xml:space="preserve">Strengths</w:t>
            </w:r>
          </w:p>
          <w:p>
            <w:pPr>
              <w:pStyle w:val="ListParagraph"/>
              <w:numPr>
                <w:ilvl w:val="0"/>
                <w:numId w:val="2"/>
              </w:numPr>
              <w:spacing w:after="20" w:before="20"/>
            </w:pPr>
            <w:r>
              <w:rPr>
                <w:rFonts w:ascii="Arial" w:cs="Arial" w:eastAsia="Arial" w:hAnsi="Arial"/>
                <w:sz w:val="20"/>
                <w:szCs w:val="20"/>
              </w:rPr>
              <w:t xml:space="preserve">Captures nonlinear patterns that ARIMA and GBM fundamentally cannot</w:t>
            </w:r>
          </w:p>
          <w:p>
            <w:pPr>
              <w:pStyle w:val="ListParagraph"/>
              <w:numPr>
                <w:ilvl w:val="0"/>
                <w:numId w:val="2"/>
              </w:numPr>
              <w:spacing w:after="20" w:before="20"/>
            </w:pPr>
            <w:r>
              <w:rPr>
                <w:rFonts w:ascii="Arial" w:cs="Arial" w:eastAsia="Arial" w:hAnsi="Arial"/>
                <w:sz w:val="20"/>
                <w:szCs w:val="20"/>
              </w:rPr>
              <w:t xml:space="preserve">Multi-feature input: price + volume + RSI + MACD + sector index — all in one model</w:t>
            </w:r>
          </w:p>
          <w:p>
            <w:pPr>
              <w:pStyle w:val="ListParagraph"/>
              <w:numPr>
                <w:ilvl w:val="0"/>
                <w:numId w:val="2"/>
              </w:numPr>
              <w:spacing w:after="20" w:before="20"/>
            </w:pPr>
            <w:r>
              <w:rPr>
                <w:rFonts w:ascii="Arial" w:cs="Arial" w:eastAsia="Arial" w:hAnsi="Arial"/>
                <w:sz w:val="20"/>
                <w:szCs w:val="20"/>
              </w:rPr>
              <w:t xml:space="preserve">Can learn EGX-specific patterns if trained on sufficient EGX data</w:t>
            </w:r>
          </w:p>
          <w:p>
            <w:pPr>
              <w:pStyle w:val="ListParagraph"/>
              <w:numPr>
                <w:ilvl w:val="0"/>
                <w:numId w:val="2"/>
              </w:numPr>
              <w:spacing w:after="20" w:before="20"/>
            </w:pPr>
            <w:r>
              <w:rPr>
                <w:rFonts w:ascii="Arial" w:cs="Arial" w:eastAsia="Arial" w:hAnsi="Arial"/>
                <w:sz w:val="20"/>
                <w:szCs w:val="20"/>
              </w:rPr>
              <w:t xml:space="preserve">PyTorch implementation straightforward with your existing skill set</w:t>
            </w:r>
          </w:p>
          <w:p>
            <w:pPr>
              <w:pStyle w:val="ListParagraph"/>
              <w:numPr>
                <w:ilvl w:val="0"/>
                <w:numId w:val="2"/>
              </w:numPr>
              <w:spacing w:after="20" w:before="20"/>
            </w:pPr>
            <w:r>
              <w:rPr>
                <w:rFonts w:ascii="Arial" w:cs="Arial" w:eastAsia="Arial" w:hAnsi="Arial"/>
                <w:sz w:val="20"/>
                <w:szCs w:val="20"/>
              </w:rPr>
              <w:t xml:space="preserve">Sequence-to-sequence variant can forecast full 15-day paths, not just next day</w:t>
            </w:r>
          </w:p>
          <w:p>
            <w:pPr>
              <w:spacing w:after="60" w:before="80"/>
            </w:pPr>
            <w:r>
              <w:rPr>
                <w:rFonts w:ascii="Arial" w:cs="Arial" w:eastAsia="Arial" w:hAnsi="Arial"/>
                <w:b/>
                <w:bCs/>
                <w:color w:val="8B1A1A"/>
                <w:sz w:val="20"/>
                <w:szCs w:val="20"/>
              </w:rPr>
              <w:t xml:space="preserve">Limitations</w:t>
            </w:r>
          </w:p>
          <w:p>
            <w:pPr>
              <w:pStyle w:val="ListParagraph"/>
              <w:numPr>
                <w:ilvl w:val="0"/>
                <w:numId w:val="2"/>
              </w:numPr>
              <w:spacing w:after="20" w:before="20"/>
            </w:pPr>
            <w:r>
              <w:rPr>
                <w:rFonts w:ascii="Arial" w:cs="Arial" w:eastAsia="Arial" w:hAnsi="Arial"/>
                <w:sz w:val="20"/>
                <w:szCs w:val="20"/>
              </w:rPr>
              <w:t xml:space="preserve">Data hungry — EGX tickers with short history (&lt; 3 years daily) will overfit</w:t>
            </w:r>
          </w:p>
          <w:p>
            <w:pPr>
              <w:pStyle w:val="ListParagraph"/>
              <w:numPr>
                <w:ilvl w:val="0"/>
                <w:numId w:val="2"/>
              </w:numPr>
              <w:spacing w:after="20" w:before="20"/>
            </w:pPr>
            <w:r>
              <w:rPr>
                <w:rFonts w:ascii="Arial" w:cs="Arial" w:eastAsia="Arial" w:hAnsi="Arial"/>
                <w:sz w:val="20"/>
                <w:szCs w:val="20"/>
              </w:rPr>
              <w:t xml:space="preserve">Black box: cannot explain why a prediction was made (regulatory concern for Basira)</w:t>
            </w:r>
          </w:p>
          <w:p>
            <w:pPr>
              <w:pStyle w:val="ListParagraph"/>
              <w:numPr>
                <w:ilvl w:val="0"/>
                <w:numId w:val="2"/>
              </w:numPr>
              <w:spacing w:after="20" w:before="20"/>
            </w:pPr>
            <w:r>
              <w:rPr>
                <w:rFonts w:ascii="Arial" w:cs="Arial" w:eastAsia="Arial" w:hAnsi="Arial"/>
                <w:sz w:val="20"/>
                <w:szCs w:val="20"/>
              </w:rPr>
              <w:t xml:space="preserve">Requires careful normalization, dropout, and hyperparameter tuning</w:t>
            </w:r>
          </w:p>
          <w:p>
            <w:pPr>
              <w:pStyle w:val="ListParagraph"/>
              <w:numPr>
                <w:ilvl w:val="0"/>
                <w:numId w:val="2"/>
              </w:numPr>
              <w:spacing w:after="20" w:before="20"/>
            </w:pPr>
            <w:r>
              <w:rPr>
                <w:rFonts w:ascii="Arial" w:cs="Arial" w:eastAsia="Arial" w:hAnsi="Arial"/>
                <w:sz w:val="20"/>
                <w:szCs w:val="20"/>
              </w:rPr>
              <w:t xml:space="preserve">Prone to chasing recent trends — can fail badly after regime changes</w:t>
            </w:r>
          </w:p>
          <w:p>
            <w:pPr>
              <w:pStyle w:val="ListParagraph"/>
              <w:numPr>
                <w:ilvl w:val="0"/>
                <w:numId w:val="2"/>
              </w:numPr>
              <w:spacing w:after="20" w:before="20"/>
            </w:pPr>
            <w:r>
              <w:rPr>
                <w:rFonts w:ascii="Arial" w:cs="Arial" w:eastAsia="Arial" w:hAnsi="Arial"/>
                <w:sz w:val="20"/>
                <w:szCs w:val="20"/>
              </w:rPr>
              <w:t xml:space="preserve">Significantly longer development and validation cycle vs. statistical models</w:t>
            </w:r>
          </w:p>
          <w:p>
            <w:pPr>
              <w:spacing w:after="40" w:before="80"/>
            </w:pPr>
            <w:r>
              <w:rPr>
                <w:rFonts w:ascii="Arial" w:cs="Arial" w:eastAsia="Arial" w:hAnsi="Arial"/>
                <w:b/>
                <w:bCs/>
                <w:color w:val="2E86AB"/>
                <w:sz w:val="20"/>
                <w:szCs w:val="20"/>
              </w:rPr>
              <w:t xml:space="preserve">Best Used For: </w:t>
            </w:r>
            <w:r>
              <w:rPr>
                <w:rFonts w:ascii="Arial" w:cs="Arial" w:eastAsia="Arial" w:hAnsi="Arial"/>
                <w:sz w:val="20"/>
                <w:szCs w:val="20"/>
              </w:rPr>
              <w:t xml:space="preserve">Basira Premium tier: 'AI Deep Learning Forecast' as a separate model channel. Important to show confidence range, not just point predictions, and include a disclaimer that it is pattern-based.</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120"/>
              <w:left w:type="dxa" w:w="180"/>
              <w:bottom w:type="dxa" w:w="120"/>
              <w:right w:type="dxa" w:w="180"/>
            </w:tcMar>
          </w:tcPr>
          <w:p>
            <w:r>
              <w:rPr>
                <w:rFonts w:ascii="Arial" w:cs="Arial" w:eastAsia="Arial" w:hAnsi="Arial"/>
                <w:b/>
                <w:bCs/>
                <w:color w:val="AACCEE"/>
                <w:sz w:val="24"/>
                <w:szCs w:val="24"/>
              </w:rPr>
              <w:t xml:space="preserve">Model 6: </w:t>
            </w:r>
            <w:r>
              <w:rPr>
                <w:rFonts w:ascii="Arial" w:cs="Arial" w:eastAsia="Arial" w:hAnsi="Arial"/>
                <w:b/>
                <w:bCs/>
                <w:color w:val="FFFFFF"/>
                <w:sz w:val="24"/>
                <w:szCs w:val="24"/>
              </w:rPr>
              <w:t xml:space="preserve">XGBoost / LightGBM with Technical Features</w:t>
            </w:r>
            <w:r>
              <w:rPr>
                <w:rFonts w:ascii="Arial" w:cs="Arial" w:eastAsia="Arial" w:hAnsi="Arial"/>
                <w:color w:val="AACCEE"/>
                <w:sz w:val="20"/>
                <w:szCs w:val="20"/>
              </w:rPr>
              <w:t xml:space="preserve">  [Machine Learning Ensemble]</w:t>
            </w:r>
          </w:p>
        </w:tc>
      </w:tr>
      <w:tr>
        <w:tc>
          <w:tcPr>
            <w:tcW w:type="dxa" w:w="9360"/>
            <w:tcBorders>
              <w:top w:val="none" w:color="FFFFFF" w:sz="0"/>
              <w:left w:val="none" w:color="FFFFFF" w:sz="0"/>
              <w:bottom w:val="none" w:color="FFFFFF" w:sz="0"/>
              <w:right w:val="none" w:color="FFFFFF" w:sz="0"/>
            </w:tcBorders>
            <w:shd w:fill="F4F6F8" w:val="clear"/>
            <w:tcMar>
              <w:top w:type="dxa" w:w="80"/>
              <w:left w:type="dxa" w:w="180"/>
              <w:bottom w:type="dxa" w:w="80"/>
              <w:right w:type="dxa" w:w="180"/>
            </w:tcMar>
          </w:tcPr>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1500"/>
              <w:gridCol w:w="2000"/>
            </w:tblGrid>
            <w:tr>
              <w:tc>
                <w:tcPr>
                  <w:tcW w:type="dxa" w:w="2500"/>
                  <w:tcBorders>
                    <w:top w:val="none" w:color="FFFFFF" w:sz="0"/>
                    <w:left w:val="none" w:color="FFFFFF" w:sz="0"/>
                    <w:bottom w:val="none" w:color="FFFFFF" w:sz="0"/>
                    <w:right w:val="none" w:color="FFFFFF" w:sz="0"/>
                  </w:tcBorders>
                  <w:tcMar>
                    <w:top w:type="dxa" w:w="40"/>
                    <w:left w:type="dxa" w:w="0"/>
                    <w:bottom w:type="dxa" w:w="40"/>
                    <w:right w:type="dxa" w:w="40"/>
                  </w:tcMar>
                </w:tcPr>
                <w:p>
                  <w:r>
                    <w:rPr>
                      <w:rFonts w:ascii="Arial" w:cs="Arial" w:eastAsia="Arial" w:hAnsi="Arial"/>
                      <w:b/>
                      <w:bCs/>
                      <w:sz w:val="20"/>
                      <w:szCs w:val="20"/>
                    </w:rPr>
                    <w:t xml:space="preserve">Complexity:</w:t>
                  </w:r>
                </w:p>
              </w:tc>
              <w:tc>
                <w:tcPr>
                  <w:tcW w:type="dxa" w:w="1500"/>
                  <w:tcBorders>
                    <w:top w:val="single" w:color="CCCCCC" w:sz="1"/>
                    <w:left w:val="single" w:color="CCCCCC" w:sz="1"/>
                    <w:bottom w:val="single" w:color="CCCCCC" w:sz="1"/>
                    <w:right w:val="single" w:color="CCCCCC" w:sz="1"/>
                  </w:tcBorders>
                  <w:shd w:fill="B5591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Medium</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sz w:val="20"/>
                      <w:szCs w:val="20"/>
                    </w:rPr>
                    <w:t xml:space="preserve">EGX Data Fit:</w:t>
                  </w:r>
                </w:p>
              </w:tc>
              <w:tc>
                <w:tcPr>
                  <w:tcW w:type="dxa" w:w="1500"/>
                  <w:tcBorders>
                    <w:top w:val="single" w:color="CCCCCC" w:sz="1"/>
                    <w:left w:val="single" w:color="CCCCCC" w:sz="1"/>
                    <w:bottom w:val="single" w:color="CCCCCC" w:sz="1"/>
                    <w:right w:val="single" w:color="CCCCCC" w:sz="1"/>
                  </w:tcBorders>
                  <w:shd w:fill="1A734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High</w:t>
                  </w:r>
                </w:p>
              </w:tc>
              <w:tc>
                <w:tcPr>
                  <w:tcW w:type="dxa" w:w="2000"/>
                  <w:tcBorders>
                    <w:top w:val="none" w:color="FFFFFF" w:sz="0"/>
                    <w:left w:val="none" w:color="FFFFFF" w:sz="0"/>
                    <w:bottom w:val="none" w:color="FFFFFF" w:sz="0"/>
                    <w:right w:val="none" w:color="FFFFFF" w:sz="0"/>
                  </w:tcBorders>
                </w:tcPr>
                <w:p>
                  <w:r>
                    <w:t xml:space="preserve"/>
                  </w:r>
                </w:p>
              </w:tc>
            </w:tr>
          </w:tbl>
          <w:p/>
        </w:tc>
      </w:tr>
      <w:tr>
        <w:tc>
          <w:tcPr>
            <w:tcW w:type="dxa" w:w="9360"/>
            <w:tcBorders>
              <w:top w:val="single" w:color="CCCCCC" w:sz="1"/>
              <w:left w:val="single" w:color="CCCCCC" w:sz="1"/>
              <w:bottom w:val="single" w:color="CCCCCC" w:sz="1"/>
              <w:right w:val="single" w:color="CCCCCC" w:sz="1"/>
            </w:tcBorders>
            <w:tcMar>
              <w:top w:type="dxa" w:w="120"/>
              <w:left w:type="dxa" w:w="180"/>
              <w:bottom w:type="dxa" w:w="80"/>
              <w:right w:type="dxa" w:w="180"/>
            </w:tcMar>
          </w:tcPr>
          <w:p>
            <w:pPr>
              <w:spacing w:after="80" w:before="0"/>
            </w:pPr>
            <w:r>
              <w:rPr>
                <w:rFonts w:ascii="Arial" w:cs="Arial" w:eastAsia="Arial" w:hAnsi="Arial"/>
                <w:b/>
                <w:bCs/>
                <w:color w:val="1A3C5E"/>
                <w:sz w:val="20"/>
                <w:szCs w:val="20"/>
              </w:rPr>
              <w:t xml:space="preserve">Overview</w:t>
            </w:r>
          </w:p>
          <w:p>
            <w:pPr>
              <w:spacing w:after="80" w:before="0"/>
            </w:pPr>
            <w:r>
              <w:rPr>
                <w:rFonts w:ascii="Arial" w:cs="Arial" w:eastAsia="Arial" w:hAnsi="Arial"/>
                <w:sz w:val="20"/>
                <w:szCs w:val="20"/>
              </w:rPr>
              <w:t xml:space="preserve">Tree-based gradient boosting models treat stock forecasting as a supervised learning problem. The key is feature engineering: from each stock's history, compute 30–60 features (rolling means, momentum signals, RSI, Bollinger Bands, ATR, volume z-scores, sector returns, etc.) and train XGBoost to predict next-day return. This approach works surprisingly well on EGX because many features capture market microstructure effects.</w:t>
            </w:r>
          </w:p>
          <w:p>
            <w:pPr>
              <w:spacing w:after="60" w:before="80"/>
            </w:pPr>
            <w:r>
              <w:rPr>
                <w:rFonts w:ascii="Arial" w:cs="Arial" w:eastAsia="Arial" w:hAnsi="Arial"/>
                <w:b/>
                <w:bCs/>
                <w:color w:val="1A7340"/>
                <w:sz w:val="20"/>
                <w:szCs w:val="20"/>
              </w:rPr>
              <w:t xml:space="preserve">Strengths</w:t>
            </w:r>
          </w:p>
          <w:p>
            <w:pPr>
              <w:pStyle w:val="ListParagraph"/>
              <w:numPr>
                <w:ilvl w:val="0"/>
                <w:numId w:val="2"/>
              </w:numPr>
              <w:spacing w:after="20" w:before="20"/>
            </w:pPr>
            <w:r>
              <w:rPr>
                <w:rFonts w:ascii="Arial" w:cs="Arial" w:eastAsia="Arial" w:hAnsi="Arial"/>
                <w:sz w:val="20"/>
                <w:szCs w:val="20"/>
              </w:rPr>
              <w:t xml:space="preserve">Handles non-linearity and feature interactions automatically</w:t>
            </w:r>
          </w:p>
          <w:p>
            <w:pPr>
              <w:pStyle w:val="ListParagraph"/>
              <w:numPr>
                <w:ilvl w:val="0"/>
                <w:numId w:val="2"/>
              </w:numPr>
              <w:spacing w:after="20" w:before="20"/>
            </w:pPr>
            <w:r>
              <w:rPr>
                <w:rFonts w:ascii="Arial" w:cs="Arial" w:eastAsia="Arial" w:hAnsi="Arial"/>
                <w:sz w:val="20"/>
                <w:szCs w:val="20"/>
              </w:rPr>
              <w:t xml:space="preserve">Interpretable via SHAP values — show users 'Why does the model predict UP? RSI oversold + Volume spike'</w:t>
            </w:r>
          </w:p>
          <w:p>
            <w:pPr>
              <w:pStyle w:val="ListParagraph"/>
              <w:numPr>
                <w:ilvl w:val="0"/>
                <w:numId w:val="2"/>
              </w:numPr>
              <w:spacing w:after="20" w:before="20"/>
            </w:pPr>
            <w:r>
              <w:rPr>
                <w:rFonts w:ascii="Arial" w:cs="Arial" w:eastAsia="Arial" w:hAnsi="Arial"/>
                <w:sz w:val="20"/>
                <w:szCs w:val="20"/>
              </w:rPr>
              <w:t xml:space="preserve">Fast inference: once trained, predictions are milliseconds</w:t>
            </w:r>
          </w:p>
          <w:p>
            <w:pPr>
              <w:pStyle w:val="ListParagraph"/>
              <w:numPr>
                <w:ilvl w:val="0"/>
                <w:numId w:val="2"/>
              </w:numPr>
              <w:spacing w:after="20" w:before="20"/>
            </w:pPr>
            <w:r>
              <w:rPr>
                <w:rFonts w:ascii="Arial" w:cs="Arial" w:eastAsia="Arial" w:hAnsi="Arial"/>
                <w:sz w:val="20"/>
                <w:szCs w:val="20"/>
              </w:rPr>
              <w:t xml:space="preserve">Can incorporate external features: USD/EGP rate, oil price, CMA index</w:t>
            </w:r>
          </w:p>
          <w:p>
            <w:pPr>
              <w:pStyle w:val="ListParagraph"/>
              <w:numPr>
                <w:ilvl w:val="0"/>
                <w:numId w:val="2"/>
              </w:numPr>
              <w:spacing w:after="20" w:before="20"/>
            </w:pPr>
            <w:r>
              <w:rPr>
                <w:rFonts w:ascii="Arial" w:cs="Arial" w:eastAsia="Arial" w:hAnsi="Arial"/>
                <w:sz w:val="20"/>
                <w:szCs w:val="20"/>
              </w:rPr>
              <w:t xml:space="preserve">LightGBM trains in seconds even on 5 years of daily data</w:t>
            </w:r>
          </w:p>
          <w:p>
            <w:pPr>
              <w:spacing w:after="60" w:before="80"/>
            </w:pPr>
            <w:r>
              <w:rPr>
                <w:rFonts w:ascii="Arial" w:cs="Arial" w:eastAsia="Arial" w:hAnsi="Arial"/>
                <w:b/>
                <w:bCs/>
                <w:color w:val="8B1A1A"/>
                <w:sz w:val="20"/>
                <w:szCs w:val="20"/>
              </w:rPr>
              <w:t xml:space="preserve">Limitations</w:t>
            </w:r>
          </w:p>
          <w:p>
            <w:pPr>
              <w:pStyle w:val="ListParagraph"/>
              <w:numPr>
                <w:ilvl w:val="0"/>
                <w:numId w:val="2"/>
              </w:numPr>
              <w:spacing w:after="20" w:before="20"/>
            </w:pPr>
            <w:r>
              <w:rPr>
                <w:rFonts w:ascii="Arial" w:cs="Arial" w:eastAsia="Arial" w:hAnsi="Arial"/>
                <w:sz w:val="20"/>
                <w:szCs w:val="20"/>
              </w:rPr>
              <w:t xml:space="preserve">Requires extensive feature engineering effort (highest value but highest upfront work)</w:t>
            </w:r>
          </w:p>
          <w:p>
            <w:pPr>
              <w:pStyle w:val="ListParagraph"/>
              <w:numPr>
                <w:ilvl w:val="0"/>
                <w:numId w:val="2"/>
              </w:numPr>
              <w:spacing w:after="20" w:before="20"/>
            </w:pPr>
            <w:r>
              <w:rPr>
                <w:rFonts w:ascii="Arial" w:cs="Arial" w:eastAsia="Arial" w:hAnsi="Arial"/>
                <w:sz w:val="20"/>
                <w:szCs w:val="20"/>
              </w:rPr>
              <w:t xml:space="preserve">Does not naturally produce probability distributions — needs calibration (MAPIE, quantile regression)</w:t>
            </w:r>
          </w:p>
          <w:p>
            <w:pPr>
              <w:pStyle w:val="ListParagraph"/>
              <w:numPr>
                <w:ilvl w:val="0"/>
                <w:numId w:val="2"/>
              </w:numPr>
              <w:spacing w:after="20" w:before="20"/>
            </w:pPr>
            <w:r>
              <w:rPr>
                <w:rFonts w:ascii="Arial" w:cs="Arial" w:eastAsia="Arial" w:hAnsi="Arial"/>
                <w:sz w:val="20"/>
                <w:szCs w:val="20"/>
              </w:rPr>
              <w:t xml:space="preserve">Vulnerable to look-ahead bias if features are not carefully constructed with lag offsets</w:t>
            </w:r>
          </w:p>
          <w:p>
            <w:pPr>
              <w:pStyle w:val="ListParagraph"/>
              <w:numPr>
                <w:ilvl w:val="0"/>
                <w:numId w:val="2"/>
              </w:numPr>
              <w:spacing w:after="20" w:before="20"/>
            </w:pPr>
            <w:r>
              <w:rPr>
                <w:rFonts w:ascii="Arial" w:cs="Arial" w:eastAsia="Arial" w:hAnsi="Arial"/>
                <w:sz w:val="20"/>
                <w:szCs w:val="20"/>
              </w:rPr>
              <w:t xml:space="preserve">Needs retraining pipeline — model goes stale if not retrained weekly</w:t>
            </w:r>
          </w:p>
          <w:p>
            <w:pPr>
              <w:spacing w:after="40" w:before="80"/>
            </w:pPr>
            <w:r>
              <w:rPr>
                <w:rFonts w:ascii="Arial" w:cs="Arial" w:eastAsia="Arial" w:hAnsi="Arial"/>
                <w:b/>
                <w:bCs/>
                <w:color w:val="2E86AB"/>
                <w:sz w:val="20"/>
                <w:szCs w:val="20"/>
              </w:rPr>
              <w:t xml:space="preserve">Best Used For: </w:t>
            </w:r>
            <w:r>
              <w:rPr>
                <w:rFonts w:ascii="Arial" w:cs="Arial" w:eastAsia="Arial" w:hAnsi="Arial"/>
                <w:sz w:val="20"/>
                <w:szCs w:val="20"/>
              </w:rPr>
              <w:t xml:space="preserve">The best single addition for Basira's core signals. Use SHAP for explainability: 'Model thinks: Strong momentum signal (40%), Low volatility regime (30%), Volume expansion (30%). Prediction: Bullish.'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120"/>
              <w:left w:type="dxa" w:w="180"/>
              <w:bottom w:type="dxa" w:w="120"/>
              <w:right w:type="dxa" w:w="180"/>
            </w:tcMar>
          </w:tcPr>
          <w:p>
            <w:r>
              <w:rPr>
                <w:rFonts w:ascii="Arial" w:cs="Arial" w:eastAsia="Arial" w:hAnsi="Arial"/>
                <w:b/>
                <w:bCs/>
                <w:color w:val="AACCEE"/>
                <w:sz w:val="24"/>
                <w:szCs w:val="24"/>
              </w:rPr>
              <w:t xml:space="preserve">Model 7: </w:t>
            </w:r>
            <w:r>
              <w:rPr>
                <w:rFonts w:ascii="Arial" w:cs="Arial" w:eastAsia="Arial" w:hAnsi="Arial"/>
                <w:b/>
                <w:bCs/>
                <w:color w:val="FFFFFF"/>
                <w:sz w:val="24"/>
                <w:szCs w:val="24"/>
              </w:rPr>
              <w:t xml:space="preserve">Kalman Filter + Hidden Markov Model (Regime Detection)</w:t>
            </w:r>
            <w:r>
              <w:rPr>
                <w:rFonts w:ascii="Arial" w:cs="Arial" w:eastAsia="Arial" w:hAnsi="Arial"/>
                <w:color w:val="AACCEE"/>
                <w:sz w:val="20"/>
                <w:szCs w:val="20"/>
              </w:rPr>
              <w:t xml:space="preserve">  [State-Space Models]</w:t>
            </w:r>
          </w:p>
        </w:tc>
      </w:tr>
      <w:tr>
        <w:tc>
          <w:tcPr>
            <w:tcW w:type="dxa" w:w="9360"/>
            <w:tcBorders>
              <w:top w:val="none" w:color="FFFFFF" w:sz="0"/>
              <w:left w:val="none" w:color="FFFFFF" w:sz="0"/>
              <w:bottom w:val="none" w:color="FFFFFF" w:sz="0"/>
              <w:right w:val="none" w:color="FFFFFF" w:sz="0"/>
            </w:tcBorders>
            <w:shd w:fill="F4F6F8" w:val="clear"/>
            <w:tcMar>
              <w:top w:type="dxa" w:w="80"/>
              <w:left w:type="dxa" w:w="180"/>
              <w:bottom w:type="dxa" w:w="80"/>
              <w:right w:type="dxa" w:w="180"/>
            </w:tcMar>
          </w:tcPr>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1500"/>
              <w:gridCol w:w="2000"/>
            </w:tblGrid>
            <w:tr>
              <w:tc>
                <w:tcPr>
                  <w:tcW w:type="dxa" w:w="2500"/>
                  <w:tcBorders>
                    <w:top w:val="none" w:color="FFFFFF" w:sz="0"/>
                    <w:left w:val="none" w:color="FFFFFF" w:sz="0"/>
                    <w:bottom w:val="none" w:color="FFFFFF" w:sz="0"/>
                    <w:right w:val="none" w:color="FFFFFF" w:sz="0"/>
                  </w:tcBorders>
                  <w:tcMar>
                    <w:top w:type="dxa" w:w="40"/>
                    <w:left w:type="dxa" w:w="0"/>
                    <w:bottom w:type="dxa" w:w="40"/>
                    <w:right w:type="dxa" w:w="40"/>
                  </w:tcMar>
                </w:tcPr>
                <w:p>
                  <w:r>
                    <w:rPr>
                      <w:rFonts w:ascii="Arial" w:cs="Arial" w:eastAsia="Arial" w:hAnsi="Arial"/>
                      <w:b/>
                      <w:bCs/>
                      <w:sz w:val="20"/>
                      <w:szCs w:val="20"/>
                    </w:rPr>
                    <w:t xml:space="preserve">Complexity:</w:t>
                  </w:r>
                </w:p>
              </w:tc>
              <w:tc>
                <w:tcPr>
                  <w:tcW w:type="dxa" w:w="1500"/>
                  <w:tcBorders>
                    <w:top w:val="single" w:color="CCCCCC" w:sz="1"/>
                    <w:left w:val="single" w:color="CCCCCC" w:sz="1"/>
                    <w:bottom w:val="single" w:color="CCCCCC" w:sz="1"/>
                    <w:right w:val="single" w:color="CCCCCC" w:sz="1"/>
                  </w:tcBorders>
                  <w:shd w:fill="B5591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Medium</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sz w:val="20"/>
                      <w:szCs w:val="20"/>
                    </w:rPr>
                    <w:t xml:space="preserve">EGX Data Fit:</w:t>
                  </w:r>
                </w:p>
              </w:tc>
              <w:tc>
                <w:tcPr>
                  <w:tcW w:type="dxa" w:w="1500"/>
                  <w:tcBorders>
                    <w:top w:val="single" w:color="CCCCCC" w:sz="1"/>
                    <w:left w:val="single" w:color="CCCCCC" w:sz="1"/>
                    <w:bottom w:val="single" w:color="CCCCCC" w:sz="1"/>
                    <w:right w:val="single" w:color="CCCCCC" w:sz="1"/>
                  </w:tcBorders>
                  <w:shd w:fill="1A734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High</w:t>
                  </w:r>
                </w:p>
              </w:tc>
              <w:tc>
                <w:tcPr>
                  <w:tcW w:type="dxa" w:w="2000"/>
                  <w:tcBorders>
                    <w:top w:val="none" w:color="FFFFFF" w:sz="0"/>
                    <w:left w:val="none" w:color="FFFFFF" w:sz="0"/>
                    <w:bottom w:val="none" w:color="FFFFFF" w:sz="0"/>
                    <w:right w:val="none" w:color="FFFFFF" w:sz="0"/>
                  </w:tcBorders>
                </w:tcPr>
                <w:p>
                  <w:r>
                    <w:t xml:space="preserve"/>
                  </w:r>
                </w:p>
              </w:tc>
            </w:tr>
          </w:tbl>
          <w:p/>
        </w:tc>
      </w:tr>
      <w:tr>
        <w:tc>
          <w:tcPr>
            <w:tcW w:type="dxa" w:w="9360"/>
            <w:tcBorders>
              <w:top w:val="single" w:color="CCCCCC" w:sz="1"/>
              <w:left w:val="single" w:color="CCCCCC" w:sz="1"/>
              <w:bottom w:val="single" w:color="CCCCCC" w:sz="1"/>
              <w:right w:val="single" w:color="CCCCCC" w:sz="1"/>
            </w:tcBorders>
            <w:tcMar>
              <w:top w:type="dxa" w:w="120"/>
              <w:left w:type="dxa" w:w="180"/>
              <w:bottom w:type="dxa" w:w="80"/>
              <w:right w:type="dxa" w:w="180"/>
            </w:tcMar>
          </w:tcPr>
          <w:p>
            <w:pPr>
              <w:spacing w:after="80" w:before="0"/>
            </w:pPr>
            <w:r>
              <w:rPr>
                <w:rFonts w:ascii="Arial" w:cs="Arial" w:eastAsia="Arial" w:hAnsi="Arial"/>
                <w:b/>
                <w:bCs/>
                <w:color w:val="1A3C5E"/>
                <w:sz w:val="20"/>
                <w:szCs w:val="20"/>
              </w:rPr>
              <w:t xml:space="preserve">Overview</w:t>
            </w:r>
          </w:p>
          <w:p>
            <w:pPr>
              <w:spacing w:after="80" w:before="0"/>
            </w:pPr>
            <w:r>
              <w:rPr>
                <w:rFonts w:ascii="Arial" w:cs="Arial" w:eastAsia="Arial" w:hAnsi="Arial"/>
                <w:sz w:val="20"/>
                <w:szCs w:val="20"/>
              </w:rPr>
              <w:t xml:space="preserve">Hidden Markov Models identify the current market regime (Bull / Bear / Sideways / High-Volatility) by modeling the market as a hidden state that transitions over time. Each regime has its own return distribution. A Kalman Filter provides real-time signal extraction and noise filtering. The combination gives you regime-aware forecasting: use different model parameters depending on which regime the market is currently in.</w:t>
            </w:r>
          </w:p>
          <w:p>
            <w:pPr>
              <w:spacing w:after="60" w:before="80"/>
            </w:pPr>
            <w:r>
              <w:rPr>
                <w:rFonts w:ascii="Arial" w:cs="Arial" w:eastAsia="Arial" w:hAnsi="Arial"/>
                <w:b/>
                <w:bCs/>
                <w:color w:val="1A7340"/>
                <w:sz w:val="20"/>
                <w:szCs w:val="20"/>
              </w:rPr>
              <w:t xml:space="preserve">Strengths</w:t>
            </w:r>
          </w:p>
          <w:p>
            <w:pPr>
              <w:pStyle w:val="ListParagraph"/>
              <w:numPr>
                <w:ilvl w:val="0"/>
                <w:numId w:val="2"/>
              </w:numPr>
              <w:spacing w:after="20" w:before="20"/>
            </w:pPr>
            <w:r>
              <w:rPr>
                <w:rFonts w:ascii="Arial" w:cs="Arial" w:eastAsia="Arial" w:hAnsi="Arial"/>
                <w:sz w:val="20"/>
                <w:szCs w:val="20"/>
              </w:rPr>
              <w:t xml:space="preserve">Regime labels are highly interpretable and directly valuable to EGX traders</w:t>
            </w:r>
          </w:p>
          <w:p>
            <w:pPr>
              <w:pStyle w:val="ListParagraph"/>
              <w:numPr>
                <w:ilvl w:val="0"/>
                <w:numId w:val="2"/>
              </w:numPr>
              <w:spacing w:after="20" w:before="20"/>
            </w:pPr>
            <w:r>
              <w:rPr>
                <w:rFonts w:ascii="Arial" w:cs="Arial" w:eastAsia="Arial" w:hAnsi="Arial"/>
                <w:sz w:val="20"/>
                <w:szCs w:val="20"/>
              </w:rPr>
              <w:t xml:space="preserve">Kalman filter adapts in real-time — no fixed rolling window like your GBM</w:t>
            </w:r>
          </w:p>
          <w:p>
            <w:pPr>
              <w:pStyle w:val="ListParagraph"/>
              <w:numPr>
                <w:ilvl w:val="0"/>
                <w:numId w:val="2"/>
              </w:numPr>
              <w:spacing w:after="20" w:before="20"/>
            </w:pPr>
            <w:r>
              <w:rPr>
                <w:rFonts w:ascii="Arial" w:cs="Arial" w:eastAsia="Arial" w:hAnsi="Arial"/>
                <w:sz w:val="20"/>
                <w:szCs w:val="20"/>
              </w:rPr>
              <w:t xml:space="preserve">Can be used to switch between other models: 'In Bull regime → use momentum model, in Bear → use volatility model'</w:t>
            </w:r>
          </w:p>
          <w:p>
            <w:pPr>
              <w:pStyle w:val="ListParagraph"/>
              <w:numPr>
                <w:ilvl w:val="0"/>
                <w:numId w:val="2"/>
              </w:numPr>
              <w:spacing w:after="20" w:before="20"/>
            </w:pPr>
            <w:r>
              <w:rPr>
                <w:rFonts w:ascii="Arial" w:cs="Arial" w:eastAsia="Arial" w:hAnsi="Arial"/>
                <w:sz w:val="20"/>
                <w:szCs w:val="20"/>
              </w:rPr>
              <w:t xml:space="preserve">hmmlearn and pykalman Python libraries are available and mature</w:t>
            </w:r>
          </w:p>
          <w:p>
            <w:pPr>
              <w:pStyle w:val="ListParagraph"/>
              <w:numPr>
                <w:ilvl w:val="0"/>
                <w:numId w:val="2"/>
              </w:numPr>
              <w:spacing w:after="20" w:before="20"/>
            </w:pPr>
            <w:r>
              <w:rPr>
                <w:rFonts w:ascii="Arial" w:cs="Arial" w:eastAsia="Arial" w:hAnsi="Arial"/>
                <w:sz w:val="20"/>
                <w:szCs w:val="20"/>
              </w:rPr>
              <w:t xml:space="preserve">2–4 hidden states are sufficient to capture EGX macro phases</w:t>
            </w:r>
          </w:p>
          <w:p>
            <w:pPr>
              <w:spacing w:after="60" w:before="80"/>
            </w:pPr>
            <w:r>
              <w:rPr>
                <w:rFonts w:ascii="Arial" w:cs="Arial" w:eastAsia="Arial" w:hAnsi="Arial"/>
                <w:b/>
                <w:bCs/>
                <w:color w:val="8B1A1A"/>
                <w:sz w:val="20"/>
                <w:szCs w:val="20"/>
              </w:rPr>
              <w:t xml:space="preserve">Limitations</w:t>
            </w:r>
          </w:p>
          <w:p>
            <w:pPr>
              <w:pStyle w:val="ListParagraph"/>
              <w:numPr>
                <w:ilvl w:val="0"/>
                <w:numId w:val="2"/>
              </w:numPr>
              <w:spacing w:after="20" w:before="20"/>
            </w:pPr>
            <w:r>
              <w:rPr>
                <w:rFonts w:ascii="Arial" w:cs="Arial" w:eastAsia="Arial" w:hAnsi="Arial"/>
                <w:sz w:val="20"/>
                <w:szCs w:val="20"/>
              </w:rPr>
              <w:t xml:space="preserve">HMM assumes Markov property — regime transitions are memoryless (not always true)</w:t>
            </w:r>
          </w:p>
          <w:p>
            <w:pPr>
              <w:pStyle w:val="ListParagraph"/>
              <w:numPr>
                <w:ilvl w:val="0"/>
                <w:numId w:val="2"/>
              </w:numPr>
              <w:spacing w:after="20" w:before="20"/>
            </w:pPr>
            <w:r>
              <w:rPr>
                <w:rFonts w:ascii="Arial" w:cs="Arial" w:eastAsia="Arial" w:hAnsi="Arial"/>
                <w:sz w:val="20"/>
                <w:szCs w:val="20"/>
              </w:rPr>
              <w:t xml:space="preserve">Regime labeling requires validation against known EGX bull/bear periods</w:t>
            </w:r>
          </w:p>
          <w:p>
            <w:pPr>
              <w:pStyle w:val="ListParagraph"/>
              <w:numPr>
                <w:ilvl w:val="0"/>
                <w:numId w:val="2"/>
              </w:numPr>
              <w:spacing w:after="20" w:before="20"/>
            </w:pPr>
            <w:r>
              <w:rPr>
                <w:rFonts w:ascii="Arial" w:cs="Arial" w:eastAsia="Arial" w:hAnsi="Arial"/>
                <w:sz w:val="20"/>
                <w:szCs w:val="20"/>
              </w:rPr>
              <w:t xml:space="preserve">Kalman filter requires careful noise covariance (Q, R) tuning</w:t>
            </w:r>
          </w:p>
          <w:p>
            <w:pPr>
              <w:pStyle w:val="ListParagraph"/>
              <w:numPr>
                <w:ilvl w:val="0"/>
                <w:numId w:val="2"/>
              </w:numPr>
              <w:spacing w:after="20" w:before="20"/>
            </w:pPr>
            <w:r>
              <w:rPr>
                <w:rFonts w:ascii="Arial" w:cs="Arial" w:eastAsia="Arial" w:hAnsi="Arial"/>
                <w:sz w:val="20"/>
                <w:szCs w:val="20"/>
              </w:rPr>
              <w:t xml:space="preserve">Risk of over-segmentation — too many regimes cause instability</w:t>
            </w:r>
          </w:p>
          <w:p>
            <w:pPr>
              <w:spacing w:after="40" w:before="80"/>
            </w:pPr>
            <w:r>
              <w:rPr>
                <w:rFonts w:ascii="Arial" w:cs="Arial" w:eastAsia="Arial" w:hAnsi="Arial"/>
                <w:b/>
                <w:bCs/>
                <w:color w:val="2E86AB"/>
                <w:sz w:val="20"/>
                <w:szCs w:val="20"/>
              </w:rPr>
              <w:t xml:space="preserve">Best Used For: </w:t>
            </w:r>
            <w:r>
              <w:rPr>
                <w:rFonts w:ascii="Arial" w:cs="Arial" w:eastAsia="Arial" w:hAnsi="Arial"/>
                <w:sz w:val="20"/>
                <w:szCs w:val="20"/>
              </w:rPr>
              <w:t xml:space="preserve">Critical infrastructure for Basira: 'Current Market Regime: High Volatility Bear (since March 2024)' displayed on every stock page. Use regime to weight the ensemble output.</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120"/>
              <w:left w:type="dxa" w:w="180"/>
              <w:bottom w:type="dxa" w:w="120"/>
              <w:right w:type="dxa" w:w="180"/>
            </w:tcMar>
          </w:tcPr>
          <w:p>
            <w:r>
              <w:rPr>
                <w:rFonts w:ascii="Arial" w:cs="Arial" w:eastAsia="Arial" w:hAnsi="Arial"/>
                <w:b/>
                <w:bCs/>
                <w:color w:val="AACCEE"/>
                <w:sz w:val="24"/>
                <w:szCs w:val="24"/>
              </w:rPr>
              <w:t xml:space="preserve">Model 8: </w:t>
            </w:r>
            <w:r>
              <w:rPr>
                <w:rFonts w:ascii="Arial" w:cs="Arial" w:eastAsia="Arial" w:hAnsi="Arial"/>
                <w:b/>
                <w:bCs/>
                <w:color w:val="FFFFFF"/>
                <w:sz w:val="24"/>
                <w:szCs w:val="24"/>
              </w:rPr>
              <w:t xml:space="preserve">Monte Carlo Ensemble (Model Aggregation)</w:t>
            </w:r>
            <w:r>
              <w:rPr>
                <w:rFonts w:ascii="Arial" w:cs="Arial" w:eastAsia="Arial" w:hAnsi="Arial"/>
                <w:color w:val="AACCEE"/>
                <w:sz w:val="20"/>
                <w:szCs w:val="20"/>
              </w:rPr>
              <w:t xml:space="preserve">  [Ensemble / Uncertainty Quantification]</w:t>
            </w:r>
          </w:p>
        </w:tc>
      </w:tr>
      <w:tr>
        <w:tc>
          <w:tcPr>
            <w:tcW w:type="dxa" w:w="9360"/>
            <w:tcBorders>
              <w:top w:val="none" w:color="FFFFFF" w:sz="0"/>
              <w:left w:val="none" w:color="FFFFFF" w:sz="0"/>
              <w:bottom w:val="none" w:color="FFFFFF" w:sz="0"/>
              <w:right w:val="none" w:color="FFFFFF" w:sz="0"/>
            </w:tcBorders>
            <w:shd w:fill="F4F6F8" w:val="clear"/>
            <w:tcMar>
              <w:top w:type="dxa" w:w="80"/>
              <w:left w:type="dxa" w:w="180"/>
              <w:bottom w:type="dxa" w:w="80"/>
              <w:right w:type="dxa" w:w="180"/>
            </w:tcMar>
          </w:tcPr>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1500"/>
              <w:gridCol w:w="2000"/>
            </w:tblGrid>
            <w:tr>
              <w:tc>
                <w:tcPr>
                  <w:tcW w:type="dxa" w:w="2500"/>
                  <w:tcBorders>
                    <w:top w:val="none" w:color="FFFFFF" w:sz="0"/>
                    <w:left w:val="none" w:color="FFFFFF" w:sz="0"/>
                    <w:bottom w:val="none" w:color="FFFFFF" w:sz="0"/>
                    <w:right w:val="none" w:color="FFFFFF" w:sz="0"/>
                  </w:tcBorders>
                  <w:tcMar>
                    <w:top w:type="dxa" w:w="40"/>
                    <w:left w:type="dxa" w:w="0"/>
                    <w:bottom w:type="dxa" w:w="40"/>
                    <w:right w:type="dxa" w:w="40"/>
                  </w:tcMar>
                </w:tcPr>
                <w:p>
                  <w:r>
                    <w:rPr>
                      <w:rFonts w:ascii="Arial" w:cs="Arial" w:eastAsia="Arial" w:hAnsi="Arial"/>
                      <w:b/>
                      <w:bCs/>
                      <w:sz w:val="20"/>
                      <w:szCs w:val="20"/>
                    </w:rPr>
                    <w:t xml:space="preserve">Complexity:</w:t>
                  </w:r>
                </w:p>
              </w:tc>
              <w:tc>
                <w:tcPr>
                  <w:tcW w:type="dxa" w:w="1500"/>
                  <w:tcBorders>
                    <w:top w:val="single" w:color="CCCCCC" w:sz="1"/>
                    <w:left w:val="single" w:color="CCCCCC" w:sz="1"/>
                    <w:bottom w:val="single" w:color="CCCCCC" w:sz="1"/>
                    <w:right w:val="single" w:color="CCCCCC" w:sz="1"/>
                  </w:tcBorders>
                  <w:shd w:fill="B5591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Medium</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sz w:val="20"/>
                      <w:szCs w:val="20"/>
                    </w:rPr>
                    <w:t xml:space="preserve">EGX Data Fit:</w:t>
                  </w:r>
                </w:p>
              </w:tc>
              <w:tc>
                <w:tcPr>
                  <w:tcW w:type="dxa" w:w="1500"/>
                  <w:tcBorders>
                    <w:top w:val="single" w:color="CCCCCC" w:sz="1"/>
                    <w:left w:val="single" w:color="CCCCCC" w:sz="1"/>
                    <w:bottom w:val="single" w:color="CCCCCC" w:sz="1"/>
                    <w:right w:val="single" w:color="CCCCCC" w:sz="1"/>
                  </w:tcBorders>
                  <w:shd w:fill="1A734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High</w:t>
                  </w:r>
                </w:p>
              </w:tc>
              <w:tc>
                <w:tcPr>
                  <w:tcW w:type="dxa" w:w="2000"/>
                  <w:tcBorders>
                    <w:top w:val="none" w:color="FFFFFF" w:sz="0"/>
                    <w:left w:val="none" w:color="FFFFFF" w:sz="0"/>
                    <w:bottom w:val="none" w:color="FFFFFF" w:sz="0"/>
                    <w:right w:val="none" w:color="FFFFFF" w:sz="0"/>
                  </w:tcBorders>
                </w:tcPr>
                <w:p>
                  <w:r>
                    <w:t xml:space="preserve"/>
                  </w:r>
                </w:p>
              </w:tc>
            </w:tr>
          </w:tbl>
          <w:p/>
        </w:tc>
      </w:tr>
      <w:tr>
        <w:tc>
          <w:tcPr>
            <w:tcW w:type="dxa" w:w="9360"/>
            <w:tcBorders>
              <w:top w:val="single" w:color="CCCCCC" w:sz="1"/>
              <w:left w:val="single" w:color="CCCCCC" w:sz="1"/>
              <w:bottom w:val="single" w:color="CCCCCC" w:sz="1"/>
              <w:right w:val="single" w:color="CCCCCC" w:sz="1"/>
            </w:tcBorders>
            <w:tcMar>
              <w:top w:type="dxa" w:w="120"/>
              <w:left w:type="dxa" w:w="180"/>
              <w:bottom w:type="dxa" w:w="80"/>
              <w:right w:type="dxa" w:w="180"/>
            </w:tcMar>
          </w:tcPr>
          <w:p>
            <w:pPr>
              <w:spacing w:after="80" w:before="0"/>
            </w:pPr>
            <w:r>
              <w:rPr>
                <w:rFonts w:ascii="Arial" w:cs="Arial" w:eastAsia="Arial" w:hAnsi="Arial"/>
                <w:b/>
                <w:bCs/>
                <w:color w:val="1A3C5E"/>
                <w:sz w:val="20"/>
                <w:szCs w:val="20"/>
              </w:rPr>
              <w:t xml:space="preserve">Overview</w:t>
            </w:r>
          </w:p>
          <w:p>
            <w:pPr>
              <w:spacing w:after="80" w:before="0"/>
            </w:pPr>
            <w:r>
              <w:rPr>
                <w:rFonts w:ascii="Arial" w:cs="Arial" w:eastAsia="Arial" w:hAnsi="Arial"/>
                <w:sz w:val="20"/>
                <w:szCs w:val="20"/>
              </w:rPr>
              <w:t xml:space="preserve">Rather than a single model, run Monte Carlo simulations from multiple models simultaneously and combine their output paths into a unified probability distribution. For Basira: run 1000 GBM paths + 1000 Jump-Diffusion paths + GARCH-scaled paths, then aggregate. This ensemble naturally produces better-calibrated confidence intervals than any single model.</w:t>
            </w:r>
          </w:p>
          <w:p>
            <w:pPr>
              <w:spacing w:after="60" w:before="80"/>
            </w:pPr>
            <w:r>
              <w:rPr>
                <w:rFonts w:ascii="Arial" w:cs="Arial" w:eastAsia="Arial" w:hAnsi="Arial"/>
                <w:b/>
                <w:bCs/>
                <w:color w:val="1A7340"/>
                <w:sz w:val="20"/>
                <w:szCs w:val="20"/>
              </w:rPr>
              <w:t xml:space="preserve">Strengths</w:t>
            </w:r>
          </w:p>
          <w:p>
            <w:pPr>
              <w:pStyle w:val="ListParagraph"/>
              <w:numPr>
                <w:ilvl w:val="0"/>
                <w:numId w:val="2"/>
              </w:numPr>
              <w:spacing w:after="20" w:before="20"/>
            </w:pPr>
            <w:r>
              <w:rPr>
                <w:rFonts w:ascii="Arial" w:cs="Arial" w:eastAsia="Arial" w:hAnsi="Arial"/>
                <w:sz w:val="20"/>
                <w:szCs w:val="20"/>
              </w:rPr>
              <w:t xml:space="preserve">Directly extensible from your existing Monte Carlo infrastructure in GBMForecaster</w:t>
            </w:r>
          </w:p>
          <w:p>
            <w:pPr>
              <w:pStyle w:val="ListParagraph"/>
              <w:numPr>
                <w:ilvl w:val="0"/>
                <w:numId w:val="2"/>
              </w:numPr>
              <w:spacing w:after="20" w:before="20"/>
            </w:pPr>
            <w:r>
              <w:rPr>
                <w:rFonts w:ascii="Arial" w:cs="Arial" w:eastAsia="Arial" w:hAnsi="Arial"/>
                <w:sz w:val="20"/>
                <w:szCs w:val="20"/>
              </w:rPr>
              <w:t xml:space="preserve">Model disagreement itself becomes a signal: high spread across models = high uncertainty</w:t>
            </w:r>
          </w:p>
          <w:p>
            <w:pPr>
              <w:pStyle w:val="ListParagraph"/>
              <w:numPr>
                <w:ilvl w:val="0"/>
                <w:numId w:val="2"/>
              </w:numPr>
              <w:spacing w:after="20" w:before="20"/>
            </w:pPr>
            <w:r>
              <w:rPr>
                <w:rFonts w:ascii="Arial" w:cs="Arial" w:eastAsia="Arial" w:hAnsi="Arial"/>
                <w:sz w:val="20"/>
                <w:szCs w:val="20"/>
              </w:rPr>
              <w:t xml:space="preserve">Hedge against any single model's blind spots</w:t>
            </w:r>
          </w:p>
          <w:p>
            <w:pPr>
              <w:pStyle w:val="ListParagraph"/>
              <w:numPr>
                <w:ilvl w:val="0"/>
                <w:numId w:val="2"/>
              </w:numPr>
              <w:spacing w:after="20" w:before="20"/>
            </w:pPr>
            <w:r>
              <w:rPr>
                <w:rFonts w:ascii="Arial" w:cs="Arial" w:eastAsia="Arial" w:hAnsi="Arial"/>
                <w:sz w:val="20"/>
                <w:szCs w:val="20"/>
              </w:rPr>
              <w:t xml:space="preserve">Can weight models by recent OOS MAPE — better recent performers get higher weight</w:t>
            </w:r>
          </w:p>
          <w:p>
            <w:pPr>
              <w:pStyle w:val="ListParagraph"/>
              <w:numPr>
                <w:ilvl w:val="0"/>
                <w:numId w:val="2"/>
              </w:numPr>
              <w:spacing w:after="20" w:before="20"/>
            </w:pPr>
            <w:r>
              <w:rPr>
                <w:rFonts w:ascii="Arial" w:cs="Arial" w:eastAsia="Arial" w:hAnsi="Arial"/>
                <w:sz w:val="20"/>
                <w:szCs w:val="20"/>
              </w:rPr>
              <w:t xml:space="preserve">Display on Basira: 'Model Agreement: HIGH (3/4 models bullish)'</w:t>
            </w:r>
          </w:p>
          <w:p>
            <w:pPr>
              <w:spacing w:after="60" w:before="80"/>
            </w:pPr>
            <w:r>
              <w:rPr>
                <w:rFonts w:ascii="Arial" w:cs="Arial" w:eastAsia="Arial" w:hAnsi="Arial"/>
                <w:b/>
                <w:bCs/>
                <w:color w:val="8B1A1A"/>
                <w:sz w:val="20"/>
                <w:szCs w:val="20"/>
              </w:rPr>
              <w:t xml:space="preserve">Limitations</w:t>
            </w:r>
          </w:p>
          <w:p>
            <w:pPr>
              <w:pStyle w:val="ListParagraph"/>
              <w:numPr>
                <w:ilvl w:val="0"/>
                <w:numId w:val="2"/>
              </w:numPr>
              <w:spacing w:after="20" w:before="20"/>
            </w:pPr>
            <w:r>
              <w:rPr>
                <w:rFonts w:ascii="Arial" w:cs="Arial" w:eastAsia="Arial" w:hAnsi="Arial"/>
                <w:sz w:val="20"/>
                <w:szCs w:val="20"/>
              </w:rPr>
              <w:t xml:space="preserve">Complexity grows linearly with number of models added</w:t>
            </w:r>
          </w:p>
          <w:p>
            <w:pPr>
              <w:pStyle w:val="ListParagraph"/>
              <w:numPr>
                <w:ilvl w:val="0"/>
                <w:numId w:val="2"/>
              </w:numPr>
              <w:spacing w:after="20" w:before="20"/>
            </w:pPr>
            <w:r>
              <w:rPr>
                <w:rFonts w:ascii="Arial" w:cs="Arial" w:eastAsia="Arial" w:hAnsi="Arial"/>
                <w:sz w:val="20"/>
                <w:szCs w:val="20"/>
              </w:rPr>
              <w:t xml:space="preserve">Ensemble interpretation requires careful UI design — avoid overwhelming users</w:t>
            </w:r>
          </w:p>
          <w:p>
            <w:pPr>
              <w:pStyle w:val="ListParagraph"/>
              <w:numPr>
                <w:ilvl w:val="0"/>
                <w:numId w:val="2"/>
              </w:numPr>
              <w:spacing w:after="20" w:before="20"/>
            </w:pPr>
            <w:r>
              <w:rPr>
                <w:rFonts w:ascii="Arial" w:cs="Arial" w:eastAsia="Arial" w:hAnsi="Arial"/>
                <w:sz w:val="20"/>
                <w:szCs w:val="20"/>
              </w:rPr>
              <w:t xml:space="preserve">If all models share a flawed assumption (e.g., stationarity), ensemble compounds the error</w:t>
            </w:r>
          </w:p>
          <w:p>
            <w:pPr>
              <w:pStyle w:val="ListParagraph"/>
              <w:numPr>
                <w:ilvl w:val="0"/>
                <w:numId w:val="2"/>
              </w:numPr>
              <w:spacing w:after="20" w:before="20"/>
            </w:pPr>
            <w:r>
              <w:rPr>
                <w:rFonts w:ascii="Arial" w:cs="Arial" w:eastAsia="Arial" w:hAnsi="Arial"/>
                <w:sz w:val="20"/>
                <w:szCs w:val="20"/>
              </w:rPr>
              <w:t xml:space="preserve">Performance monitoring of each model component adds engineering overhead</w:t>
            </w:r>
          </w:p>
          <w:p>
            <w:pPr>
              <w:spacing w:after="40" w:before="80"/>
            </w:pPr>
            <w:r>
              <w:rPr>
                <w:rFonts w:ascii="Arial" w:cs="Arial" w:eastAsia="Arial" w:hAnsi="Arial"/>
                <w:b/>
                <w:bCs/>
                <w:color w:val="2E86AB"/>
                <w:sz w:val="20"/>
                <w:szCs w:val="20"/>
              </w:rPr>
              <w:t xml:space="preserve">Best Used For: </w:t>
            </w:r>
            <w:r>
              <w:rPr>
                <w:rFonts w:ascii="Arial" w:cs="Arial" w:eastAsia="Arial" w:hAnsi="Arial"/>
                <w:sz w:val="20"/>
                <w:szCs w:val="20"/>
              </w:rPr>
              <w:t xml:space="preserve">The final aggregation layer for Basira. Show individual model lines in light colors and the ensemble median in a bold primary color, with a dynamically weighted confidence band.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120"/>
              <w:left w:type="dxa" w:w="180"/>
              <w:bottom w:type="dxa" w:w="120"/>
              <w:right w:type="dxa" w:w="180"/>
            </w:tcMar>
          </w:tcPr>
          <w:p>
            <w:r>
              <w:rPr>
                <w:rFonts w:ascii="Arial" w:cs="Arial" w:eastAsia="Arial" w:hAnsi="Arial"/>
                <w:b/>
                <w:bCs/>
                <w:color w:val="AACCEE"/>
                <w:sz w:val="24"/>
                <w:szCs w:val="24"/>
              </w:rPr>
              <w:t xml:space="preserve">Model 9: </w:t>
            </w:r>
            <w:r>
              <w:rPr>
                <w:rFonts w:ascii="Arial" w:cs="Arial" w:eastAsia="Arial" w:hAnsi="Arial"/>
                <w:b/>
                <w:bCs/>
                <w:color w:val="FFFFFF"/>
                <w:sz w:val="24"/>
                <w:szCs w:val="24"/>
              </w:rPr>
              <w:t xml:space="preserve">Temporal Fusion Transformer (TFT)</w:t>
            </w:r>
            <w:r>
              <w:rPr>
                <w:rFonts w:ascii="Arial" w:cs="Arial" w:eastAsia="Arial" w:hAnsi="Arial"/>
                <w:color w:val="AACCEE"/>
                <w:sz w:val="20"/>
                <w:szCs w:val="20"/>
              </w:rPr>
              <w:t xml:space="preserve">  [Deep Learning — Attention]</w:t>
            </w:r>
          </w:p>
        </w:tc>
      </w:tr>
      <w:tr>
        <w:tc>
          <w:tcPr>
            <w:tcW w:type="dxa" w:w="9360"/>
            <w:tcBorders>
              <w:top w:val="none" w:color="FFFFFF" w:sz="0"/>
              <w:left w:val="none" w:color="FFFFFF" w:sz="0"/>
              <w:bottom w:val="none" w:color="FFFFFF" w:sz="0"/>
              <w:right w:val="none" w:color="FFFFFF" w:sz="0"/>
            </w:tcBorders>
            <w:shd w:fill="F4F6F8" w:val="clear"/>
            <w:tcMar>
              <w:top w:type="dxa" w:w="80"/>
              <w:left w:type="dxa" w:w="180"/>
              <w:bottom w:type="dxa" w:w="80"/>
              <w:right w:type="dxa" w:w="180"/>
            </w:tcMar>
          </w:tcPr>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1500"/>
              <w:gridCol w:w="2000"/>
            </w:tblGrid>
            <w:tr>
              <w:tc>
                <w:tcPr>
                  <w:tcW w:type="dxa" w:w="2500"/>
                  <w:tcBorders>
                    <w:top w:val="none" w:color="FFFFFF" w:sz="0"/>
                    <w:left w:val="none" w:color="FFFFFF" w:sz="0"/>
                    <w:bottom w:val="none" w:color="FFFFFF" w:sz="0"/>
                    <w:right w:val="none" w:color="FFFFFF" w:sz="0"/>
                  </w:tcBorders>
                  <w:tcMar>
                    <w:top w:type="dxa" w:w="40"/>
                    <w:left w:type="dxa" w:w="0"/>
                    <w:bottom w:type="dxa" w:w="40"/>
                    <w:right w:type="dxa" w:w="40"/>
                  </w:tcMar>
                </w:tcPr>
                <w:p>
                  <w:r>
                    <w:rPr>
                      <w:rFonts w:ascii="Arial" w:cs="Arial" w:eastAsia="Arial" w:hAnsi="Arial"/>
                      <w:b/>
                      <w:bCs/>
                      <w:sz w:val="20"/>
                      <w:szCs w:val="20"/>
                    </w:rPr>
                    <w:t xml:space="preserve">Complexity:</w:t>
                  </w:r>
                </w:p>
              </w:tc>
              <w:tc>
                <w:tcPr>
                  <w:tcW w:type="dxa" w:w="1500"/>
                  <w:tcBorders>
                    <w:top w:val="single" w:color="CCCCCC" w:sz="1"/>
                    <w:left w:val="single" w:color="CCCCCC" w:sz="1"/>
                    <w:bottom w:val="single" w:color="CCCCCC" w:sz="1"/>
                    <w:right w:val="single" w:color="CCCCCC" w:sz="1"/>
                  </w:tcBorders>
                  <w:shd w:fill="8B1A1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Very High</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sz w:val="20"/>
                      <w:szCs w:val="20"/>
                    </w:rPr>
                    <w:t xml:space="preserve">EGX Data Fit:</w:t>
                  </w:r>
                </w:p>
              </w:tc>
              <w:tc>
                <w:tcPr>
                  <w:tcW w:type="dxa" w:w="1500"/>
                  <w:tcBorders>
                    <w:top w:val="single" w:color="CCCCCC" w:sz="1"/>
                    <w:left w:val="single" w:color="CCCCCC" w:sz="1"/>
                    <w:bottom w:val="single" w:color="CCCCCC" w:sz="1"/>
                    <w:right w:val="single" w:color="CCCCCC" w:sz="1"/>
                  </w:tcBorders>
                  <w:shd w:fill="B5591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Medium</w:t>
                  </w:r>
                </w:p>
              </w:tc>
              <w:tc>
                <w:tcPr>
                  <w:tcW w:type="dxa" w:w="2000"/>
                  <w:tcBorders>
                    <w:top w:val="none" w:color="FFFFFF" w:sz="0"/>
                    <w:left w:val="none" w:color="FFFFFF" w:sz="0"/>
                    <w:bottom w:val="none" w:color="FFFFFF" w:sz="0"/>
                    <w:right w:val="none" w:color="FFFFFF" w:sz="0"/>
                  </w:tcBorders>
                </w:tcPr>
                <w:p>
                  <w:r>
                    <w:t xml:space="preserve"/>
                  </w:r>
                </w:p>
              </w:tc>
            </w:tr>
          </w:tbl>
          <w:p/>
        </w:tc>
      </w:tr>
      <w:tr>
        <w:tc>
          <w:tcPr>
            <w:tcW w:type="dxa" w:w="9360"/>
            <w:tcBorders>
              <w:top w:val="single" w:color="CCCCCC" w:sz="1"/>
              <w:left w:val="single" w:color="CCCCCC" w:sz="1"/>
              <w:bottom w:val="single" w:color="CCCCCC" w:sz="1"/>
              <w:right w:val="single" w:color="CCCCCC" w:sz="1"/>
            </w:tcBorders>
            <w:tcMar>
              <w:top w:type="dxa" w:w="120"/>
              <w:left w:type="dxa" w:w="180"/>
              <w:bottom w:type="dxa" w:w="80"/>
              <w:right w:type="dxa" w:w="180"/>
            </w:tcMar>
          </w:tcPr>
          <w:p>
            <w:pPr>
              <w:spacing w:after="80" w:before="0"/>
            </w:pPr>
            <w:r>
              <w:rPr>
                <w:rFonts w:ascii="Arial" w:cs="Arial" w:eastAsia="Arial" w:hAnsi="Arial"/>
                <w:b/>
                <w:bCs/>
                <w:color w:val="1A3C5E"/>
                <w:sz w:val="20"/>
                <w:szCs w:val="20"/>
              </w:rPr>
              <w:t xml:space="preserve">Overview</w:t>
            </w:r>
          </w:p>
          <w:p>
            <w:pPr>
              <w:spacing w:after="80" w:before="0"/>
            </w:pPr>
            <w:r>
              <w:rPr>
                <w:rFonts w:ascii="Arial" w:cs="Arial" w:eastAsia="Arial" w:hAnsi="Arial"/>
                <w:sz w:val="20"/>
                <w:szCs w:val="20"/>
              </w:rPr>
              <w:t xml:space="preserve">The Temporal Fusion Transformer (Lim et al., 2021) is specifically designed for multi-horizon time series forecasting with mixed static and dynamic covariates. It uses attention mechanisms to identify which historical time steps matter most for each forecast horizon. It produces quantile forecasts (10th, 50th, 90th percentile) natively.</w:t>
            </w:r>
          </w:p>
          <w:p>
            <w:pPr>
              <w:spacing w:after="60" w:before="80"/>
            </w:pPr>
            <w:r>
              <w:rPr>
                <w:rFonts w:ascii="Arial" w:cs="Arial" w:eastAsia="Arial" w:hAnsi="Arial"/>
                <w:b/>
                <w:bCs/>
                <w:color w:val="1A7340"/>
                <w:sz w:val="20"/>
                <w:szCs w:val="20"/>
              </w:rPr>
              <w:t xml:space="preserve">Strengths</w:t>
            </w:r>
          </w:p>
          <w:p>
            <w:pPr>
              <w:pStyle w:val="ListParagraph"/>
              <w:numPr>
                <w:ilvl w:val="0"/>
                <w:numId w:val="2"/>
              </w:numPr>
              <w:spacing w:after="20" w:before="20"/>
            </w:pPr>
            <w:r>
              <w:rPr>
                <w:rFonts w:ascii="Arial" w:cs="Arial" w:eastAsia="Arial" w:hAnsi="Arial"/>
                <w:sz w:val="20"/>
                <w:szCs w:val="20"/>
              </w:rPr>
              <w:t xml:space="preserve">State-of-the-art on financial multi-horizon forecasting benchmarks</w:t>
            </w:r>
          </w:p>
          <w:p>
            <w:pPr>
              <w:pStyle w:val="ListParagraph"/>
              <w:numPr>
                <w:ilvl w:val="0"/>
                <w:numId w:val="2"/>
              </w:numPr>
              <w:spacing w:after="20" w:before="20"/>
            </w:pPr>
            <w:r>
              <w:rPr>
                <w:rFonts w:ascii="Arial" w:cs="Arial" w:eastAsia="Arial" w:hAnsi="Arial"/>
                <w:sz w:val="20"/>
                <w:szCs w:val="20"/>
              </w:rPr>
              <w:t xml:space="preserve">Native quantile output: produces 10%, 50%, 90% prediction intervals in one pass</w:t>
            </w:r>
          </w:p>
          <w:p>
            <w:pPr>
              <w:pStyle w:val="ListParagraph"/>
              <w:numPr>
                <w:ilvl w:val="0"/>
                <w:numId w:val="2"/>
              </w:numPr>
              <w:spacing w:after="20" w:before="20"/>
            </w:pPr>
            <w:r>
              <w:rPr>
                <w:rFonts w:ascii="Arial" w:cs="Arial" w:eastAsia="Arial" w:hAnsi="Arial"/>
                <w:sz w:val="20"/>
                <w:szCs w:val="20"/>
              </w:rPr>
              <w:t xml:space="preserve">Interpretable attention weights: 'Model attended most to the price drop on Day -7'</w:t>
            </w:r>
          </w:p>
          <w:p>
            <w:pPr>
              <w:pStyle w:val="ListParagraph"/>
              <w:numPr>
                <w:ilvl w:val="0"/>
                <w:numId w:val="2"/>
              </w:numPr>
              <w:spacing w:after="20" w:before="20"/>
            </w:pPr>
            <w:r>
              <w:rPr>
                <w:rFonts w:ascii="Arial" w:cs="Arial" w:eastAsia="Arial" w:hAnsi="Arial"/>
                <w:sz w:val="20"/>
                <w:szCs w:val="20"/>
              </w:rPr>
              <w:t xml:space="preserve">Can incorporate static features (sector, market cap) and dynamic (daily prices, volumes)</w:t>
            </w:r>
          </w:p>
          <w:p>
            <w:pPr>
              <w:pStyle w:val="ListParagraph"/>
              <w:numPr>
                <w:ilvl w:val="0"/>
                <w:numId w:val="2"/>
              </w:numPr>
              <w:spacing w:after="20" w:before="20"/>
            </w:pPr>
            <w:r>
              <w:rPr>
                <w:rFonts w:ascii="Arial" w:cs="Arial" w:eastAsia="Arial" w:hAnsi="Arial"/>
                <w:sz w:val="20"/>
                <w:szCs w:val="20"/>
              </w:rPr>
              <w:t xml:space="preserve">PyTorch Forecasting library provides a production-ready TFT implementation</w:t>
            </w:r>
          </w:p>
          <w:p>
            <w:pPr>
              <w:spacing w:after="60" w:before="80"/>
            </w:pPr>
            <w:r>
              <w:rPr>
                <w:rFonts w:ascii="Arial" w:cs="Arial" w:eastAsia="Arial" w:hAnsi="Arial"/>
                <w:b/>
                <w:bCs/>
                <w:color w:val="8B1A1A"/>
                <w:sz w:val="20"/>
                <w:szCs w:val="20"/>
              </w:rPr>
              <w:t xml:space="preserve">Limitations</w:t>
            </w:r>
          </w:p>
          <w:p>
            <w:pPr>
              <w:pStyle w:val="ListParagraph"/>
              <w:numPr>
                <w:ilvl w:val="0"/>
                <w:numId w:val="2"/>
              </w:numPr>
              <w:spacing w:after="20" w:before="20"/>
            </w:pPr>
            <w:r>
              <w:rPr>
                <w:rFonts w:ascii="Arial" w:cs="Arial" w:eastAsia="Arial" w:hAnsi="Arial"/>
                <w:sz w:val="20"/>
                <w:szCs w:val="20"/>
              </w:rPr>
              <w:t xml:space="preserve">Very data hungry — EGX tickers need 3+ years of daily data minimum</w:t>
            </w:r>
          </w:p>
          <w:p>
            <w:pPr>
              <w:pStyle w:val="ListParagraph"/>
              <w:numPr>
                <w:ilvl w:val="0"/>
                <w:numId w:val="2"/>
              </w:numPr>
              <w:spacing w:after="20" w:before="20"/>
            </w:pPr>
            <w:r>
              <w:rPr>
                <w:rFonts w:ascii="Arial" w:cs="Arial" w:eastAsia="Arial" w:hAnsi="Arial"/>
                <w:sz w:val="20"/>
                <w:szCs w:val="20"/>
              </w:rPr>
              <w:t xml:space="preserve">GPU training recommended — slow on CPU for large datasets</w:t>
            </w:r>
          </w:p>
          <w:p>
            <w:pPr>
              <w:pStyle w:val="ListParagraph"/>
              <w:numPr>
                <w:ilvl w:val="0"/>
                <w:numId w:val="2"/>
              </w:numPr>
              <w:spacing w:after="20" w:before="20"/>
            </w:pPr>
            <w:r>
              <w:rPr>
                <w:rFonts w:ascii="Arial" w:cs="Arial" w:eastAsia="Arial" w:hAnsi="Arial"/>
                <w:sz w:val="20"/>
                <w:szCs w:val="20"/>
              </w:rPr>
              <w:t xml:space="preserve">Hyperparameter sensitivity is high — requires systematic tuning (Optuna)</w:t>
            </w:r>
          </w:p>
          <w:p>
            <w:pPr>
              <w:pStyle w:val="ListParagraph"/>
              <w:numPr>
                <w:ilvl w:val="0"/>
                <w:numId w:val="2"/>
              </w:numPr>
              <w:spacing w:after="20" w:before="20"/>
            </w:pPr>
            <w:r>
              <w:rPr>
                <w:rFonts w:ascii="Arial" w:cs="Arial" w:eastAsia="Arial" w:hAnsi="Arial"/>
                <w:sz w:val="20"/>
                <w:szCs w:val="20"/>
              </w:rPr>
              <w:t xml:space="preserve">Significantly more complex to deploy and maintain than all statistical models</w:t>
            </w:r>
          </w:p>
          <w:p>
            <w:pPr>
              <w:pStyle w:val="ListParagraph"/>
              <w:numPr>
                <w:ilvl w:val="0"/>
                <w:numId w:val="2"/>
              </w:numPr>
              <w:spacing w:after="20" w:before="20"/>
            </w:pPr>
            <w:r>
              <w:rPr>
                <w:rFonts w:ascii="Arial" w:cs="Arial" w:eastAsia="Arial" w:hAnsi="Arial"/>
                <w:sz w:val="20"/>
                <w:szCs w:val="20"/>
              </w:rPr>
              <w:t xml:space="preserve">May underperform simpler models on thin EGX tickers with sparse volume</w:t>
            </w:r>
          </w:p>
          <w:p>
            <w:pPr>
              <w:spacing w:after="40" w:before="80"/>
            </w:pPr>
            <w:r>
              <w:rPr>
                <w:rFonts w:ascii="Arial" w:cs="Arial" w:eastAsia="Arial" w:hAnsi="Arial"/>
                <w:b/>
                <w:bCs/>
                <w:color w:val="2E86AB"/>
                <w:sz w:val="20"/>
                <w:szCs w:val="20"/>
              </w:rPr>
              <w:t xml:space="preserve">Best Used For: </w:t>
            </w:r>
            <w:r>
              <w:rPr>
                <w:rFonts w:ascii="Arial" w:cs="Arial" w:eastAsia="Arial" w:hAnsi="Arial"/>
                <w:sz w:val="20"/>
                <w:szCs w:val="20"/>
              </w:rPr>
              <w:t xml:space="preserve">Long-term roadmap for Basira v2.0. Prioritize for high-cap, high-liquidity EGX30 constituents first. Position as 'Basira AI Premium — Next-Generation Forecast Engine'.</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120"/>
              <w:left w:type="dxa" w:w="180"/>
              <w:bottom w:type="dxa" w:w="120"/>
              <w:right w:type="dxa" w:w="180"/>
            </w:tcMar>
          </w:tcPr>
          <w:p>
            <w:r>
              <w:rPr>
                <w:rFonts w:ascii="Arial" w:cs="Arial" w:eastAsia="Arial" w:hAnsi="Arial"/>
                <w:b/>
                <w:bCs/>
                <w:color w:val="AACCEE"/>
                <w:sz w:val="24"/>
                <w:szCs w:val="24"/>
              </w:rPr>
              <w:t xml:space="preserve">Model 10: </w:t>
            </w:r>
            <w:r>
              <w:rPr>
                <w:rFonts w:ascii="Arial" w:cs="Arial" w:eastAsia="Arial" w:hAnsi="Arial"/>
                <w:b/>
                <w:bCs/>
                <w:color w:val="FFFFFF"/>
                <w:sz w:val="24"/>
                <w:szCs w:val="24"/>
              </w:rPr>
              <w:t xml:space="preserve">Conformal Prediction + Quantile Regression</w:t>
            </w:r>
            <w:r>
              <w:rPr>
                <w:rFonts w:ascii="Arial" w:cs="Arial" w:eastAsia="Arial" w:hAnsi="Arial"/>
                <w:color w:val="AACCEE"/>
                <w:sz w:val="20"/>
                <w:szCs w:val="20"/>
              </w:rPr>
              <w:t xml:space="preserve">  [Uncertainty Quantification]</w:t>
            </w:r>
          </w:p>
        </w:tc>
      </w:tr>
      <w:tr>
        <w:tc>
          <w:tcPr>
            <w:tcW w:type="dxa" w:w="9360"/>
            <w:tcBorders>
              <w:top w:val="none" w:color="FFFFFF" w:sz="0"/>
              <w:left w:val="none" w:color="FFFFFF" w:sz="0"/>
              <w:bottom w:val="none" w:color="FFFFFF" w:sz="0"/>
              <w:right w:val="none" w:color="FFFFFF" w:sz="0"/>
            </w:tcBorders>
            <w:shd w:fill="F4F6F8" w:val="clear"/>
            <w:tcMar>
              <w:top w:type="dxa" w:w="80"/>
              <w:left w:type="dxa" w:w="180"/>
              <w:bottom w:type="dxa" w:w="80"/>
              <w:right w:type="dxa" w:w="180"/>
            </w:tcMar>
          </w:tcPr>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1500"/>
              <w:gridCol w:w="2000"/>
            </w:tblGrid>
            <w:tr>
              <w:tc>
                <w:tcPr>
                  <w:tcW w:type="dxa" w:w="2500"/>
                  <w:tcBorders>
                    <w:top w:val="none" w:color="FFFFFF" w:sz="0"/>
                    <w:left w:val="none" w:color="FFFFFF" w:sz="0"/>
                    <w:bottom w:val="none" w:color="FFFFFF" w:sz="0"/>
                    <w:right w:val="none" w:color="FFFFFF" w:sz="0"/>
                  </w:tcBorders>
                  <w:tcMar>
                    <w:top w:type="dxa" w:w="40"/>
                    <w:left w:type="dxa" w:w="0"/>
                    <w:bottom w:type="dxa" w:w="40"/>
                    <w:right w:type="dxa" w:w="40"/>
                  </w:tcMar>
                </w:tcPr>
                <w:p>
                  <w:r>
                    <w:rPr>
                      <w:rFonts w:ascii="Arial" w:cs="Arial" w:eastAsia="Arial" w:hAnsi="Arial"/>
                      <w:b/>
                      <w:bCs/>
                      <w:sz w:val="20"/>
                      <w:szCs w:val="20"/>
                    </w:rPr>
                    <w:t xml:space="preserve">Complexity:</w:t>
                  </w:r>
                </w:p>
              </w:tc>
              <w:tc>
                <w:tcPr>
                  <w:tcW w:type="dxa" w:w="1500"/>
                  <w:tcBorders>
                    <w:top w:val="single" w:color="CCCCCC" w:sz="1"/>
                    <w:left w:val="single" w:color="CCCCCC" w:sz="1"/>
                    <w:bottom w:val="single" w:color="CCCCCC" w:sz="1"/>
                    <w:right w:val="single" w:color="CCCCCC" w:sz="1"/>
                  </w:tcBorders>
                  <w:shd w:fill="B5591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Medium</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sz w:val="20"/>
                      <w:szCs w:val="20"/>
                    </w:rPr>
                    <w:t xml:space="preserve">EGX Data Fit:</w:t>
                  </w:r>
                </w:p>
              </w:tc>
              <w:tc>
                <w:tcPr>
                  <w:tcW w:type="dxa" w:w="1500"/>
                  <w:tcBorders>
                    <w:top w:val="single" w:color="CCCCCC" w:sz="1"/>
                    <w:left w:val="single" w:color="CCCCCC" w:sz="1"/>
                    <w:bottom w:val="single" w:color="CCCCCC" w:sz="1"/>
                    <w:right w:val="single" w:color="CCCCCC" w:sz="1"/>
                  </w:tcBorders>
                  <w:shd w:fill="1A734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High</w:t>
                  </w:r>
                </w:p>
              </w:tc>
              <w:tc>
                <w:tcPr>
                  <w:tcW w:type="dxa" w:w="2000"/>
                  <w:tcBorders>
                    <w:top w:val="none" w:color="FFFFFF" w:sz="0"/>
                    <w:left w:val="none" w:color="FFFFFF" w:sz="0"/>
                    <w:bottom w:val="none" w:color="FFFFFF" w:sz="0"/>
                    <w:right w:val="none" w:color="FFFFFF" w:sz="0"/>
                  </w:tcBorders>
                </w:tcPr>
                <w:p>
                  <w:r>
                    <w:t xml:space="preserve"/>
                  </w:r>
                </w:p>
              </w:tc>
            </w:tr>
          </w:tbl>
          <w:p/>
        </w:tc>
      </w:tr>
      <w:tr>
        <w:tc>
          <w:tcPr>
            <w:tcW w:type="dxa" w:w="9360"/>
            <w:tcBorders>
              <w:top w:val="single" w:color="CCCCCC" w:sz="1"/>
              <w:left w:val="single" w:color="CCCCCC" w:sz="1"/>
              <w:bottom w:val="single" w:color="CCCCCC" w:sz="1"/>
              <w:right w:val="single" w:color="CCCCCC" w:sz="1"/>
            </w:tcBorders>
            <w:tcMar>
              <w:top w:type="dxa" w:w="120"/>
              <w:left w:type="dxa" w:w="180"/>
              <w:bottom w:type="dxa" w:w="80"/>
              <w:right w:type="dxa" w:w="180"/>
            </w:tcMar>
          </w:tcPr>
          <w:p>
            <w:pPr>
              <w:spacing w:after="80" w:before="0"/>
            </w:pPr>
            <w:r>
              <w:rPr>
                <w:rFonts w:ascii="Arial" w:cs="Arial" w:eastAsia="Arial" w:hAnsi="Arial"/>
                <w:b/>
                <w:bCs/>
                <w:color w:val="1A3C5E"/>
                <w:sz w:val="20"/>
                <w:szCs w:val="20"/>
              </w:rPr>
              <w:t xml:space="preserve">Overview</w:t>
            </w:r>
          </w:p>
          <w:p>
            <w:pPr>
              <w:spacing w:after="80" w:before="0"/>
            </w:pPr>
            <w:r>
              <w:rPr>
                <w:rFonts w:ascii="Arial" w:cs="Arial" w:eastAsia="Arial" w:hAnsi="Arial"/>
                <w:sz w:val="20"/>
                <w:szCs w:val="20"/>
              </w:rPr>
              <w:t xml:space="preserve">Conformal Prediction is a model-agnostic framework that produces guaranteed coverage probability intervals without distributional assumptions. Applied to financial forecasting: take any base model (GBM, XGBoost, LSTM), compute calibration set residuals, and apply conformal scores to produce intervals that actually contain the true value at the stated confidence level (e.g., 95% of the time). Quantile Regression (QR) directly estimates the conditional quantiles of the return distribution.</w:t>
            </w:r>
          </w:p>
          <w:p>
            <w:pPr>
              <w:spacing w:after="60" w:before="80"/>
            </w:pPr>
            <w:r>
              <w:rPr>
                <w:rFonts w:ascii="Arial" w:cs="Arial" w:eastAsia="Arial" w:hAnsi="Arial"/>
                <w:b/>
                <w:bCs/>
                <w:color w:val="1A7340"/>
                <w:sz w:val="20"/>
                <w:szCs w:val="20"/>
              </w:rPr>
              <w:t xml:space="preserve">Strengths</w:t>
            </w:r>
          </w:p>
          <w:p>
            <w:pPr>
              <w:pStyle w:val="ListParagraph"/>
              <w:numPr>
                <w:ilvl w:val="0"/>
                <w:numId w:val="2"/>
              </w:numPr>
              <w:spacing w:after="20" w:before="20"/>
            </w:pPr>
            <w:r>
              <w:rPr>
                <w:rFonts w:ascii="Arial" w:cs="Arial" w:eastAsia="Arial" w:hAnsi="Arial"/>
                <w:sz w:val="20"/>
                <w:szCs w:val="20"/>
              </w:rPr>
              <w:t xml:space="preserve">Coverage guarantees: unlike GBM's PI which assumes normality, conformal intervals are distribution-free</w:t>
            </w:r>
          </w:p>
          <w:p>
            <w:pPr>
              <w:pStyle w:val="ListParagraph"/>
              <w:numPr>
                <w:ilvl w:val="0"/>
                <w:numId w:val="2"/>
              </w:numPr>
              <w:spacing w:after="20" w:before="20"/>
            </w:pPr>
            <w:r>
              <w:rPr>
                <w:rFonts w:ascii="Arial" w:cs="Arial" w:eastAsia="Arial" w:hAnsi="Arial"/>
                <w:sz w:val="20"/>
                <w:szCs w:val="20"/>
              </w:rPr>
              <w:t xml:space="preserve">Model-agnostic: wraps around your existing GBM or any new model</w:t>
            </w:r>
          </w:p>
          <w:p>
            <w:pPr>
              <w:pStyle w:val="ListParagraph"/>
              <w:numPr>
                <w:ilvl w:val="0"/>
                <w:numId w:val="2"/>
              </w:numPr>
              <w:spacing w:after="20" w:before="20"/>
            </w:pPr>
            <w:r>
              <w:rPr>
                <w:rFonts w:ascii="Arial" w:cs="Arial" w:eastAsia="Arial" w:hAnsi="Arial"/>
                <w:sz w:val="20"/>
                <w:szCs w:val="20"/>
              </w:rPr>
              <w:t xml:space="preserve">Quantile regression loss (Pinball loss) directly trains models for interval prediction</w:t>
            </w:r>
          </w:p>
          <w:p>
            <w:pPr>
              <w:pStyle w:val="ListParagraph"/>
              <w:numPr>
                <w:ilvl w:val="0"/>
                <w:numId w:val="2"/>
              </w:numPr>
              <w:spacing w:after="20" w:before="20"/>
            </w:pPr>
            <w:r>
              <w:rPr>
                <w:rFonts w:ascii="Arial" w:cs="Arial" w:eastAsia="Arial" w:hAnsi="Arial"/>
                <w:sz w:val="20"/>
                <w:szCs w:val="20"/>
              </w:rPr>
              <w:t xml:space="preserve">MAPIE library in Python implements conformal prediction in 5 lines of code</w:t>
            </w:r>
          </w:p>
          <w:p>
            <w:pPr>
              <w:pStyle w:val="ListParagraph"/>
              <w:numPr>
                <w:ilvl w:val="0"/>
                <w:numId w:val="2"/>
              </w:numPr>
              <w:spacing w:after="20" w:before="20"/>
            </w:pPr>
            <w:r>
              <w:rPr>
                <w:rFonts w:ascii="Arial" w:cs="Arial" w:eastAsia="Arial" w:hAnsi="Arial"/>
                <w:sz w:val="20"/>
                <w:szCs w:val="20"/>
              </w:rPr>
              <w:t xml:space="preserve">Produces asymmetric intervals — allows 'more upside than downside' or vice versa</w:t>
            </w:r>
          </w:p>
          <w:p>
            <w:pPr>
              <w:spacing w:after="60" w:before="80"/>
            </w:pPr>
            <w:r>
              <w:rPr>
                <w:rFonts w:ascii="Arial" w:cs="Arial" w:eastAsia="Arial" w:hAnsi="Arial"/>
                <w:b/>
                <w:bCs/>
                <w:color w:val="8B1A1A"/>
                <w:sz w:val="20"/>
                <w:szCs w:val="20"/>
              </w:rPr>
              <w:t xml:space="preserve">Limitations</w:t>
            </w:r>
          </w:p>
          <w:p>
            <w:pPr>
              <w:pStyle w:val="ListParagraph"/>
              <w:numPr>
                <w:ilvl w:val="0"/>
                <w:numId w:val="2"/>
              </w:numPr>
              <w:spacing w:after="20" w:before="20"/>
            </w:pPr>
            <w:r>
              <w:rPr>
                <w:rFonts w:ascii="Arial" w:cs="Arial" w:eastAsia="Arial" w:hAnsi="Arial"/>
                <w:sz w:val="20"/>
                <w:szCs w:val="20"/>
              </w:rPr>
              <w:t xml:space="preserve">Requires a held-out calibration set — reduces the training data available</w:t>
            </w:r>
          </w:p>
          <w:p>
            <w:pPr>
              <w:pStyle w:val="ListParagraph"/>
              <w:numPr>
                <w:ilvl w:val="0"/>
                <w:numId w:val="2"/>
              </w:numPr>
              <w:spacing w:after="20" w:before="20"/>
            </w:pPr>
            <w:r>
              <w:rPr>
                <w:rFonts w:ascii="Arial" w:cs="Arial" w:eastAsia="Arial" w:hAnsi="Arial"/>
                <w:sz w:val="20"/>
                <w:szCs w:val="20"/>
              </w:rPr>
              <w:t xml:space="preserve">Coverage guarantee is marginal (average), not conditional on each stock state</w:t>
            </w:r>
          </w:p>
          <w:p>
            <w:pPr>
              <w:pStyle w:val="ListParagraph"/>
              <w:numPr>
                <w:ilvl w:val="0"/>
                <w:numId w:val="2"/>
              </w:numPr>
              <w:spacing w:after="20" w:before="20"/>
            </w:pPr>
            <w:r>
              <w:rPr>
                <w:rFonts w:ascii="Arial" w:cs="Arial" w:eastAsia="Arial" w:hAnsi="Arial"/>
                <w:sz w:val="20"/>
                <w:szCs w:val="20"/>
              </w:rPr>
              <w:t xml:space="preserve">Quantile regression requires separate models for each quantile (10th, 50th, 90th)</w:t>
            </w:r>
          </w:p>
          <w:p>
            <w:pPr>
              <w:pStyle w:val="ListParagraph"/>
              <w:numPr>
                <w:ilvl w:val="0"/>
                <w:numId w:val="2"/>
              </w:numPr>
              <w:spacing w:after="20" w:before="20"/>
            </w:pPr>
            <w:r>
              <w:rPr>
                <w:rFonts w:ascii="Arial" w:cs="Arial" w:eastAsia="Arial" w:hAnsi="Arial"/>
                <w:sz w:val="20"/>
                <w:szCs w:val="20"/>
              </w:rPr>
              <w:t xml:space="preserve">Interval width can be large on highly volatile EGX periods — may alarm users unnecessarily</w:t>
            </w:r>
          </w:p>
          <w:p>
            <w:pPr>
              <w:spacing w:after="40" w:before="80"/>
            </w:pPr>
            <w:r>
              <w:rPr>
                <w:rFonts w:ascii="Arial" w:cs="Arial" w:eastAsia="Arial" w:hAnsi="Arial"/>
                <w:b/>
                <w:bCs/>
                <w:color w:val="2E86AB"/>
                <w:sz w:val="20"/>
                <w:szCs w:val="20"/>
              </w:rPr>
              <w:t xml:space="preserve">Best Used For: </w:t>
            </w:r>
            <w:r>
              <w:rPr>
                <w:rFonts w:ascii="Arial" w:cs="Arial" w:eastAsia="Arial" w:hAnsi="Arial"/>
                <w:sz w:val="20"/>
                <w:szCs w:val="20"/>
              </w:rPr>
              <w:t xml:space="preserve">Use conformal prediction to wrap your existing GBM intervals — immediately improves calibration without changing the core model. The most cost-effective accuracy upgrade available right now.</w:t>
            </w:r>
          </w:p>
        </w:tc>
      </w:tr>
    </w:tbl>
    <w:p>
      <w:r>
        <w:br w:type="page"/>
      </w:r>
    </w:p>
    <w:p>
      <w:pPr>
        <w:pStyle w:val="Heading1"/>
        <w:pBdr>
          <w:bottom w:val="single" w:color="2E86AB" w:sz="8" w:space="4"/>
        </w:pBdr>
        <w:spacing w:after="200" w:before="400"/>
      </w:pPr>
      <w:r>
        <w:rPr>
          <w:rFonts w:ascii="Arial" w:cs="Arial" w:eastAsia="Arial" w:hAnsi="Arial"/>
          <w:b/>
          <w:bCs/>
          <w:color w:val="1A3C5E"/>
          <w:sz w:val="32"/>
          <w:szCs w:val="32"/>
        </w:rPr>
        <w:t xml:space="preserve">3. Implementation Roadmap for Basira</w:t>
      </w:r>
    </w:p>
    <w:p>
      <w:pPr>
        <w:spacing w:after="0" w:before="80"/>
      </w:pPr>
      <w:r>
        <w:t xml:space="preserve"/>
      </w:r>
    </w:p>
    <w:p>
      <w:pPr>
        <w:pStyle w:val="Heading2"/>
        <w:spacing w:after="120" w:before="300"/>
      </w:pPr>
      <w:r>
        <w:rPr>
          <w:rFonts w:ascii="Arial" w:cs="Arial" w:eastAsia="Arial" w:hAnsi="Arial"/>
          <w:b/>
          <w:bCs/>
          <w:color w:val="2E86AB"/>
          <w:sz w:val="26"/>
          <w:szCs w:val="26"/>
        </w:rPr>
        <w:t xml:space="preserve">Phase 1 — Quick Wins (1–4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Goal</w:t>
            </w:r>
          </w:p>
          <w:p>
            <w:pPr>
              <w:spacing w:after="0" w:before="0"/>
            </w:pPr>
            <w:r>
              <w:rPr>
                <w:rFonts w:ascii="Arial" w:cs="Arial" w:eastAsia="Arial" w:hAnsi="Arial"/>
                <w:sz w:val="20"/>
                <w:szCs w:val="20"/>
              </w:rPr>
              <w:t xml:space="preserve">Improve accuracy and add volatility awareness without rebuilding the core architecture.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760"/>
        <w:gridCol w:w="1800"/>
      </w:tblGrid>
      <w:tr>
        <w:trPr>
          <w:tblHeader/>
        </w:trP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2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Impact</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GARCH(1,1) volatility estimation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GARCH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PI bands, better risk display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days</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Wrap GBM with Conformal Prediction</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Conformal PI</w:t>
            </w:r>
          </w:p>
        </w:tc>
        <w:tc>
          <w:tcPr>
            <w:tcW w:type="dxa" w:w="2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Calibrated 95% coverage guarantee</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1–2 days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Jump-Diffusion as Model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Merton Jump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Better fat-tail simulation paths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days</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Show ARIMA side-by-side as baseline</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ARIMA</w:t>
            </w:r>
          </w:p>
        </w:tc>
        <w:tc>
          <w:tcPr>
            <w:tcW w:type="dxa" w:w="2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Benchmark + model comparison UI</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1–2 days</w:t>
            </w:r>
          </w:p>
        </w:tc>
      </w:tr>
    </w:tbl>
    <w:p>
      <w:pPr>
        <w:spacing w:after="0" w:before="120"/>
      </w:pPr>
      <w:r>
        <w:t xml:space="preserve"/>
      </w:r>
    </w:p>
    <w:p>
      <w:pPr>
        <w:pStyle w:val="Heading2"/>
        <w:spacing w:after="120" w:before="300"/>
      </w:pPr>
      <w:r>
        <w:rPr>
          <w:rFonts w:ascii="Arial" w:cs="Arial" w:eastAsia="Arial" w:hAnsi="Arial"/>
          <w:b/>
          <w:bCs/>
          <w:color w:val="2E86AB"/>
          <w:sz w:val="26"/>
          <w:szCs w:val="26"/>
        </w:rPr>
        <w:t xml:space="preserve">Phase 2 — Feature Intelligence (1–3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Goal</w:t>
            </w:r>
          </w:p>
          <w:p>
            <w:pPr>
              <w:spacing w:after="0" w:before="0"/>
            </w:pPr>
            <w:r>
              <w:rPr>
                <w:rFonts w:ascii="Arial" w:cs="Arial" w:eastAsia="Arial" w:hAnsi="Arial"/>
                <w:sz w:val="20"/>
                <w:szCs w:val="20"/>
              </w:rPr>
              <w:t xml:space="preserve">Introduce machine learning signals and regime detection for the Pro tier.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760"/>
        <w:gridCol w:w="1800"/>
      </w:tblGrid>
      <w:tr>
        <w:trPr>
          <w:tblHeader/>
        </w:trP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2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Impact</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technical feature pipeline (RSI, MACD, ATR, BB)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XGBoost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+15–25% MAPE improvement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weeks</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Train LightGBM classifier: UP/DOWN/FLAT next 5 days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LightGBM</w:t>
            </w:r>
          </w:p>
        </w:tc>
        <w:tc>
          <w:tcPr>
            <w:tcW w:type="dxa" w:w="2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Direction accuracy signal</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1–2 weeks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HMM regime detection (3 states)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HMM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context labels for UI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weeks</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Add SHAP explainability layer</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SHAP</w:t>
            </w:r>
          </w:p>
        </w:tc>
        <w:tc>
          <w:tcPr>
            <w:tcW w:type="dxa" w:w="2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Pro tier: 'Why' panel on forecasts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3–5 days</w:t>
            </w:r>
          </w:p>
        </w:tc>
      </w:tr>
    </w:tbl>
    <w:p>
      <w:pPr>
        <w:spacing w:after="0" w:before="120"/>
      </w:pPr>
      <w:r>
        <w:t xml:space="preserve"/>
      </w:r>
    </w:p>
    <w:p>
      <w:pPr>
        <w:pStyle w:val="Heading2"/>
        <w:spacing w:after="120" w:before="300"/>
      </w:pPr>
      <w:r>
        <w:rPr>
          <w:rFonts w:ascii="Arial" w:cs="Arial" w:eastAsia="Arial" w:hAnsi="Arial"/>
          <w:b/>
          <w:bCs/>
          <w:color w:val="2E86AB"/>
          <w:sz w:val="26"/>
          <w:szCs w:val="26"/>
        </w:rPr>
        <w:t xml:space="preserve">Phase 3 — Deep Learning (3–6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Goal</w:t>
            </w:r>
          </w:p>
          <w:p>
            <w:pPr>
              <w:spacing w:after="0" w:before="0"/>
            </w:pPr>
            <w:r>
              <w:rPr>
                <w:rFonts w:ascii="Arial" w:cs="Arial" w:eastAsia="Arial" w:hAnsi="Arial"/>
                <w:sz w:val="20"/>
                <w:szCs w:val="20"/>
              </w:rPr>
              <w:t xml:space="preserve">Build LSTM and TFT models for high-cap EGX30 tickers for Premium tier.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760"/>
        <w:gridCol w:w="1800"/>
      </w:tblGrid>
      <w:tr>
        <w:trPr>
          <w:tblHeader/>
        </w:trP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2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Impact</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LSTM sequence model for EGX30 tickers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LSTM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Nonlinear pattern capture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 weeks</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Monte Carlo Ensemble aggregation layer</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Ensemble</w:t>
            </w:r>
          </w:p>
        </w:tc>
        <w:tc>
          <w:tcPr>
            <w:tcW w:type="dxa" w:w="2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Best-in-class uncertainty estimates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1–2 weeks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TFT for top 10 EGX30 by liquidity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TFT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Premium flagship 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 weeks</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Model performance leaderboard dashboard</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All models</w:t>
            </w:r>
          </w:p>
        </w:tc>
        <w:tc>
          <w:tcPr>
            <w:tcW w:type="dxa" w:w="2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Transparency &amp; trust for users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1 week</w:t>
            </w:r>
          </w:p>
        </w:tc>
      </w:tr>
    </w:tbl>
    <w:p>
      <w:r>
        <w:br w:type="page"/>
      </w:r>
    </w:p>
    <w:p>
      <w:pPr>
        <w:pStyle w:val="Heading1"/>
        <w:pBdr>
          <w:bottom w:val="single" w:color="2E86AB" w:sz="8" w:space="4"/>
        </w:pBdr>
        <w:spacing w:after="200" w:before="400"/>
      </w:pPr>
      <w:r>
        <w:rPr>
          <w:rFonts w:ascii="Arial" w:cs="Arial" w:eastAsia="Arial" w:hAnsi="Arial"/>
          <w:b/>
          <w:bCs/>
          <w:color w:val="1A3C5E"/>
          <w:sz w:val="32"/>
          <w:szCs w:val="32"/>
        </w:rPr>
        <w:t xml:space="preserve">4. Basira UI Integration — Multi-Model Display</w:t>
      </w:r>
    </w:p>
    <w:p>
      <w:pPr>
        <w:spacing w:after="0" w:before="80"/>
      </w:pPr>
      <w:r>
        <w:t xml:space="preserve"/>
      </w:r>
    </w:p>
    <w:p>
      <w:pPr>
        <w:spacing w:after="100" w:before="80"/>
      </w:pPr>
      <w:r>
        <w:rPr>
          <w:rFonts w:ascii="Arial" w:cs="Arial" w:eastAsia="Arial" w:hAnsi="Arial"/>
          <w:sz w:val="22"/>
          <w:szCs w:val="22"/>
        </w:rPr>
        <w:t xml:space="preserve">The highest-value feature for Basira's platform is not picking the single best model — it is showing users all models simultaneously so they can compare predictions. This creates transparency, builds trust, and differentiates Basira from generic financial data providers.</w:t>
      </w:r>
    </w:p>
    <w:p>
      <w:pPr>
        <w:spacing w:after="0" w:before="80"/>
      </w:pPr>
      <w:r>
        <w:t xml:space="preserve"/>
      </w:r>
    </w:p>
    <w:p>
      <w:pPr>
        <w:pStyle w:val="Heading2"/>
        <w:spacing w:after="120" w:before="300"/>
      </w:pPr>
      <w:r>
        <w:rPr>
          <w:rFonts w:ascii="Arial" w:cs="Arial" w:eastAsia="Arial" w:hAnsi="Arial"/>
          <w:b/>
          <w:bCs/>
          <w:color w:val="2E86AB"/>
          <w:sz w:val="26"/>
          <w:szCs w:val="26"/>
        </w:rPr>
        <w:t xml:space="preserve">Recommended Chart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Stock Analysis Page — Forecast Panel Design</w:t>
            </w:r>
          </w:p>
          <w:p>
            <w:pPr>
              <w:spacing w:after="0" w:before="0"/>
            </w:pPr>
            <w:r>
              <w:rPr>
                <w:rFonts w:ascii="Arial" w:cs="Arial" w:eastAsia="Arial" w:hAnsi="Arial"/>
                <w:sz w:val="20"/>
                <w:szCs w:val="20"/>
              </w:rPr>
              <w:t xml:space="preserve">Top row: Model selector tabs [GBM | Jump-Diffusion | ARIMA | LightGBM | Ensemble]
Main chart: Show selected model's median path + PI band in primary color
Overlay panel: Ghost lines of all other models in 30% opacity
Bottom row: Metrics table [MAPE | RMSE | PI Coverage | Regime] per model
Right sidebar: SHAP panel (Pro/Premium) — top 3 features driving today's forecast</w:t>
            </w:r>
          </w:p>
        </w:tc>
      </w:tr>
    </w:tbl>
    <w:p>
      <w:pPr>
        <w:spacing w:after="0" w:before="120"/>
      </w:pPr>
      <w:r>
        <w:t xml:space="preserve"/>
      </w:r>
    </w:p>
    <w:p>
      <w:pPr>
        <w:pStyle w:val="Heading2"/>
        <w:spacing w:after="120" w:before="300"/>
      </w:pPr>
      <w:r>
        <w:rPr>
          <w:rFonts w:ascii="Arial" w:cs="Arial" w:eastAsia="Arial" w:hAnsi="Arial"/>
          <w:b/>
          <w:bCs/>
          <w:color w:val="2E86AB"/>
          <w:sz w:val="26"/>
          <w:szCs w:val="26"/>
        </w:rPr>
        <w:t xml:space="preserve">Per-Tier Model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1600"/>
        <w:gridCol w:w="2660"/>
      </w:tblGrid>
      <w:tr>
        <w:trPr>
          <w:tblHeader/>
        </w:trPr>
        <w:tc>
          <w:tcPr>
            <w:tcW w:type="dxa" w:w="3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Free</w:t>
            </w:r>
          </w:p>
        </w:tc>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w:t>
            </w:r>
          </w:p>
        </w:tc>
        <w:tc>
          <w:tcPr>
            <w:tcW w:type="dxa" w:w="26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Premium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GBM (15-day)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Full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Full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Full</w:t>
            </w:r>
          </w:p>
        </w:tc>
      </w:tr>
      <w:tr>
        <w:tc>
          <w:tcPr>
            <w:tcW w:type="dxa" w:w="3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ARIMA Baseline</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 Full</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 Full</w:t>
            </w:r>
          </w:p>
        </w:tc>
        <w:tc>
          <w:tcPr>
            <w:tcW w:type="dxa" w:w="26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 Full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Conformal PI Calibration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Full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Full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Full</w:t>
            </w:r>
          </w:p>
        </w:tc>
      </w:tr>
      <w:tr>
        <w:tc>
          <w:tcPr>
            <w:tcW w:type="dxa" w:w="3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Jump-Diffusion (Merton)</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 Full</w:t>
            </w:r>
          </w:p>
        </w:tc>
        <w:tc>
          <w:tcPr>
            <w:tcW w:type="dxa" w:w="26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 Full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GARCH Volatility Regime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Full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Full</w:t>
            </w:r>
          </w:p>
        </w:tc>
      </w:tr>
      <w:tr>
        <w:tc>
          <w:tcPr>
            <w:tcW w:type="dxa" w:w="3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LightGBM Direction Signal</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 Full</w:t>
            </w:r>
          </w:p>
        </w:tc>
        <w:tc>
          <w:tcPr>
            <w:tcW w:type="dxa" w:w="26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 Full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HMM Regime Detection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Full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Full</w:t>
            </w:r>
          </w:p>
        </w:tc>
      </w:tr>
      <w:tr>
        <w:tc>
          <w:tcPr>
            <w:tcW w:type="dxa" w:w="3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SHAP Explainability</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 Top 3 features</w:t>
            </w:r>
          </w:p>
        </w:tc>
        <w:tc>
          <w:tcPr>
            <w:tcW w:type="dxa" w:w="26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 Full SHAP panel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LSTM Deep Learning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EGX30 only</w:t>
            </w:r>
          </w:p>
        </w:tc>
      </w:tr>
      <w:tr>
        <w:tc>
          <w:tcPr>
            <w:tcW w:type="dxa" w:w="3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Monte Carlo Ensemble</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w:t>
            </w:r>
          </w:p>
        </w:tc>
        <w:tc>
          <w:tcPr>
            <w:tcW w:type="dxa" w:w="26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 Full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TFT Premium Engine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Top 10 tickers</w:t>
            </w:r>
          </w:p>
        </w:tc>
      </w:tr>
    </w:tbl>
    <w:p>
      <w:r>
        <w:br w:type="page"/>
      </w:r>
    </w:p>
    <w:p>
      <w:pPr>
        <w:pStyle w:val="Heading1"/>
        <w:pBdr>
          <w:bottom w:val="single" w:color="2E86AB" w:sz="8" w:space="4"/>
        </w:pBdr>
        <w:spacing w:after="200" w:before="400"/>
      </w:pPr>
      <w:r>
        <w:rPr>
          <w:rFonts w:ascii="Arial" w:cs="Arial" w:eastAsia="Arial" w:hAnsi="Arial"/>
          <w:b/>
          <w:bCs/>
          <w:color w:val="1A3C5E"/>
          <w:sz w:val="32"/>
          <w:szCs w:val="32"/>
        </w:rPr>
        <w:t xml:space="preserve">5. EGX-Specific Calibration Notes</w:t>
      </w:r>
    </w:p>
    <w:p>
      <w:pPr>
        <w:spacing w:after="0" w:before="80"/>
      </w:pPr>
      <w:r>
        <w:t xml:space="preserve"/>
      </w:r>
    </w:p>
    <w:p>
      <w:pPr>
        <w:spacing w:after="100" w:before="80"/>
      </w:pPr>
      <w:r>
        <w:rPr>
          <w:rFonts w:ascii="Arial" w:cs="Arial" w:eastAsia="Arial" w:hAnsi="Arial"/>
          <w:sz w:val="22"/>
          <w:szCs w:val="22"/>
        </w:rPr>
        <w:t xml:space="preserve">The Egyptian Exchange (EGX) has structural characteristics that require model adaptation beyond what textbook implementations assume. Ignoring these leads to systematically overconfident or biased forecasts.</w:t>
      </w:r>
    </w:p>
    <w:p>
      <w:pPr>
        <w:spacing w:after="0" w:before="80"/>
      </w:pPr>
      <w:r>
        <w:t xml:space="preserve"/>
      </w:r>
    </w:p>
    <w:p>
      <w:pPr>
        <w:pStyle w:val="Heading2"/>
        <w:spacing w:after="120" w:before="300"/>
      </w:pPr>
      <w:r>
        <w:rPr>
          <w:rFonts w:ascii="Arial" w:cs="Arial" w:eastAsia="Arial" w:hAnsi="Arial"/>
          <w:b/>
          <w:bCs/>
          <w:color w:val="2E86AB"/>
          <w:sz w:val="26"/>
          <w:szCs w:val="26"/>
        </w:rPr>
        <w:t xml:space="preserve">5.1 Data Quality &amp; Liquidity</w:t>
      </w:r>
    </w:p>
    <w:p>
      <w:pPr>
        <w:pStyle w:val="ListParagraph"/>
        <w:numPr>
          <w:ilvl w:val="0"/>
          <w:numId w:val="2"/>
        </w:numPr>
        <w:spacing w:after="40" w:before="40"/>
      </w:pPr>
      <w:r>
        <w:rPr>
          <w:rFonts w:ascii="Arial" w:cs="Arial" w:eastAsia="Arial" w:hAnsi="Arial"/>
          <w:sz w:val="22"/>
          <w:szCs w:val="22"/>
        </w:rPr>
        <w:t xml:space="preserve">Many EGX tickers have days with zero volume and stale prices — filter these before computing log returns or GARCH will estimate σ ≈ 0 incorrectly.</w:t>
      </w:r>
    </w:p>
    <w:p>
      <w:pPr>
        <w:pStyle w:val="ListParagraph"/>
        <w:numPr>
          <w:ilvl w:val="0"/>
          <w:numId w:val="2"/>
        </w:numPr>
        <w:spacing w:after="40" w:before="40"/>
      </w:pPr>
      <w:r>
        <w:rPr>
          <w:rFonts w:ascii="Arial" w:cs="Arial" w:eastAsia="Arial" w:hAnsi="Arial"/>
          <w:sz w:val="22"/>
          <w:szCs w:val="22"/>
        </w:rPr>
        <w:t xml:space="preserve">Preferred data source: egx.com.eg direct scrape (as you have already built) rather than yfinance which has .CA format inconsistencies.</w:t>
      </w:r>
    </w:p>
    <w:p>
      <w:pPr>
        <w:pStyle w:val="ListParagraph"/>
        <w:numPr>
          <w:ilvl w:val="0"/>
          <w:numId w:val="2"/>
        </w:numPr>
        <w:spacing w:after="40" w:before="40"/>
      </w:pPr>
      <w:r>
        <w:rPr>
          <w:rFonts w:ascii="Arial" w:cs="Arial" w:eastAsia="Arial" w:hAnsi="Arial"/>
          <w:sz w:val="22"/>
          <w:szCs w:val="22"/>
        </w:rPr>
        <w:t xml:space="preserve">For illiquid tickers, limit model complexity: ARIMA + Conformal PI is more reliable than LSTM on 200 data points.</w:t>
      </w:r>
    </w:p>
    <w:p>
      <w:pPr>
        <w:spacing w:after="0" w:before="80"/>
      </w:pPr>
      <w:r>
        <w:t xml:space="preserve"/>
      </w:r>
    </w:p>
    <w:p>
      <w:pPr>
        <w:pStyle w:val="Heading2"/>
        <w:spacing w:after="120" w:before="300"/>
      </w:pPr>
      <w:r>
        <w:rPr>
          <w:rFonts w:ascii="Arial" w:cs="Arial" w:eastAsia="Arial" w:hAnsi="Arial"/>
          <w:b/>
          <w:bCs/>
          <w:color w:val="2E86AB"/>
          <w:sz w:val="26"/>
          <w:szCs w:val="26"/>
        </w:rPr>
        <w:t xml:space="preserve">5.2 Regime Events on EGX</w:t>
      </w:r>
    </w:p>
    <w:p>
      <w:pPr>
        <w:pStyle w:val="ListParagraph"/>
        <w:numPr>
          <w:ilvl w:val="0"/>
          <w:numId w:val="2"/>
        </w:numPr>
        <w:spacing w:after="40" w:before="40"/>
      </w:pPr>
      <w:r>
        <w:rPr>
          <w:rFonts w:ascii="Arial" w:cs="Arial" w:eastAsia="Arial" w:hAnsi="Arial"/>
          <w:sz w:val="22"/>
          <w:szCs w:val="22"/>
        </w:rPr>
        <w:t xml:space="preserve">EGP devaluation events (March 2022, January 2023, March 2024) caused structural breaks. Models trained before these dates will have stale μ estimates.</w:t>
      </w:r>
    </w:p>
    <w:p>
      <w:pPr>
        <w:pStyle w:val="ListParagraph"/>
        <w:numPr>
          <w:ilvl w:val="0"/>
          <w:numId w:val="2"/>
        </w:numPr>
        <w:spacing w:after="40" w:before="40"/>
      </w:pPr>
      <w:r>
        <w:rPr>
          <w:rFonts w:ascii="Arial" w:cs="Arial" w:eastAsia="Arial" w:hAnsi="Arial"/>
          <w:sz w:val="22"/>
          <w:szCs w:val="22"/>
        </w:rPr>
        <w:t xml:space="preserve">Use an expanding window (not rolling) for ARIMA/GARCH calibration on EGX30 blue chips, but a rolling 90-day window for small caps to avoid stale data dominating.</w:t>
      </w:r>
    </w:p>
    <w:p>
      <w:pPr>
        <w:pStyle w:val="ListParagraph"/>
        <w:numPr>
          <w:ilvl w:val="0"/>
          <w:numId w:val="2"/>
        </w:numPr>
        <w:spacing w:after="40" w:before="40"/>
      </w:pPr>
      <w:r>
        <w:rPr>
          <w:rFonts w:ascii="Arial" w:cs="Arial" w:eastAsia="Arial" w:hAnsi="Arial"/>
          <w:sz w:val="22"/>
          <w:szCs w:val="22"/>
        </w:rPr>
        <w:t xml:space="preserve">HMM regime detection should be calibrated against known EGX bull/bear periods: post-devaluation rebounds, Central Bank rate hike cycles, and political stability periods.</w:t>
      </w:r>
    </w:p>
    <w:p>
      <w:pPr>
        <w:spacing w:after="0" w:before="80"/>
      </w:pPr>
      <w:r>
        <w:t xml:space="preserve"/>
      </w:r>
    </w:p>
    <w:p>
      <w:pPr>
        <w:pStyle w:val="Heading2"/>
        <w:spacing w:after="120" w:before="300"/>
      </w:pPr>
      <w:r>
        <w:rPr>
          <w:rFonts w:ascii="Arial" w:cs="Arial" w:eastAsia="Arial" w:hAnsi="Arial"/>
          <w:b/>
          <w:bCs/>
          <w:color w:val="2E86AB"/>
          <w:sz w:val="26"/>
          <w:szCs w:val="26"/>
        </w:rPr>
        <w:t xml:space="preserve">5.3 Trading Hours &amp; Calendar</w:t>
      </w:r>
    </w:p>
    <w:p>
      <w:pPr>
        <w:pStyle w:val="ListParagraph"/>
        <w:numPr>
          <w:ilvl w:val="0"/>
          <w:numId w:val="2"/>
        </w:numPr>
        <w:spacing w:after="40" w:before="40"/>
      </w:pPr>
      <w:r>
        <w:rPr>
          <w:rFonts w:ascii="Arial" w:cs="Arial" w:eastAsia="Arial" w:hAnsi="Arial"/>
          <w:sz w:val="22"/>
          <w:szCs w:val="22"/>
        </w:rPr>
        <w:t xml:space="preserve">EGX trading is Sunday–Thursday, 10:00–14:30 Cairo time. Prophet's holiday calendar must include all Egyptian public holidays to avoid treating them as missing data.</w:t>
      </w:r>
    </w:p>
    <w:p>
      <w:pPr>
        <w:pStyle w:val="ListParagraph"/>
        <w:numPr>
          <w:ilvl w:val="0"/>
          <w:numId w:val="2"/>
        </w:numPr>
        <w:spacing w:after="40" w:before="40"/>
      </w:pPr>
      <w:r>
        <w:rPr>
          <w:rFonts w:ascii="Arial" w:cs="Arial" w:eastAsia="Arial" w:hAnsi="Arial"/>
          <w:sz w:val="22"/>
          <w:szCs w:val="22"/>
        </w:rPr>
        <w:t xml:space="preserve">Ramadan months show consistent volume reduction patterns on EGX — Prophet can model this as a custom seasonality.</w:t>
      </w:r>
    </w:p>
    <w:p>
      <w:pPr>
        <w:pStyle w:val="ListParagraph"/>
        <w:numPr>
          <w:ilvl w:val="0"/>
          <w:numId w:val="2"/>
        </w:numPr>
        <w:spacing w:after="40" w:before="40"/>
      </w:pPr>
      <w:r>
        <w:rPr>
          <w:rFonts w:ascii="Arial" w:cs="Arial" w:eastAsia="Arial" w:hAnsi="Arial"/>
          <w:sz w:val="22"/>
          <w:szCs w:val="22"/>
        </w:rPr>
        <w:t xml:space="preserve">Use pd.offsets.CustomBusinessDay with EGX calendar for all date_range operations — your current code uses freq='B' which includes Fridays and Saturdays incorrectly.</w:t>
      </w:r>
    </w:p>
    <w:p>
      <w:pPr>
        <w:spacing w:after="0" w:before="80"/>
      </w:pPr>
      <w:r>
        <w:t xml:space="preserve"/>
      </w:r>
    </w:p>
    <w:p>
      <w:pPr>
        <w:pStyle w:val="Heading2"/>
        <w:spacing w:after="120" w:before="300"/>
      </w:pPr>
      <w:r>
        <w:rPr>
          <w:rFonts w:ascii="Arial" w:cs="Arial" w:eastAsia="Arial" w:hAnsi="Arial"/>
          <w:b/>
          <w:bCs/>
          <w:color w:val="2E86AB"/>
          <w:sz w:val="26"/>
          <w:szCs w:val="26"/>
        </w:rPr>
        <w:t xml:space="preserve">5.4 Model Validation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Recommended OOS Validation Protocol for Basira</w:t>
            </w:r>
          </w:p>
          <w:p>
            <w:pPr>
              <w:spacing w:after="0" w:before="0"/>
            </w:pPr>
            <w:r>
              <w:rPr>
                <w:rFonts w:ascii="Arial" w:cs="Arial" w:eastAsia="Arial" w:hAnsi="Arial"/>
                <w:sz w:val="20"/>
                <w:szCs w:val="20"/>
              </w:rPr>
              <w:t xml:space="preserve">Walk-forward validation: 252-day minimum OOS period (one full trading year)
Chunk size: 15 days (consistent with your current implementation)
Primary metric: MAPE on median forecast (report by model)
Coverage metric: % of actual prices falling within 95% PI (should be 90–96%)
Direction accuracy: % of times sign(median - last_price) == sign(actual - last_price)
Report all three metrics per ticker, per model, in Basira's admin dashboard</w:t>
            </w:r>
          </w:p>
        </w:tc>
      </w:tr>
    </w:tbl>
    <w:p>
      <w:r>
        <w:br w:type="page"/>
      </w:r>
    </w:p>
    <w:p>
      <w:pPr>
        <w:pStyle w:val="Heading1"/>
        <w:pBdr>
          <w:bottom w:val="single" w:color="2E86AB" w:sz="8" w:space="4"/>
        </w:pBdr>
        <w:spacing w:after="200" w:before="400"/>
      </w:pPr>
      <w:r>
        <w:rPr>
          <w:rFonts w:ascii="Arial" w:cs="Arial" w:eastAsia="Arial" w:hAnsi="Arial"/>
          <w:b/>
          <w:bCs/>
          <w:color w:val="1A3C5E"/>
          <w:sz w:val="32"/>
          <w:szCs w:val="32"/>
        </w:rPr>
        <w:t xml:space="preserve">6. Quick Decision Guide</w:t>
      </w:r>
    </w:p>
    <w:p>
      <w:pPr>
        <w:spacing w:after="0" w:before="80"/>
      </w:pPr>
      <w:r>
        <w:t xml:space="preserve"/>
      </w:r>
    </w:p>
    <w:p>
      <w:pPr>
        <w:spacing w:after="100" w:before="80"/>
      </w:pPr>
      <w:r>
        <w:rPr>
          <w:rFonts w:ascii="Arial" w:cs="Arial" w:eastAsia="Arial" w:hAnsi="Arial"/>
          <w:sz w:val="22"/>
          <w:szCs w:val="22"/>
        </w:rPr>
        <w:t xml:space="preserve">Use this table to decide which models to add first based on your development resources and Basira's product priorities.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760"/>
        <w:gridCol w:w="2600"/>
      </w:tblGrid>
      <w:tr>
        <w:trPr>
          <w:tblHeader/>
        </w:trPr>
        <w:tc>
          <w:tcPr>
            <w:tcW w:type="dxa" w:w="4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If you want to...</w:t>
            </w:r>
          </w:p>
        </w:tc>
        <w:tc>
          <w:tcPr>
            <w:tcW w:type="dxa" w:w="2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this model</w:t>
            </w:r>
          </w:p>
        </w:tc>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 GBM's overconfident intervals immediately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Conformal Prediction wrapper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Do this first</w:t>
            </w:r>
          </w:p>
        </w:tc>
      </w:tr>
      <w:tr>
        <w:tc>
          <w:tcPr>
            <w:tcW w:type="dxa" w:w="4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Model volatility clustering on EGX</w:t>
            </w:r>
          </w:p>
        </w:tc>
        <w:tc>
          <w:tcPr>
            <w:tcW w:type="dxa" w:w="2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GARCH(1,1) or EGARCH</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 High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Capture fat tails and news-driven jumps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Merton Jump-Diffusion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High</w:t>
            </w:r>
          </w:p>
        </w:tc>
      </w:tr>
      <w:tr>
        <w:tc>
          <w:tcPr>
            <w:tcW w:type="dxa" w:w="4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Add a classical baseline benchmark</w:t>
            </w:r>
          </w:p>
        </w:tc>
        <w:tc>
          <w:tcPr>
            <w:tcW w:type="dxa" w:w="2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Auto-ARIMA</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 Medium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 direction (UP/DOWN) not price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LightGBM classifier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Medium</w:t>
            </w:r>
          </w:p>
        </w:tc>
      </w:tr>
      <w:tr>
        <w:tc>
          <w:tcPr>
            <w:tcW w:type="dxa" w:w="4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Show users market regime context</w:t>
            </w:r>
          </w:p>
        </w:tc>
        <w:tc>
          <w:tcPr>
            <w:tcW w:type="dxa" w:w="2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HMM (3 states)</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 Medium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Explain why the model forecasts UP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SHAP on LightGBM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Medium (Pro tier)</w:t>
            </w:r>
          </w:p>
        </w:tc>
      </w:tr>
      <w:tr>
        <w:tc>
          <w:tcPr>
            <w:tcW w:type="dxa" w:w="4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Aggregate all models into one output</w:t>
            </w:r>
          </w:p>
        </w:tc>
        <w:tc>
          <w:tcPr>
            <w:tcW w:type="dxa" w:w="2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Monte Carlo Ensemble</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 Long-term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learning with nonlinear patterns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LSTM / GRU</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Long-term</w:t>
            </w:r>
          </w:p>
        </w:tc>
      </w:tr>
      <w:tr>
        <w:tc>
          <w:tcPr>
            <w:tcW w:type="dxa" w:w="4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State-of-the-art quantile forecasting</w:t>
            </w:r>
          </w:p>
        </w:tc>
        <w:tc>
          <w:tcPr>
            <w:tcW w:type="dxa" w:w="2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Temporal Fusion Transformer</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 v2.0 roadmap</w:t>
            </w:r>
          </w:p>
        </w:tc>
      </w:tr>
    </w:tbl>
    <w:p>
      <w:r>
        <w:br w:type="page"/>
      </w:r>
    </w:p>
    <w:p>
      <w:pPr>
        <w:pStyle w:val="Heading1"/>
        <w:pBdr>
          <w:bottom w:val="single" w:color="2E86AB" w:sz="8" w:space="4"/>
        </w:pBdr>
        <w:spacing w:after="200" w:before="400"/>
      </w:pPr>
      <w:r>
        <w:rPr>
          <w:rFonts w:ascii="Arial" w:cs="Arial" w:eastAsia="Arial" w:hAnsi="Arial"/>
          <w:b/>
          <w:bCs/>
          <w:color w:val="1A3C5E"/>
          <w:sz w:val="32"/>
          <w:szCs w:val="32"/>
        </w:rPr>
        <w:t xml:space="preserve">7. Recommended Architecture Extension</w:t>
      </w:r>
    </w:p>
    <w:p>
      <w:pPr>
        <w:spacing w:after="0" w:before="80"/>
      </w:pPr>
      <w:r>
        <w:t xml:space="preserve"/>
      </w:r>
    </w:p>
    <w:p>
      <w:pPr>
        <w:spacing w:after="100" w:before="80"/>
      </w:pPr>
      <w:r>
        <w:rPr>
          <w:rFonts w:ascii="Arial" w:cs="Arial" w:eastAsia="Arial" w:hAnsi="Arial"/>
          <w:sz w:val="22"/>
          <w:szCs w:val="22"/>
        </w:rPr>
        <w:t xml:space="preserve">Your existing GBMForecaster class provides a clean template. The recommended pattern is a BaseForecaster abstract class with a shared interface, so all models can be plugged into the same Basira visualization pipeline.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Proposed Class Hierarchy</w:t>
            </w:r>
          </w:p>
          <w:p>
            <w:pPr>
              <w:spacing w:after="0" w:before="0"/>
            </w:pPr>
            <w:r>
              <w:rPr>
                <w:rFonts w:ascii="Arial" w:cs="Arial" w:eastAsia="Arial" w:hAnsi="Arial"/>
                <w:sz w:val="20"/>
                <w:szCs w:val="20"/>
              </w:rPr>
              <w:t xml:space="preserve">BaseForecaster (abstract)
  ├── GBMForecaster (existing — your current code)
  ├── JumpDiffusionForecaster (extends GBMForecaster — adds Poisson jump layer)
  ├── GARCHForecaster (wraps arch library — outputs σ_t for dynamic PI)
  ├── ARIMAForecaster (wraps pmdarima — short-horizon linear benchmark)
  ├── LightGBMForecaster (feature pipeline + quantile regression)
  ├── HMMRegimeDetector (hmmlearn — outputs regime label, not price)
  └── EnsembleForecaster (aggregates all above, weighted by recent MAPE)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Shared Interface Each Class Should Implement</w:t>
            </w:r>
          </w:p>
          <w:p>
            <w:pPr>
              <w:spacing w:after="0" w:before="0"/>
            </w:pPr>
            <w:r>
              <w:rPr>
                <w:rFonts w:ascii="Arial" w:cs="Arial" w:eastAsia="Arial" w:hAnsi="Arial"/>
                <w:sz w:val="20"/>
                <w:szCs w:val="20"/>
              </w:rPr>
              <w:t xml:space="preserve">def run() -&gt; (fig: plotly.Figure, metrics: dict)
def get_forecast() -&gt; (median, lower, upper, dates)
def get_oos_metrics() -&gt; {'rmse': float, 'mape': float, 'coverage': float, 'direction_accuracy': float}
def get_regime() -&gt; str  # 'Bull' | 'Bear' | 'Sideways' | 'High-Vol'
The Basira API endpoint /api/forecast/&lt;ticker&gt;/&lt;model&gt; calls run() and returns the unified JSON response.
The frontend MultiModelChart component renders all models on one Plotly.js figure using the shared interface.</w:t>
            </w:r>
          </w:p>
        </w:tc>
      </w:tr>
    </w:tbl>
    <w:p>
      <w:r>
        <w:br w:type="page"/>
      </w:r>
    </w:p>
    <w:p>
      <w:pPr>
        <w:pStyle w:val="Heading1"/>
        <w:pBdr>
          <w:bottom w:val="single" w:color="2E86AB" w:sz="8" w:space="4"/>
        </w:pBdr>
        <w:spacing w:after="200" w:before="400"/>
      </w:pPr>
      <w:r>
        <w:rPr>
          <w:rFonts w:ascii="Arial" w:cs="Arial" w:eastAsia="Arial" w:hAnsi="Arial"/>
          <w:b/>
          <w:bCs/>
          <w:color w:val="1A3C5E"/>
          <w:sz w:val="32"/>
          <w:szCs w:val="32"/>
        </w:rPr>
        <w:t xml:space="preserve">8. Final Recommendation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200"/>
              <w:left w:type="dxa" w:w="240"/>
              <w:bottom w:type="dxa" w:w="200"/>
              <w:right w:type="dxa" w:w="240"/>
            </w:tcMar>
          </w:tcPr>
          <w:p>
            <w:pPr>
              <w:spacing w:after="80" w:before="0"/>
              <w:jc w:val="center"/>
            </w:pPr>
            <w:r>
              <w:rPr>
                <w:rFonts w:ascii="Arial" w:cs="Arial" w:eastAsia="Arial" w:hAnsi="Arial"/>
                <w:b/>
                <w:bCs/>
                <w:color w:val="FFFFFF"/>
                <w:sz w:val="26"/>
                <w:szCs w:val="26"/>
              </w:rPr>
              <w:t xml:space="preserve">The Basira Forecasting Engine — Recommended Stack</w:t>
            </w:r>
          </w:p>
          <w:p>
            <w:pPr>
              <w:spacing w:after="40" w:before="60"/>
            </w:pPr>
            <w:r>
              <w:rPr>
                <w:rFonts w:ascii="Arial" w:cs="Arial" w:eastAsia="Arial" w:hAnsi="Arial"/>
                <w:b/>
                <w:bCs/>
                <w:color w:val="AACCEE"/>
                <w:sz w:val="22"/>
                <w:szCs w:val="22"/>
              </w:rPr>
              <w:t xml:space="preserve">Layer 1 — Stochastic Core:</w:t>
            </w:r>
            <w:r>
              <w:rPr>
                <w:rFonts w:ascii="Arial" w:cs="Arial" w:eastAsia="Arial" w:hAnsi="Arial"/>
                <w:color w:val="FFFFFF"/>
                <w:sz w:val="22"/>
                <w:szCs w:val="22"/>
              </w:rPr>
              <w:t xml:space="preserve">  GBM + Jump-Diffusion + GARCH volatility → Monte Carlo paths</w:t>
            </w:r>
          </w:p>
          <w:p>
            <w:pPr>
              <w:spacing w:after="40" w:before="40"/>
            </w:pPr>
            <w:r>
              <w:rPr>
                <w:rFonts w:ascii="Arial" w:cs="Arial" w:eastAsia="Arial" w:hAnsi="Arial"/>
                <w:b/>
                <w:bCs/>
                <w:color w:val="AACCEE"/>
                <w:sz w:val="22"/>
                <w:szCs w:val="22"/>
              </w:rPr>
              <w:t xml:space="preserve">Layer 2 — ML Signals:</w:t>
            </w:r>
            <w:r>
              <w:rPr>
                <w:rFonts w:ascii="Arial" w:cs="Arial" w:eastAsia="Arial" w:hAnsi="Arial"/>
                <w:color w:val="FFFFFF"/>
                <w:sz w:val="22"/>
                <w:szCs w:val="22"/>
              </w:rPr>
              <w:t xml:space="preserve">  LightGBM classifier with SHAP explanations + ARIMA baseline</w:t>
            </w:r>
          </w:p>
          <w:p>
            <w:pPr>
              <w:spacing w:after="40" w:before="40"/>
            </w:pPr>
            <w:r>
              <w:rPr>
                <w:rFonts w:ascii="Arial" w:cs="Arial" w:eastAsia="Arial" w:hAnsi="Arial"/>
                <w:b/>
                <w:bCs/>
                <w:color w:val="AACCEE"/>
                <w:sz w:val="22"/>
                <w:szCs w:val="22"/>
              </w:rPr>
              <w:t xml:space="preserve">Layer 3 — Context:</w:t>
            </w:r>
            <w:r>
              <w:rPr>
                <w:rFonts w:ascii="Arial" w:cs="Arial" w:eastAsia="Arial" w:hAnsi="Arial"/>
                <w:color w:val="FFFFFF"/>
                <w:sz w:val="22"/>
                <w:szCs w:val="22"/>
              </w:rPr>
              <w:t xml:space="preserve">  HMM regime detection + Conformal PI calibration on all models</w:t>
            </w:r>
          </w:p>
          <w:p>
            <w:pPr>
              <w:spacing w:after="40" w:before="40"/>
            </w:pPr>
            <w:r>
              <w:rPr>
                <w:rFonts w:ascii="Arial" w:cs="Arial" w:eastAsia="Arial" w:hAnsi="Arial"/>
                <w:b/>
                <w:bCs/>
                <w:color w:val="AACCEE"/>
                <w:sz w:val="22"/>
                <w:szCs w:val="22"/>
              </w:rPr>
              <w:t xml:space="preserve">Layer 4 — Deep Learning (v2.0):</w:t>
            </w:r>
            <w:r>
              <w:rPr>
                <w:rFonts w:ascii="Arial" w:cs="Arial" w:eastAsia="Arial" w:hAnsi="Arial"/>
                <w:color w:val="FFFFFF"/>
                <w:sz w:val="22"/>
                <w:szCs w:val="22"/>
              </w:rPr>
              <w:t xml:space="preserve">  LSTM + Temporal Fusion Transformer for EGX30 Premium tier</w:t>
            </w:r>
          </w:p>
          <w:p>
            <w:pPr>
              <w:spacing w:after="0" w:before="40"/>
            </w:pPr>
            <w:r>
              <w:rPr>
                <w:rFonts w:ascii="Arial" w:cs="Arial" w:eastAsia="Arial" w:hAnsi="Arial"/>
                <w:b/>
                <w:bCs/>
                <w:color w:val="AACCEE"/>
                <w:sz w:val="22"/>
                <w:szCs w:val="22"/>
              </w:rPr>
              <w:t xml:space="preserve">Aggregation:</w:t>
            </w:r>
            <w:r>
              <w:rPr>
                <w:rFonts w:ascii="Arial" w:cs="Arial" w:eastAsia="Arial" w:hAnsi="Arial"/>
                <w:color w:val="FFFFFF"/>
                <w:sz w:val="22"/>
                <w:szCs w:val="22"/>
              </w:rPr>
              <w:t xml:space="preserve">  Ensemble Forecaster with MAPE-weighted model blending</w:t>
            </w:r>
          </w:p>
        </w:tc>
      </w:tr>
    </w:tbl>
    <w:p>
      <w:pPr>
        <w:spacing w:after="0" w:before="120"/>
      </w:pPr>
      <w:r>
        <w:t xml:space="preserve"/>
      </w:r>
    </w:p>
    <w:p>
      <w:pPr>
        <w:spacing w:after="100" w:before="80"/>
      </w:pPr>
      <w:r>
        <w:rPr>
          <w:rFonts w:ascii="Arial" w:cs="Arial" w:eastAsia="Arial" w:hAnsi="Arial"/>
          <w:sz w:val="22"/>
          <w:szCs w:val="22"/>
        </w:rPr>
        <w:t xml:space="preserve">The single highest-ROI move right now is: wrap your existing GBM with Conformal Prediction (2 days), then add GARCH dynamic volatility (5 days), then implement Jump-Diffusion (5 days). In under 2 weeks, Basira will have 3 differentiated models with side-by-side comparison — a compelling feature for the Pro tier launch.</w:t>
      </w:r>
    </w:p>
    <w:p>
      <w:pPr>
        <w:spacing w:after="0" w:before="80"/>
      </w:pPr>
      <w:r>
        <w:t xml:space="preserve"/>
      </w:r>
    </w:p>
    <w:p>
      <w:pPr>
        <w:pBdr>
          <w:top w:val="single" w:color="2E86AB" w:sz="4"/>
        </w:pBdr>
        <w:spacing w:after="0" w:before="200"/>
        <w:jc w:val="center"/>
      </w:pPr>
      <w:r>
        <w:rPr>
          <w:rFonts w:ascii="Arial" w:cs="Arial" w:eastAsia="Arial" w:hAnsi="Arial"/>
          <w:i/>
          <w:iCs/>
          <w:color w:val="2E86AB"/>
          <w:sz w:val="22"/>
          <w:szCs w:val="22"/>
        </w:rPr>
        <w:t xml:space="preserve">BASIRA — بصيرة  |  Clarity for Every Investor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C5E"/>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86A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3C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2026-06-15T19:11:36.569Z</dcterms:created>
  <dcterms:modified xsi:type="dcterms:W3CDTF">2026-06-15T19:11:36.569Z</dcterms:modified>
</cp:coreProperties>
</file>

<file path=docProps/custom.xml><?xml version="1.0" encoding="utf-8"?>
<Properties xmlns="http://schemas.openxmlformats.org/officeDocument/2006/custom-properties" xmlns:vt="http://schemas.openxmlformats.org/officeDocument/2006/docPropsVTypes"/>
</file>