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AMAN Guard</w:t>
      </w:r>
    </w:p>
    <w:p>
      <w:pPr>
        <w:spacing w:after="40"/>
      </w:pPr>
      <w:r>
        <w:t>Project summary in English</w:t>
      </w:r>
    </w:p>
    <w:p>
      <w:pPr>
        <w:spacing w:after="160"/>
      </w:pPr>
      <w:r>
        <w:rPr>
          <w:color w:val="46555F"/>
          <w:sz w:val="20"/>
        </w:rPr>
        <w:t>Caspian University  |  Almaty 2026</w:t>
      </w:r>
    </w:p>
    <w:p>
      <w:pPr>
        <w:pStyle w:val="Heading2"/>
      </w:pPr>
      <w:r>
        <w:t>Purpose and users</w:t>
      </w:r>
    </w:p>
    <w:p>
      <w:r>
        <w:t>AMAN Guard is a demonstration system for family-assisted approval of bank transfers. Developed as a Caspian University project, it serves customers who voluntarily appoint trusted relatives and bank staff who review suspicious transactions. It adds an approval step before a transfer that a customer may initiate under a fraudster’s influence.</w:t>
      </w:r>
    </w:p>
    <w:p>
      <w:pPr>
        <w:pStyle w:val="Heading2"/>
      </w:pPr>
      <w:r>
        <w:t>Solution and method</w:t>
      </w:r>
    </w:p>
    <w:p>
      <w:r>
        <w:t>The system combines the AMAN Bank customer interface with the Risk Ledger analyst workspace. Deterministic rules and a bounded transaction graph produce an explainable risk signal. High-risk transfers require responses from a fixed group of up to three consenting relatives, each using their own account. No funds are debited before final authorization. Unanimous rejection ends the request; conflicting votes require a bank employee’s decision. AntiScam answers may trigger additional bank review. High-risk transfers without a trusted relative do not execute automatically.</w:t>
      </w:r>
    </w:p>
    <w:p>
      <w:pPr>
        <w:pStyle w:val="Heading2"/>
      </w:pPr>
      <w:r>
        <w:t>Implementation and data</w:t>
      </w:r>
    </w:p>
    <w:p>
      <w:r>
        <w:t>FastAPI, SQLAlchemy/SQLite and the web interfaces run as one Docker service with persistent storage. Amounts use integer tiyns; postings and audit records are atomic, and commands are idempotent. Analytics supports import, explanations, investigation and export. Demo data includes seven synthetic transactions and a prepared 100,000-row sample from MoMTSim v2: Denish Azamuke, Mendeley Data, DOI 10.17632/zhj366m53p.2, CC BY 4.0. Sample timestamps are reconstructed artificially.</w:t>
      </w:r>
    </w:p>
    <w:p>
      <w:pPr>
        <w:pStyle w:val="Heading2"/>
      </w:pPr>
      <w:r>
        <w:t>Verified results and limitations</w:t>
      </w:r>
    </w:p>
    <w:p>
      <w:r>
        <w:t>Checks dated 11 October 2026: 339 backend tests passed, 7 were skipped; 6 new script-safety checks passed separately, and 63 frontend tests passed. The end-to-end scenario verifies deferred debiting, escalation of conflicting votes and a single execution. Precision, recall and F1 have not been measured. Accounts, money, kinship checks and eGov are simulated; no real payment network is connected. The team’s preliminary maturity self-assessment is TRL 4.</w:t>
      </w:r>
    </w:p>
    <w:p>
      <w:pPr>
        <w:pStyle w:val="Heading2"/>
      </w:pPr>
      <w:r>
        <w:t>Implementation plan and resources</w:t>
      </w:r>
    </w:p>
    <w:p>
      <w:r>
        <w:t>The next steps are a public demo and visual rehearsal, followed by rule evaluation on agreed data and integration with a bank sandbox. An anti-fraud expert and an integration contact are needed. The proposed VPS costs $12 per month, or $24 for two full months of compute; labor, a domain and extra services require separate estimates. A public demo URL is not yet available.</w:t>
      </w:r>
    </w:p>
    <w:p>
      <w:pPr>
        <w:spacing w:before="80"/>
      </w:pPr>
      <w:r>
        <w:t xml:space="preserve">Source code: </w:t>
      </w:r>
      <w:r>
        <w:rPr>
          <w:sz w:val="18"/>
        </w:rPr>
        <w:t>https://github.com/z4n9/anti_fraud_combined</w:t>
      </w:r>
    </w:p>
    <w:sectPr w:rsidR="00FC693F" w:rsidRPr="0006063C" w:rsidSect="00034616"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AMAN Guard project summary EN</dc:title>
  <dc:subject/>
  <dc:creator>AMAN Guard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