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Family Guard Сценарий выступления</w:t>
      </w:r>
    </w:p>
    <w:p>
      <w:pPr>
        <w:pStyle w:val="Subtitle"/>
      </w:pPr>
      <w:r>
        <w:t>Пять минут вместе с демонстрацией</w:t>
      </w:r>
    </w:p>
    <w:p>
      <w:pPr>
        <w:spacing w:after="120"/>
      </w:pPr>
      <w:r>
        <w:rPr>
          <w:i/>
          <w:color w:val="555555"/>
          <w:sz w:val="20"/>
        </w:rPr>
        <w:t>Caspian University · 15 октября 2026 года · 12 слайдов действующей презентации</w:t>
      </w:r>
    </w:p>
    <w:p>
      <w:r>
        <w:t>Обычный текст произносится вслух. Курсив — действия и пометки для репетиции. Около 430 слов; тайминг включает паузы и короткий показ готовой заявки.</w:t>
      </w:r>
    </w:p>
    <w:p>
      <w:pPr>
        <w:pStyle w:val="Heading1"/>
      </w:pPr>
      <w:r>
        <w:t>0:00–0:30  Слайд 1  Family Guard</w:t>
      </w:r>
    </w:p>
    <w:p>
      <w:pPr>
        <w:spacing w:after="120"/>
      </w:pPr>
      <w:r>
        <w:rPr>
          <w:i/>
          <w:color w:val="555555"/>
          <w:sz w:val="20"/>
        </w:rPr>
        <w:t>Посмотрите на зал. Первую фразу произнесите спокойно, как реплику собеседника по телефону. После слова «Подтвердить» выдержите две секунды тишины.</w:t>
      </w:r>
    </w:p>
    <w:p>
      <w:r>
        <w:t>«Чтобы спасти деньги, срочно переведите их на безопасный счёт». Представьте: это слышит ваша мама. Она открывает приложение и сама нажимает «Подтвердить». Успеет ли кто-то помочь до списания? Мы — команда Caspian University. Наш проект — Family Guard в Family Bank.</w:t>
      </w:r>
    </w:p>
    <w:p>
      <w:pPr>
        <w:pStyle w:val="Heading1"/>
      </w:pPr>
      <w:r>
        <w:t>0:30–0:50  Слайд 2  Контекст и аудитория</w:t>
      </w:r>
    </w:p>
    <w:p>
      <w:pPr>
        <w:spacing w:after="120"/>
      </w:pPr>
      <w:r>
        <w:rPr>
          <w:i/>
          <w:color w:val="555555"/>
          <w:sz w:val="20"/>
        </w:rPr>
        <w:t>Не читайте число на слайде по цифрам. Это контекст страны, а не доказанный рынок продукта.</w:t>
      </w:r>
    </w:p>
    <w:p>
      <w:r>
        <w:t>На начало 2026 года Антифрод-центр зарегистрировал свыше восьмидесяти тысяч инцидентов по транзакциям с признаками мошенничества. Мы фокусируемся на ситуации, когда человек переводит деньги под давлением. Family Guard предназначен для клиентов, которые добровольно подключают семейную защиту.</w:t>
      </w:r>
    </w:p>
    <w:p>
      <w:pPr>
        <w:pStyle w:val="Heading1"/>
      </w:pPr>
      <w:r>
        <w:t>0:50–1:15  Слайд 3  Дополнительное согласование</w:t>
      </w:r>
    </w:p>
    <w:p>
      <w:pPr>
        <w:spacing w:after="120"/>
      </w:pPr>
      <w:r>
        <w:rPr>
          <w:i/>
          <w:color w:val="555555"/>
          <w:sz w:val="20"/>
        </w:rPr>
        <w:t>Выделите голосом слово «добровольно». Не обещайте блокировку всем клиентам банка.</w:t>
      </w:r>
    </w:p>
    <w:p>
      <w:r>
        <w:t>Клиент приглашает до трёх родственников. Каждый подтверждает участие из своего аккаунта. При включённой защите перевод с высоким риском ждёт их решения, деньги остаются у отправителя. Если защита выключена, клиент получает предупреждение и сам решает, продолжать ли перевод. Отдельная проверка AntiScam сохраняется.</w:t>
      </w:r>
    </w:p>
    <w:p>
      <w:pPr>
        <w:pStyle w:val="Heading1"/>
      </w:pPr>
      <w:r>
        <w:t>1:15–1:40  Слайд 4  Правила семейного решения</w:t>
      </w:r>
    </w:p>
    <w:p>
      <w:pPr>
        <w:spacing w:after="120"/>
      </w:pPr>
      <w:r>
        <w:rPr>
          <w:i/>
          <w:color w:val="555555"/>
          <w:sz w:val="20"/>
        </w:rPr>
        <w:t>На словах «деньги не списаны» сделайте короткую паузу. Переход к методу — без чтения всех пунктов слайда.</w:t>
      </w:r>
    </w:p>
    <w:p>
      <w:r>
        <w:t>Для каждой заявки фиксируется состав согласующих. Нужны ответы всех: единогласное одобрение допускает перевод с учётом AntiScam, единогласный отказ его прекращает. Если голоса различаются, решает сотрудник банка. Родственники согласуют конкретную операцию без доступа ко всему счёту. Истечение срока не приводит к списанию.</w:t>
      </w:r>
    </w:p>
    <w:p>
      <w:r>
        <w:br w:type="page"/>
      </w:r>
    </w:p>
    <w:p>
      <w:pPr>
        <w:pStyle w:val="Heading1"/>
      </w:pPr>
      <w:r>
        <w:t>1:40–2:00  Слайд 5  Объяснимый антифрод</w:t>
      </w:r>
    </w:p>
    <w:p>
      <w:pPr>
        <w:spacing w:after="120"/>
      </w:pPr>
      <w:r>
        <w:rPr>
          <w:i/>
          <w:color w:val="555555"/>
          <w:sz w:val="20"/>
        </w:rPr>
        <w:t>Темп ровный. Не перечисляйте названия библиотек.</w:t>
      </w:r>
    </w:p>
    <w:p>
      <w:r>
        <w:t>Основание для проверки дают правила и граф доступной истории: сумма, частота операций, связи переводов. Система объясняет причины сигнала. Сейчас работает движок правил; обученную модель и измеренную точность обнаружения мошенничества мы не заявляем.</w:t>
      </w:r>
    </w:p>
    <w:p>
      <w:pPr>
        <w:pStyle w:val="Heading1"/>
      </w:pPr>
      <w:r>
        <w:t>2:00–2:15  Слайд 6  Архитектура MVP</w:t>
      </w:r>
    </w:p>
    <w:p>
      <w:pPr>
        <w:spacing w:after="120"/>
      </w:pPr>
      <w:r>
        <w:rPr>
          <w:i/>
          <w:color w:val="555555"/>
          <w:sz w:val="20"/>
        </w:rPr>
        <w:t>Укажите на схему целиком. Стек уже виден на слайде.</w:t>
      </w:r>
    </w:p>
    <w:p>
      <w:r>
        <w:t>Банк и кабинет аналитика используют единый сервер. Списание, зачисление и журнал сохраняются атомарно, деньги учитываются в целых тиынах. Docker позволяет воспроизвести демонстрацию на другом компьютере.</w:t>
      </w:r>
    </w:p>
    <w:p>
      <w:pPr>
        <w:pStyle w:val="Heading1"/>
      </w:pPr>
      <w:r>
        <w:t>2:15–2:45  Слайд 7  Family Guard и данные</w:t>
      </w:r>
    </w:p>
    <w:p>
      <w:pPr>
        <w:spacing w:after="120"/>
      </w:pPr>
      <w:r>
        <w:rPr>
          <w:i/>
          <w:color w:val="555555"/>
          <w:sz w:val="20"/>
        </w:rPr>
        <w:t>Покажите на строку мониторинга. Загрузку CSV на сцене не запускайте.</w:t>
      </w:r>
    </w:p>
    <w:p>
      <w:r>
        <w:t>Но мошеннику необязательно просить крупную сумму. Он может собирать небольшие переводы от многих людей. Поэтому в кабинете аналитика есть мониторинг получателей. В нашем синтетическом примере он выделяет двенадцать переводов от двенадцати новых отправителей — всего пятьдесят одна тысяча пятьсот тенге. Это сигнал для расследования, который сам не блокирует переводы.</w:t>
      </w:r>
    </w:p>
    <w:p>
      <w:pPr>
        <w:pStyle w:val="Heading1"/>
      </w:pPr>
      <w:r>
        <w:t>2:45–3:00  Слайд 8  Проверки и метрики</w:t>
      </w:r>
    </w:p>
    <w:p>
      <w:pPr>
        <w:spacing w:after="120"/>
      </w:pPr>
      <w:r>
        <w:rPr>
          <w:i/>
          <w:color w:val="555555"/>
          <w:sz w:val="20"/>
        </w:rPr>
        <w:t>Не превращайте результаты тестов в обещание точности антифрода.</w:t>
      </w:r>
    </w:p>
    <w:p>
      <w:r>
        <w:t>После обновления прошли 379 серверных и 70 интерфейсных тестов. Семь проверок пропущены. Это подтверждение проверенных сценариев работы. Эффективность обнаружения реального мошенничества ещё предстоит измерить.</w:t>
      </w:r>
    </w:p>
    <w:p>
      <w:pPr>
        <w:pStyle w:val="Heading1"/>
      </w:pPr>
      <w:r>
        <w:t>3:00–3:50  Слайд 9  Сквозной тест перевода</w:t>
      </w:r>
    </w:p>
    <w:p>
      <w:pPr>
        <w:spacing w:after="120"/>
      </w:pPr>
      <w:r>
        <w:rPr>
          <w:i/>
          <w:color w:val="555555"/>
          <w:sz w:val="20"/>
        </w:rPr>
        <w:t>Переключитесь на заранее подготовленную заявку банковской проверки. Покажите два разных голоса и отсутствие списания. После фразы про сотрудника укажите основание и одобрите; затем покажите статус и историю. На действия отведено около 25 секунд.</w:t>
      </w:r>
    </w:p>
    <w:p>
      <w:r>
        <w:t>Вот заявка Амины с включённой защитой. Марат одобрил, Сауле отказала. Деньги ещё не списаны. Теперь сотрудник банка рассматривает конфликт и фиксирует основание решения. После одобрения перевод исполняется один раз; повтор команды не создаёт повторного списания.</w:t>
      </w:r>
    </w:p>
    <w:p>
      <w:r>
        <w:br w:type="page"/>
      </w:r>
    </w:p>
    <w:p>
      <w:pPr>
        <w:pStyle w:val="Heading1"/>
      </w:pPr>
      <w:r>
        <w:t>3:50–4:10  Слайд 10  Готовность и риски</w:t>
      </w:r>
    </w:p>
    <w:p>
      <w:pPr>
        <w:spacing w:after="120"/>
      </w:pPr>
      <w:r>
        <w:rPr>
          <w:i/>
          <w:color w:val="555555"/>
          <w:sz w:val="20"/>
        </w:rPr>
        <w:t>Вернитесь к слайдам. Говорите прямо, без оправданий.</w:t>
      </w:r>
    </w:p>
    <w:p>
      <w:r>
        <w:t>Сегодня это локально проверенный MVP. TRL 4 — наша предварительная самооценка. Банковского пилота пока нет. Следующие проверки должны показать частоту ложных тревог и удобство согласования. Если родственник недоступен, молчание не считается согласием.</w:t>
      </w:r>
    </w:p>
    <w:p>
      <w:pPr>
        <w:pStyle w:val="Heading1"/>
      </w:pPr>
      <w:r>
        <w:t>4:10–4:35  Слайд 11  План внедрения и ресурсы</w:t>
      </w:r>
    </w:p>
    <w:p>
      <w:pPr>
        <w:spacing w:after="120"/>
      </w:pPr>
      <w:r>
        <w:rPr>
          <w:i/>
          <w:color w:val="555555"/>
          <w:sz w:val="20"/>
        </w:rPr>
        <w:t>На слайде показано размещение демо. Полная смета пилота находится в ответах на вопросы, это другой объём работ.</w:t>
      </w:r>
    </w:p>
    <w:p>
      <w:r>
        <w:t>Следующий шаг — согласованный стенд банка, обезличенные данные и испытания с пользователями. Для пилота нужны разработчики, эксперт антифрода и проверка безопасности. Сумма на слайде относится к размещению демо; полная смета пилота требует отдельного согласования с партнёром.</w:t>
      </w:r>
    </w:p>
    <w:p>
      <w:pPr>
        <w:pStyle w:val="Heading1"/>
      </w:pPr>
      <w:r>
        <w:t>4:35–5:00  Слайд 12  Следующий шаг</w:t>
      </w:r>
    </w:p>
    <w:p>
      <w:pPr>
        <w:spacing w:after="120"/>
      </w:pPr>
      <w:r>
        <w:rPr>
          <w:i/>
          <w:color w:val="555555"/>
          <w:sz w:val="20"/>
        </w:rPr>
        <w:t>Снова посмотрите на зал. Последнюю просьбу произнесите медленнее. Не добавляйте после неё ещё один итоговый абзац.</w:t>
      </w:r>
    </w:p>
    <w:p>
      <w:r>
        <w:t>Вернёмся к началу: ваш близкий уже нажал «Подтвердить». При подключённой Family Guard рискованный перевод сначала проходит независимое согласование. Мы ищем банк-партнёра: эксперта антифрода, согласованные данные и доступ к тестовому стенду. Помогите нам проверить этот сценарий в вашем банке.</w:t>
      </w:r>
    </w:p>
    <w:p>
      <w:pPr>
        <w:pStyle w:val="Heading1"/>
      </w:pPr>
      <w:r>
        <w:t>Опорные точки репетиции</w:t>
      </w:r>
    </w:p>
    <w:p>
      <w:pPr>
        <w:pStyle w:val="ListBullet"/>
      </w:pPr>
      <w:r>
        <w:t>К 1:15 закончите объяснение добровольности. К 2:15 перейдите к аналитике. В 3:00 начните показ заявки.</w:t>
      </w:r>
    </w:p>
    <w:p>
      <w:pPr>
        <w:pStyle w:val="ListBullet"/>
      </w:pPr>
      <w:r>
        <w:t>В 3:50 вернитесь к слайдам даже при задержке интерфейса. С 4:35 оставьте время для финальной просьбы.</w:t>
      </w:r>
    </w:p>
    <w:p>
      <w:pPr>
        <w:pStyle w:val="ListBullet"/>
      </w:pPr>
      <w:r>
        <w:t>Если речь не укладывается, сначала уберите второстепенные пояснения к архитектуре. Сохраните добровольность защиты, ограничения и запрос к партнёру.</w:t>
      </w:r>
    </w:p>
    <w:p>
      <w:r>
        <w:br w:type="page"/>
      </w:r>
    </w:p>
    <w:p>
      <w:pPr>
        <w:pStyle w:val="Heading1"/>
      </w:pPr>
      <w:r>
        <w:t>Подготовка показа</w:t>
      </w:r>
    </w:p>
    <w:p>
      <w:r>
        <w:t>Для пяти минут заранее подготовьте одну заявку банковской проверки. Логины, ввод реквизитов и загрузку аналитического файла выполните до выступления.</w:t>
      </w:r>
    </w:p>
    <w:p>
      <w:pPr>
        <w:pStyle w:val="ListBullet"/>
      </w:pPr>
      <w:r>
        <w:t>В отдельной репетиционной базе включите защиту у Амины и получите согласие Марата и Сауле. Используйте независимые браузерные профили.</w:t>
      </w:r>
    </w:p>
    <w:p>
      <w:pPr>
        <w:pStyle w:val="ListBullet"/>
      </w:pPr>
      <w:r>
        <w:t>Создайте перевод Айдане на 85% доступного баланса Амины. Сумма должна быть в пределах баланса. Марат одобряет, Сауле отклоняет. Дождитесь статуса банковской проверки; убедитесь, что деньги ещё не списаны.</w:t>
      </w:r>
    </w:p>
    <w:p>
      <w:pPr>
        <w:pStyle w:val="ListBullet"/>
      </w:pPr>
      <w:r>
        <w:t>Откройте сотруднику банковскую карточку с обоими голосами. Подготовьте понятное основание решения; покажите его перед нажатием одобрения.</w:t>
      </w:r>
    </w:p>
    <w:p>
      <w:pPr>
        <w:pStyle w:val="ListBullet"/>
      </w:pPr>
      <w:r>
        <w:t>После решения покажите исполненный статус и историю клиента. Не тратьте сценическое время на повторную отправку команды: идемпотентность объясните словами как проверенное поведение.</w:t>
      </w:r>
    </w:p>
    <w:p>
      <w:pPr>
        <w:pStyle w:val="ListBullet"/>
      </w:pPr>
      <w:r>
        <w:t>Для репетиции создавайте новую заявку: завершённую заявку нельзя снова показать как ожидающую. Подготовьте скриншоты тех же этапов на случай задержки связи.</w:t>
      </w:r>
    </w:p>
    <w:p>
      <w:r>
        <w:t>Резервная реплика при задержке: «Интерфейс задержался. Покажу сохранённые экраны этого сценария: конфликт голосов, отсутствие списания до решения и исполнение после решения банка». Сразу вернитесь к следующему слайду; не представляйте скриншоты как показ в реальном времени.</w:t>
      </w:r>
    </w:p>
    <w:p>
      <w:pPr>
        <w:pStyle w:val="Heading1"/>
      </w:pPr>
      <w:r>
        <w:t>Подача и удержание внимания</w:t>
      </w:r>
    </w:p>
    <w:p>
      <w:pPr>
        <w:pStyle w:val="ListBullet"/>
      </w:pPr>
      <w:r>
        <w:t>Начало — бытовая сцена. Реплику звонящего произнесите спокойно. После «Подтвердить» остановитесь на две секунды и только затем задайте вопрос залу.</w:t>
      </w:r>
    </w:p>
    <w:p>
      <w:pPr>
        <w:pStyle w:val="ListBullet"/>
      </w:pPr>
      <w:r>
        <w:t>Не повторяйте вслух все строки слайдов. В каждом фрагменте выделите один главный вывод: добровольность, решение семьи, роль банка или границу возможностей.</w:t>
      </w:r>
    </w:p>
    <w:p>
      <w:pPr>
        <w:pStyle w:val="ListBullet"/>
      </w:pPr>
      <w:r>
        <w:t>На переходе к аналитике смените масштаб: от одного крупного перевода к множеству небольших. На показе переключите внимание со слов на конкретную заявку.</w:t>
      </w:r>
    </w:p>
    <w:p>
      <w:pPr>
        <w:pStyle w:val="ListBullet"/>
      </w:pPr>
      <w:r>
        <w:t>Слова «деньги ещё не списаны» произнесите медленнее и покажите подтверждение в интерфейсе. Не заполняйте каждую паузу пояснениями.</w:t>
      </w:r>
    </w:p>
    <w:p>
      <w:pPr>
        <w:pStyle w:val="ListBullet"/>
      </w:pPr>
      <w:r>
        <w:t>Завершите возвратом к первоначальному звонку и одной конкретной просьбой банку. Последнюю фразу скажите, глядя на зал, а не на экран.</w:t>
      </w:r>
    </w:p>
    <w:p>
      <w:r>
        <w:br w:type="page"/>
      </w:r>
    </w:p>
    <w:p>
      <w:pPr>
        <w:pStyle w:val="Heading1"/>
      </w:pPr>
      <w:r>
        <w:t>Короткие ответы жюри</w:t>
      </w:r>
    </w:p>
    <w:p>
      <w:pPr>
        <w:pStyle w:val="Heading2"/>
      </w:pPr>
      <w:r>
        <w:t>Что добавляет Family Guard</w:t>
      </w:r>
    </w:p>
    <w:p>
      <w:r>
        <w:t>В этом MVP проверка операции дополняется независимым решением согласившихся родственников при включённой защите. Сотрудник банка разбирает конфликт и AntiScam. Мы предлагаем проверить полезность такого процесса на банковском стенде.</w:t>
      </w:r>
    </w:p>
    <w:p>
      <w:pPr>
        <w:pStyle w:val="Heading2"/>
      </w:pPr>
      <w:r>
        <w:t>Где ИИ и насколько точен детектор</w:t>
      </w:r>
    </w:p>
    <w:p>
      <w:r>
        <w:t>В демонстрации работают объяснимые правила и граф. Подтверждённой точности на реальном мошенничестве пока нет. 379 и 70 — числа пройденных функциональных тестов, не проценты точности.</w:t>
      </w:r>
    </w:p>
    <w:p>
      <w:pPr>
        <w:pStyle w:val="Heading2"/>
      </w:pPr>
      <w:r>
        <w:t>Какие данные используются</w:t>
      </w:r>
    </w:p>
    <w:p>
      <w:r>
        <w:t>Для показа есть собственные синтетические примеры и подготовленная выборка MoMTSim v2: Denish Azamuke, Mendeley Data, лицензия CC BY 4.0. Время в подготовленной выборке восстановлено искусственно; это не реальные банковские операции.</w:t>
      </w:r>
    </w:p>
    <w:p>
      <w:pPr>
        <w:pStyle w:val="Heading2"/>
      </w:pPr>
      <w:r>
        <w:t>Как выявляются небольшие переводы</w:t>
      </w:r>
    </w:p>
    <w:p>
      <w:r>
        <w:t>Отдельный мониторинг аналитика ищет историческое окно 60 минут: не менее 10 переводов до 10 000 KZT, минимум 8 новых отправителей и долю новых от 80%. Новизна определяется доступной историей получателя; легитимные сборы тоже могут давать сигнал.</w:t>
      </w:r>
    </w:p>
    <w:p>
      <w:pPr>
        <w:pStyle w:val="Heading2"/>
      </w:pPr>
      <w:r>
        <w:t>Что будет без ответа родственника</w:t>
      </w:r>
    </w:p>
    <w:p>
      <w:r>
        <w:t>В активной защите заявка ждёт решения и по истечении срока не исполняется. Средства не резервируются. Без включённой защиты высокий риск требует явного подтверждения предупреждения; AntiScam может потребовать отдельного решения банка.</w:t>
      </w:r>
    </w:p>
    <w:p>
      <w:pPr>
        <w:pStyle w:val="Heading2"/>
      </w:pPr>
      <w:r>
        <w:t>Что если аккаунт родственника скомпрометирован</w:t>
      </w:r>
    </w:p>
    <w:p>
      <w:r>
        <w:t>Это остаётся риском. В MVP действуют серверные права, фиксированный состав согласующих и аудит. Более сильная идентификация и проверка атак на согласование входят в задачи банковского пилота.</w:t>
      </w:r>
    </w:p>
    <w:p>
      <w:pPr>
        <w:pStyle w:val="Heading2"/>
      </w:pPr>
      <w:r>
        <w:t>Какие проверки пропущены</w:t>
      </w:r>
    </w:p>
    <w:p>
      <w:r>
        <w:t>Семь пропусков относятся к необязательным сценариям с CatBoost и проверке отдельного развёртывания исходного проекта. Они раскрыты в отчёте; функциональные проверки не заменяют оценку качества антифрода.</w:t>
      </w:r>
    </w:p>
    <w:p>
      <w:pPr>
        <w:pStyle w:val="Heading1"/>
      </w:pPr>
      <w:r>
        <w:t>Плановая смета пилота</w:t>
      </w:r>
    </w:p>
    <w:p>
      <w:r>
        <w:t>На слайде 11 приведён ориентир размещения демо. Полная восьмимесячная смета ниже — отдельное предложение для обсуждения с партнёром, а не уже понесённые расходы. Основная пятиминутная речь её построчно не зачитывает.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03"/>
        <w:gridCol w:w="2835"/>
      </w:tblGrid>
      <w:tr>
        <w:tc>
          <w:tcPr>
            <w:tcW w:type="dxa" w:w="4819"/>
            <w:shd w:fill="E5EBEF"/>
          </w:tcPr>
          <w:p>
            <w:r>
              <w:rPr>
                <w:b/>
              </w:rPr>
              <w:t>Статья</w:t>
            </w:r>
          </w:p>
        </w:tc>
        <w:tc>
          <w:tcPr>
            <w:tcW w:type="dxa" w:w="4819"/>
            <w:shd w:fill="E5EBEF"/>
          </w:tcPr>
          <w:p>
            <w:r>
              <w:rPr>
                <w:b/>
              </w:rPr>
              <w:t>Тенге</w:t>
            </w:r>
          </w:p>
        </w:tc>
      </w:tr>
      <w:tr>
        <w:tc>
          <w:tcPr>
            <w:tcW w:type="dxa" w:w="6803"/>
          </w:tcPr>
          <w:p>
            <w:pPr>
              <w:spacing w:after="60"/>
            </w:pPr>
            <w:r>
              <w:rPr>
                <w:sz w:val="20"/>
              </w:rPr>
              <w:t>Работа команды</w:t>
            </w:r>
          </w:p>
        </w:tc>
        <w:tc>
          <w:tcPr>
            <w:tcW w:type="dxa" w:w="2835"/>
          </w:tcPr>
          <w:p>
            <w:pPr>
              <w:spacing w:after="60"/>
            </w:pPr>
            <w:r>
              <w:rPr>
                <w:sz w:val="20"/>
              </w:rPr>
              <w:t>3 312 000</w:t>
            </w:r>
          </w:p>
        </w:tc>
      </w:tr>
      <w:tr>
        <w:tc>
          <w:tcPr>
            <w:tcW w:type="dxa" w:w="6803"/>
          </w:tcPr>
          <w:p>
            <w:pPr>
              <w:spacing w:after="60"/>
            </w:pPr>
            <w:r>
              <w:rPr>
                <w:sz w:val="20"/>
              </w:rPr>
              <w:t>Инфраструктура</w:t>
            </w:r>
          </w:p>
        </w:tc>
        <w:tc>
          <w:tcPr>
            <w:tcW w:type="dxa" w:w="2835"/>
          </w:tcPr>
          <w:p>
            <w:pPr>
              <w:spacing w:after="60"/>
            </w:pPr>
            <w:r>
              <w:rPr>
                <w:sz w:val="20"/>
              </w:rPr>
              <w:t>84 260</w:t>
            </w:r>
          </w:p>
        </w:tc>
      </w:tr>
      <w:tr>
        <w:tc>
          <w:tcPr>
            <w:tcW w:type="dxa" w:w="6803"/>
          </w:tcPr>
          <w:p>
            <w:pPr>
              <w:spacing w:after="60"/>
            </w:pPr>
            <w:r>
              <w:rPr>
                <w:sz w:val="20"/>
              </w:rPr>
              <w:t>Тестирование с участниками</w:t>
            </w:r>
          </w:p>
        </w:tc>
        <w:tc>
          <w:tcPr>
            <w:tcW w:type="dxa" w:w="2835"/>
          </w:tcPr>
          <w:p>
            <w:pPr>
              <w:spacing w:after="60"/>
            </w:pPr>
            <w:r>
              <w:rPr>
                <w:sz w:val="20"/>
              </w:rPr>
              <w:t>100 000</w:t>
            </w:r>
          </w:p>
        </w:tc>
      </w:tr>
      <w:tr>
        <w:tc>
          <w:tcPr>
            <w:tcW w:type="dxa" w:w="6803"/>
          </w:tcPr>
          <w:p>
            <w:pPr>
              <w:spacing w:after="60"/>
            </w:pPr>
            <w:r>
              <w:rPr>
                <w:sz w:val="20"/>
              </w:rPr>
              <w:t>Внешняя проверка безопасности</w:t>
            </w:r>
          </w:p>
        </w:tc>
        <w:tc>
          <w:tcPr>
            <w:tcW w:type="dxa" w:w="2835"/>
          </w:tcPr>
          <w:p>
            <w:pPr>
              <w:spacing w:after="60"/>
            </w:pPr>
            <w:r>
              <w:rPr>
                <w:sz w:val="20"/>
              </w:rPr>
              <w:t>300 000</w:t>
            </w:r>
          </w:p>
        </w:tc>
      </w:tr>
      <w:tr>
        <w:tc>
          <w:tcPr>
            <w:tcW w:type="dxa" w:w="6803"/>
          </w:tcPr>
          <w:p>
            <w:pPr>
              <w:spacing w:after="60"/>
            </w:pPr>
            <w:r>
              <w:rPr>
                <w:sz w:val="20"/>
              </w:rPr>
              <w:t>Подытог</w:t>
            </w:r>
          </w:p>
        </w:tc>
        <w:tc>
          <w:tcPr>
            <w:tcW w:type="dxa" w:w="2835"/>
          </w:tcPr>
          <w:p>
            <w:pPr>
              <w:spacing w:after="60"/>
            </w:pPr>
            <w:r>
              <w:rPr>
                <w:sz w:val="20"/>
              </w:rPr>
              <w:t>3 796 260</w:t>
            </w:r>
          </w:p>
        </w:tc>
      </w:tr>
      <w:tr>
        <w:tc>
          <w:tcPr>
            <w:tcW w:type="dxa" w:w="6803"/>
          </w:tcPr>
          <w:p>
            <w:pPr>
              <w:spacing w:after="60"/>
            </w:pPr>
            <w:r>
              <w:rPr>
                <w:sz w:val="20"/>
              </w:rPr>
              <w:t>Резерв 10%</w:t>
            </w:r>
          </w:p>
        </w:tc>
        <w:tc>
          <w:tcPr>
            <w:tcW w:type="dxa" w:w="2835"/>
          </w:tcPr>
          <w:p>
            <w:pPr>
              <w:spacing w:after="60"/>
            </w:pPr>
            <w:r>
              <w:rPr>
                <w:sz w:val="20"/>
              </w:rPr>
              <w:t>379 626</w:t>
            </w:r>
          </w:p>
        </w:tc>
      </w:tr>
      <w:tr>
        <w:tc>
          <w:tcPr>
            <w:tcW w:type="dxa" w:w="6803"/>
          </w:tcPr>
          <w:p>
            <w:pPr>
              <w:spacing w:after="60"/>
            </w:pPr>
            <w:r>
              <w:rPr>
                <w:sz w:val="20"/>
              </w:rPr>
              <w:t>Итого на 8 месяцев</w:t>
            </w:r>
          </w:p>
        </w:tc>
        <w:tc>
          <w:tcPr>
            <w:tcW w:type="dxa" w:w="2835"/>
          </w:tcPr>
          <w:p>
            <w:pPr>
              <w:spacing w:after="60"/>
            </w:pPr>
            <w:r>
              <w:rPr>
                <w:sz w:val="20"/>
              </w:rPr>
              <w:t>4 175 886</w:t>
            </w:r>
          </w:p>
        </w:tc>
      </w:tr>
    </w:tbl>
    <w:p>
      <w:pPr>
        <w:spacing w:after="120"/>
      </w:pPr>
      <w:r>
        <w:rPr>
          <w:i/>
          <w:color w:val="555555"/>
          <w:sz w:val="20"/>
        </w:rPr>
        <w:t>Расчётные допущения: три исполнителя пилота × 120 000 тенге × коэффициент 1,15 × 8 месяцев; это состав работ пилота, а не число конкурсных участников. Инфраструктура: VPS 5 месяцев × $12 и 3 месяца × $24, копии 8 месяцев × $5, домен 6 000 тенге. Курс 455 тенге за доллар и коэффициент 1,15 приняты для планирования. Тестирование: 20 участников × 5 000 тенге. Эксперт антифрода и куратор интеграции со стороны банка в смету не включены. Все ставки и этапы подлежат согласованию.</w:t>
      </w:r>
    </w:p>
    <w:p>
      <w:pPr>
        <w:pStyle w:val="Heading1"/>
      </w:pPr>
      <w:r>
        <w:t>Источники для ответов</w:t>
      </w:r>
    </w:p>
    <w:p>
      <w:pPr>
        <w:spacing w:after="100"/>
      </w:pPr>
      <w:hyperlink r:id="rId9">
        <w:r>
          <w:rPr>
            <w:color w:val="20556B"/>
            <w:u w:val="single"/>
          </w:rPr>
          <w:t>Национальный Банк Казахстана — статистика Антифрод-центра на 1 января 2026 года</w:t>
        </w:r>
      </w:hyperlink>
    </w:p>
    <w:p>
      <w:pPr>
        <w:spacing w:after="120"/>
      </w:pPr>
      <w:r>
        <w:rPr>
          <w:i/>
          <w:color w:val="555555"/>
          <w:sz w:val="20"/>
        </w:rPr>
        <w:t>Точное число в сообщении НБК и на слайде 2 — 80 871 инцидент по транзакциям с признаками мошенничества. Это не число уникальных пострадавших и не оценка рынка продукта. В речи использовано округление «свыше восьмидесяти тысяч».</w:t>
      </w:r>
    </w:p>
    <w:p>
      <w:pPr>
        <w:spacing w:after="100"/>
      </w:pPr>
      <w:hyperlink r:id="rId10">
        <w:r>
          <w:rPr>
            <w:color w:val="20556B"/>
            <w:u w:val="single"/>
          </w:rPr>
          <w:t>Проект — исходники и действующая документация</w:t>
        </w:r>
      </w:hyperlink>
    </w:p>
    <w:p>
      <w:pPr>
        <w:spacing w:after="120"/>
      </w:pPr>
      <w:r>
        <w:rPr>
          <w:i/>
          <w:color w:val="555555"/>
          <w:sz w:val="20"/>
        </w:rPr>
        <w:t>Политика: ADR-016 и ADR-017. Проверки — docs/testing.md, редакция 15 октября 2026. Результаты 379/70 взяты из существующего отчёта; подготовка речи не является новым прогоном программы. Публичное демо пока не заявляется. Полная смета — плановые числа из сценария команды, а не коммерческое предложение поставщиков.</w:t>
      </w:r>
    </w:p>
    <w:sectPr w:rsidR="00FC693F" w:rsidRPr="0006063C" w:rsidSect="00034616">
      <w:footerReference w:type="default" r:id="rId11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Family Guard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160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tionalbank.kz/ru/news/informacionnye-soobshcheniya/18571" TargetMode="External"/><Relationship Id="rId10" Type="http://schemas.openxmlformats.org/officeDocument/2006/relationships/hyperlink" Target="https://github.com/z4n9/anti_fraud_combined/tree/release/contest-mvp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Family Guard — пятиминутный сценарий выступления</dc:title>
  <dc:subject/>
  <dc:creator>Family Bank / Family Guard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