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Family Guard</w:t>
      </w:r>
    </w:p>
    <w:p>
      <w:pPr>
        <w:spacing w:after="40"/>
      </w:pPr>
      <w:r>
        <w:t>Project summary in English</w:t>
      </w:r>
    </w:p>
    <w:p>
      <w:pPr>
        <w:spacing w:after="160"/>
      </w:pPr>
      <w:r>
        <w:rPr>
          <w:color w:val="46555F"/>
          <w:sz w:val="20"/>
        </w:rPr>
        <w:t>Caspian University  |  Almaty 2026</w:t>
      </w:r>
    </w:p>
    <w:p>
      <w:pPr>
        <w:pStyle w:val="Heading2"/>
      </w:pPr>
      <w:r>
        <w:t>Purpose and users</w:t>
      </w:r>
    </w:p>
    <w:p>
      <w:r>
        <w:t>Family Guard is a demonstration system for family-assisted approval of bank transfers. Developed as a Caspian University project, it serves customers who voluntarily appoint trusted relatives and bank staff who review suspicious transactions. It adds an approval step before a transfer that a customer may initiate under a fraudster’s influence.</w:t>
      </w:r>
    </w:p>
    <w:p>
      <w:pPr>
        <w:pStyle w:val="Heading2"/>
      </w:pPr>
      <w:r>
        <w:t>Solution and method</w:t>
      </w:r>
    </w:p>
    <w:p>
      <w:r>
        <w:t>Family Bank combines transfers with Family Guard. Rules and a bounded transaction graph produce explainable signals. Family protection is voluntary. Without it, high risk requires a warning and explicit customer acknowledgement. With protection enabled, a fixed group of up to three consenting relatives must respond before any debit. Unanimous rejection ends the request; conflicting votes require a bank employee’s decision. AntiScam can trigger separate bank review.</w:t>
      </w:r>
    </w:p>
    <w:p>
      <w:pPr>
        <w:pStyle w:val="Heading2"/>
      </w:pPr>
      <w:r>
        <w:t>Implementation and data</w:t>
      </w:r>
    </w:p>
    <w:p>
      <w:r>
        <w:t>FastAPI, SQLAlchemy/SQLite and web interfaces run in one Docker service with persistent storage. Amounts use integer tiyns; postings are atomic and commands idempotent. Analysts can import, investigate and export data. Separate recipient monitoring flags frequent small payments from new senders; the synthetic example has 12 transfers totaling KZT 51,500. A prepared 100,000-row MoMTSim v2 sample is also available: Denish Azamuke, Mendeley Data, DOI 10.17632/zhj366m53p.2, CC BY 4.0. Timestamps are reconstructed artificially.</w:t>
      </w:r>
    </w:p>
    <w:p>
      <w:pPr>
        <w:pStyle w:val="Heading2"/>
      </w:pPr>
      <w:r>
        <w:t>Verified results and limitations</w:t>
      </w:r>
    </w:p>
    <w:p>
      <w:r>
        <w:t>Last complete checks after rebranding, 15 October: 379 backend tests passed, 7 skipped; 70 frontend tests passed. File upload, recipient monitoring in the browser and financial scenarios were verified. These are functional checks; precision, recall and F1 have not been measured. Monitoring does not block transfers or establish fraud. Accounts, money, kinship and eGov are simulated; no real payment network is connected. Preliminary team self-assessment: TRL 4.</w:t>
      </w:r>
    </w:p>
    <w:p>
      <w:pPr>
        <w:pStyle w:val="Heading2"/>
      </w:pPr>
      <w:r>
        <w:t>Implementation plan and resources</w:t>
      </w:r>
    </w:p>
    <w:p>
      <w:r>
        <w:t>Next are a public demo or video, rule evaluation on agreed data and a bank sandbox. An anti-fraud expert and integration contact are needed. The planning estimate dated 12 October is $12 per month for a VPS, or $24 for two months; pricing must be checked before purchase. Labor, a domain and extra services need separate estimates. No public demo URL is available yet.</w:t>
      </w:r>
    </w:p>
    <w:p>
      <w:pPr>
        <w:spacing w:before="80"/>
      </w:pPr>
      <w:r>
        <w:t xml:space="preserve">Source code: </w:t>
      </w:r>
      <w:r>
        <w:rPr>
          <w:sz w:val="18"/>
        </w:rPr>
        <w:t>https://github.com/z4n9/anti_fraud_combined</w:t>
      </w:r>
    </w:p>
    <w:sectPr w:rsidR="00FC693F" w:rsidRPr="0006063C" w:rsidSect="00034616"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Family Guard project summary EN</dc:title>
  <dc:subject/>
  <dc:creator>Family Guard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