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Family Guard</w:t>
      </w:r>
    </w:p>
    <w:p>
      <w:pPr>
        <w:spacing w:after="40"/>
      </w:pPr>
      <w:r>
        <w:t>Резюме проекта на русском языке</w:t>
      </w:r>
    </w:p>
    <w:p>
      <w:pPr>
        <w:spacing w:after="160"/>
      </w:pPr>
      <w:r>
        <w:rPr>
          <w:color w:val="46555F"/>
          <w:sz w:val="20"/>
        </w:rPr>
        <w:t>Caspian University  |  Алматы 2026</w:t>
      </w:r>
    </w:p>
    <w:p>
      <w:pPr>
        <w:pStyle w:val="Heading2"/>
      </w:pPr>
      <w:r>
        <w:t>Назначение и аудитория</w:t>
      </w:r>
    </w:p>
    <w:p>
      <w:r>
        <w:t>Family Guard — демонстрационная система семейной защиты банковских переводов. Проект Caspian University предназначен для клиентов, добровольно подключающих доверенных родственников, и банковских сотрудников, разбирающих подозрительные операции. Цель — добавить согласование до исполнения перевода, который клиент может совершать под воздействием мошенника.</w:t>
      </w:r>
    </w:p>
    <w:p>
      <w:pPr>
        <w:pStyle w:val="Heading2"/>
      </w:pPr>
      <w:r>
        <w:t>Решение и метод</w:t>
      </w:r>
    </w:p>
    <w:p>
      <w:r>
        <w:t>Family Bank объединяет переводы и Family Guard: правила и ограниченный граф дают объяснимый сигнал. Защита добровольна. Без неё высокий риск требует предупреждения и явного подтверждения клиентом. При включённой защите фиксируется до трёх согласившихся родственников. Нужны все ответы, до разрешения списания нет. Единогласный отказ завершает заявку, конфликт передаётся сотруднику. AntiScam может требовать отдельной банковской проверки.</w:t>
      </w:r>
    </w:p>
    <w:p>
      <w:pPr>
        <w:pStyle w:val="Heading2"/>
      </w:pPr>
      <w:r>
        <w:t>Реализация и данные</w:t>
      </w:r>
    </w:p>
    <w:p>
      <w:r>
        <w:t>FastAPI, SQLAlchemy/SQLite и веб-интерфейсы работают в одном Docker-сервисе с постоянным томом. Деньги — целые тиыны, проводки атомарны и идемпотентны. Аналитик импортирует, расследует и экспортирует результаты. Мониторинг получателей отдельно выявляет частые небольшие поступления от новых отправителей; пример: 12 переводов на 51 500 KZT. Используется также выборка 100 000 строк MoMTSim v2: Denish Azamuke, Mendeley Data, DOI 10.17632/zhj366m53p.2, CC BY 4.0; время восстановлено искусственно.</w:t>
      </w:r>
    </w:p>
    <w:p>
      <w:pPr>
        <w:pStyle w:val="Heading2"/>
      </w:pPr>
      <w:r>
        <w:t>Проверенные результаты и ограничения</w:t>
      </w:r>
    </w:p>
    <w:p>
      <w:r>
        <w:t>Последний полный прогон после ребрендинга 15 октября: 379 backend-тестов прошли, 7 пропущены, 70 frontend-тестов прошли. Проверены загрузка примера, мониторинг в браузере и финансовые сценарии. Это функциональные проверки; precision, recall и F1 не измерены. Мониторинг не блокирует переводы и не доказывает мошенничество. Деньги, родство и eGov тестовые. Реальные платёжные сети не подключены. Предварительная самооценка — TRL 4.</w:t>
      </w:r>
    </w:p>
    <w:p>
      <w:pPr>
        <w:pStyle w:val="Heading2"/>
      </w:pPr>
      <w:r>
        <w:t>План внедрения и ресурсы</w:t>
      </w:r>
    </w:p>
    <w:p>
      <w:r>
        <w:t>Далее — публичное демо или видео, оценка правил на согласованных данных и банковский sandbox. Нужны эксперт антифрода и куратор интеграции. Плановая смета от 12 октября: VPS $12 в месяц, $24 за два месяца; тариф перед оплатой требует проверки. Труд, домен и дополнительные услуги оцениваются отдельно. Публичный URL пока отсутствует.</w:t>
      </w:r>
    </w:p>
    <w:p>
      <w:pPr>
        <w:spacing w:before="80"/>
      </w:pPr>
      <w:r>
        <w:t xml:space="preserve">Исходники: </w:t>
      </w:r>
      <w:r>
        <w:rPr>
          <w:sz w:val="18"/>
        </w:rPr>
        <w:t>https://github.com/z4n9/anti_fraud_combined</w:t>
      </w:r>
    </w:p>
    <w:sectPr w:rsidR="00FC693F" w:rsidRPr="0006063C" w:rsidSect="00034616">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Guard project summary RU</dc:title>
  <dc:subject/>
  <dc:creator>Family Guard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