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приложение Family Guard</w:t>
      </w:r>
    </w:p>
    <w:p>
      <w:r>
        <w:rPr>
          <w:b w:val="0"/>
          <w:i w:val="0"/>
        </w:rPr>
        <w:t xml:space="preserve">Основной комплект в Word: </w:t>
      </w:r>
      <w:hyperlink r:id="rId9">
        <w:r>
          <w:rPr>
            <w:color w:val="215775"/>
            <w:u w:val="single"/>
          </w:rPr>
          <w:t>указатель</w:t>
        </w:r>
      </w:hyperlink>
      <w:r>
        <w:rPr>
          <w:b w:val="0"/>
          <w:i w:val="0"/>
        </w:rPr>
        <w:t xml:space="preserve">, </w:t>
      </w:r>
      <w:hyperlink r:id="rId10">
        <w:r>
          <w:rPr>
            <w:color w:val="215775"/>
            <w:u w:val="single"/>
          </w:rPr>
          <w:t>методика</w:t>
        </w:r>
      </w:hyperlink>
      <w:r>
        <w:rPr>
          <w:b w:val="0"/>
          <w:i w:val="0"/>
        </w:rPr>
        <w:t xml:space="preserve">, </w:t>
      </w:r>
      <w:hyperlink r:id="rId11">
        <w:r>
          <w:rPr>
            <w:color w:val="215775"/>
            <w:u w:val="single"/>
          </w:rPr>
          <w:t>данные и исходники</w:t>
        </w:r>
      </w:hyperlink>
      <w:r>
        <w:rPr>
          <w:b w:val="0"/>
          <w:i w:val="0"/>
        </w:rPr>
        <w:t xml:space="preserve">, </w:t>
      </w:r>
      <w:hyperlink r:id="rId12">
        <w:r>
          <w:rPr>
            <w:color w:val="215775"/>
            <w:u w:val="single"/>
          </w:rPr>
          <w:t>метрики и тест-кейс</w:t>
        </w:r>
      </w:hyperlink>
      <w:r>
        <w:rPr>
          <w:b w:val="0"/>
          <w:i w:val="0"/>
        </w:rPr>
        <w:t xml:space="preserve">, </w:t>
      </w:r>
      <w:hyperlink r:id="rId13">
        <w:r>
          <w:rPr>
            <w:color w:val="215775"/>
            <w:u w:val="single"/>
          </w:rPr>
          <w:t>план TRL</w:t>
        </w:r>
      </w:hyperlink>
      <w:r>
        <w:rPr>
          <w:b w:val="0"/>
          <w:i w:val="0"/>
        </w:rPr>
        <w:t>. Markdown ниже сохранён как исходник.</w:t>
      </w:r>
    </w:p>
    <w:p>
      <w:r>
        <w:rPr>
          <w:b w:val="0"/>
          <w:i w:val="0"/>
        </w:rPr>
        <w:t>Конкурсная версия, обновлена 15 октября 2026 года. Family Guard объединяет клиентский Family Bank, семейное согласование переводов и кабинет аналитика Family Guard.</w:t>
      </w:r>
    </w:p>
    <w:p>
      <w:r>
        <w:rPr>
          <w:b w:val="0"/>
          <w:i w:val="0"/>
        </w:rPr>
        <w:t>Читайте четыре раздела по порядку; каждый отвечает отдельному пункту технического приложения: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463"/>
      </w:tblGrid>
      <w:tr>
        <w:trPr>
          <w:cantSplit/>
          <w:tblHeader/>
        </w:trPr>
        <w:tc>
          <w:tcPr>
            <w:tcW w:type="dxa" w:w="3175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Файл</w:t>
            </w:r>
          </w:p>
        </w:tc>
        <w:tc>
          <w:tcPr>
            <w:tcW w:type="dxa" w:w="6463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4">
              <w:r>
                <w:rPr>
                  <w:color w:val="215775"/>
                  <w:u w:val="single"/>
                  <w:sz w:val="19"/>
                </w:rPr>
                <w:t>01-method.docx</w:t>
              </w:r>
            </w:hyperlink>
          </w:p>
        </w:tc>
        <w:tc>
          <w:tcPr>
            <w:tcW w:type="dxa" w:w="646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Методика, модель риска и принятие решения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5">
              <w:r>
                <w:rPr>
                  <w:color w:val="215775"/>
                  <w:u w:val="single"/>
                  <w:sz w:val="19"/>
                </w:rPr>
                <w:t>02-data-and-source.docx</w:t>
              </w:r>
            </w:hyperlink>
          </w:p>
        </w:tc>
        <w:tc>
          <w:tcPr>
            <w:tcW w:type="dxa" w:w="646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Датасеты, лицензия, исходники и воспроизводимость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6">
              <w:r>
                <w:rPr>
                  <w:color w:val="215775"/>
                  <w:u w:val="single"/>
                  <w:sz w:val="19"/>
                </w:rPr>
                <w:t>03-validation.docx</w:t>
              </w:r>
            </w:hyperlink>
          </w:p>
        </w:tc>
        <w:tc>
          <w:tcPr>
            <w:tcW w:type="dxa" w:w="646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Подтверждённые проверки, метрики и тест-кейс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7">
              <w:r>
                <w:rPr>
                  <w:color w:val="215775"/>
                  <w:u w:val="single"/>
                  <w:sz w:val="19"/>
                </w:rPr>
                <w:t>04-roadmap-trl.docx</w:t>
              </w:r>
            </w:hyperlink>
          </w:p>
        </w:tc>
        <w:tc>
          <w:tcPr>
            <w:tcW w:type="dxa" w:w="646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Текущая готовность, ограничения и план доработки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  <w:i w:val="0"/>
        </w:rPr>
        <w:t xml:space="preserve">Комплект сверяет исходники и существующие отчёты. Указанные тесты выполнены в даты исходных отчётов; сборка документации не является новым прогоном. </w:t>
      </w:r>
      <w:hyperlink r:id="rId18">
        <w:r>
          <w:rPr>
            <w:color w:val="215775"/>
            <w:u w:val="single"/>
          </w:rPr>
          <w:t>Единый Word-экспорт</w:t>
        </w:r>
      </w:hyperlink>
      <w:r>
        <w:rPr>
          <w:b w:val="0"/>
          <w:i w:val="0"/>
        </w:rPr>
        <w:t xml:space="preserve"> обновлён из актуального раздела 5 заявки одновременно с тематическим комплектом.</w:t>
      </w:r>
    </w:p>
    <w:p>
      <w:pPr>
        <w:pStyle w:val="Heading1"/>
      </w:pPr>
      <w:r>
        <w:t>Какие прежние материалы можно исключить из пакета для жюри</w:t>
      </w:r>
    </w:p>
    <w:p>
      <w:r>
        <w:rPr>
          <w:b w:val="0"/>
          <w:i w:val="0"/>
        </w:rPr>
        <w:t>Файлы сохранены. Таблица касается конкурсного пакета, а не удаления документации из репозитория.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402"/>
        <w:gridCol w:w="3402"/>
      </w:tblGrid>
      <w:tr>
        <w:trPr>
          <w:cantSplit/>
          <w:tblHeader/>
        </w:trPr>
        <w:tc>
          <w:tcPr>
            <w:tcW w:type="dxa" w:w="2835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Прежний материал</w:t>
            </w:r>
          </w:p>
        </w:tc>
        <w:tc>
          <w:tcPr>
            <w:tcW w:type="dxa" w:w="3402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Что теперь использовать</w:t>
            </w:r>
          </w:p>
        </w:tc>
        <w:tc>
          <w:tcPr>
            <w:tcW w:type="dxa" w:w="3402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Зачем сохранить оригинал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 xml:space="preserve">Раздел 5 </w:t>
            </w:r>
            <w:hyperlink r:id="rId19">
              <w:r>
                <w:rPr>
                  <w:color w:val="215775"/>
                  <w:u w:val="single"/>
                  <w:sz w:val="19"/>
                </w:rPr>
                <w:t>CONTEST_SUBMISSION.md</w:t>
              </w:r>
            </w:hyperlink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Четыре раздела этого приложения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Остальные пункты заявки и история формулировок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20">
              <w:r>
                <w:rPr>
                  <w:color w:val="215775"/>
                  <w:u w:val="single"/>
                  <w:sz w:val="19"/>
                </w:rPr>
                <w:t>presentation-check.md</w:t>
              </w:r>
            </w:hyperlink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Сводку в 03-validation.docx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Подробности проверки конкретной версии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21">
              <w:r>
                <w:rPr>
                  <w:color w:val="215775"/>
                  <w:u w:val="single"/>
                  <w:sz w:val="19"/>
                </w:rPr>
                <w:t>dataset-attribution.md</w:t>
              </w:r>
            </w:hyperlink>
            <w:r>
              <w:rPr>
                <w:b w:val="0"/>
                <w:i w:val="0"/>
                <w:sz w:val="19"/>
              </w:rPr>
              <w:t xml:space="preserve">, </w:t>
            </w:r>
            <w:hyperlink r:id="rId22">
              <w:r>
                <w:rPr>
                  <w:color w:val="215775"/>
                  <w:u w:val="single"/>
                  <w:sz w:val="19"/>
                </w:rPr>
                <w:t>examples/README.md</w:t>
              </w:r>
            </w:hyperlink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02-data-and-source.docx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Атрибуция рядом с данными и инструкция подготовки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23">
              <w:r>
                <w:rPr>
                  <w:color w:val="215775"/>
                  <w:u w:val="single"/>
                  <w:sz w:val="19"/>
                </w:rPr>
                <w:t>mvp-release.md</w:t>
              </w:r>
            </w:hyperlink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01-method.docx и 04-roadmap-trl.docx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Зафиксированная граница релиза для разработки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hyperlink r:id="rId24">
        <w:r>
          <w:rPr>
            <w:color w:val="215775"/>
            <w:u w:val="single"/>
          </w:rPr>
          <w:t>testing.md</w:t>
        </w:r>
      </w:hyperlink>
      <w:r>
        <w:rPr>
          <w:b w:val="0"/>
          <w:i w:val="0"/>
        </w:rPr>
        <w:t xml:space="preserve">, </w:t>
      </w:r>
      <w:hyperlink r:id="rId25">
        <w:r>
          <w:rPr>
            <w:color w:val="215775"/>
            <w:u w:val="single"/>
          </w:rPr>
          <w:t>architecture.md</w:t>
        </w:r>
      </w:hyperlink>
      <w:r>
        <w:rPr>
          <w:b w:val="0"/>
          <w:i w:val="0"/>
        </w:rPr>
        <w:t xml:space="preserve">, </w:t>
      </w:r>
      <w:hyperlink r:id="rId26">
        <w:r>
          <w:rPr>
            <w:color w:val="215775"/>
            <w:u w:val="single"/>
          </w:rPr>
          <w:t>decisions.md</w:t>
        </w:r>
      </w:hyperlink>
      <w:r>
        <w:rPr>
          <w:b w:val="0"/>
          <w:i w:val="0"/>
        </w:rPr>
        <w:t xml:space="preserve">, </w:t>
      </w:r>
      <w:hyperlink r:id="rId27">
        <w:r>
          <w:rPr>
            <w:color w:val="215775"/>
            <w:u w:val="single"/>
          </w:rPr>
          <w:t>progress.md</w:t>
        </w:r>
      </w:hyperlink>
      <w:r>
        <w:rPr>
          <w:b w:val="0"/>
          <w:i w:val="0"/>
        </w:rPr>
        <w:t xml:space="preserve"> остаются инженерными источниками. </w:t>
      </w:r>
      <w:hyperlink r:id="rId28">
        <w:r>
          <w:rPr>
            <w:color w:val="215775"/>
            <w:u w:val="single"/>
          </w:rPr>
          <w:t>USER_GUIDE.md</w:t>
        </w:r>
      </w:hyperlink>
      <w:r>
        <w:rPr>
          <w:b w:val="0"/>
          <w:i w:val="0"/>
        </w:rPr>
        <w:t xml:space="preserve"> и </w:t>
      </w:r>
      <w:hyperlink r:id="rId29">
        <w:r>
          <w:rPr>
            <w:color w:val="215775"/>
            <w:u w:val="single"/>
          </w:rPr>
          <w:t>DEPLOYMENT.md</w:t>
        </w:r>
      </w:hyperlink>
      <w:r>
        <w:rPr>
          <w:b w:val="0"/>
          <w:i w:val="0"/>
        </w:rPr>
        <w:t xml:space="preserve"> нужны для запуска; презентация, резюме и сценарий видео выполняют отдельные требования конкурса.</w:t>
      </w:r>
    </w:p>
    <w:sectPr w:rsidR="00FC693F" w:rsidRPr="0006063C" w:rsidSect="00034616">
      <w:footerReference w:type="default" r:id="rId30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Family Guard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4n9/anti_fraud_combined/blob/release/contest-mvp/docs/technical-appendix/00-index.docx" TargetMode="External"/><Relationship Id="rId10" Type="http://schemas.openxmlformats.org/officeDocument/2006/relationships/hyperlink" Target="https://github.com/z4n9/anti_fraud_combined/blob/release/contest-mvp/docs/technical-appendix/01-method.docx" TargetMode="External"/><Relationship Id="rId11" Type="http://schemas.openxmlformats.org/officeDocument/2006/relationships/hyperlink" Target="https://github.com/z4n9/anti_fraud_combined/blob/release/contest-mvp/docs/technical-appendix/02-data-and-source.docx" TargetMode="External"/><Relationship Id="rId12" Type="http://schemas.openxmlformats.org/officeDocument/2006/relationships/hyperlink" Target="https://github.com/z4n9/anti_fraud_combined/blob/release/contest-mvp/docs/technical-appendix/03-validation.docx" TargetMode="External"/><Relationship Id="rId13" Type="http://schemas.openxmlformats.org/officeDocument/2006/relationships/hyperlink" Target="https://github.com/z4n9/anti_fraud_combined/blob/release/contest-mvp/docs/technical-appendix/04-roadmap-trl.docx" TargetMode="External"/><Relationship Id="rId14" Type="http://schemas.openxmlformats.org/officeDocument/2006/relationships/hyperlink" Target="01-method.docx" TargetMode="External"/><Relationship Id="rId15" Type="http://schemas.openxmlformats.org/officeDocument/2006/relationships/hyperlink" Target="02-data-and-source.docx" TargetMode="External"/><Relationship Id="rId16" Type="http://schemas.openxmlformats.org/officeDocument/2006/relationships/hyperlink" Target="03-validation.docx" TargetMode="External"/><Relationship Id="rId17" Type="http://schemas.openxmlformats.org/officeDocument/2006/relationships/hyperlink" Target="04-roadmap-trl.docx" TargetMode="External"/><Relationship Id="rId18" Type="http://schemas.openxmlformats.org/officeDocument/2006/relationships/hyperlink" Target="https://github.com/z4n9/anti_fraud_combined/blob/release/contest-mvp/contest/Family_Guard_Technical_Appendix_RU.docx" TargetMode="External"/><Relationship Id="rId19" Type="http://schemas.openxmlformats.org/officeDocument/2006/relationships/hyperlink" Target="https://github.com/z4n9/anti_fraud_combined/blob/release/contest-mvp/CONTEST_SUBMISSION.md" TargetMode="External"/><Relationship Id="rId20" Type="http://schemas.openxmlformats.org/officeDocument/2006/relationships/hyperlink" Target="https://github.com/z4n9/anti_fraud_combined/blob/release/contest-mvp/docs/presentation-check.md" TargetMode="External"/><Relationship Id="rId21" Type="http://schemas.openxmlformats.org/officeDocument/2006/relationships/hyperlink" Target="https://github.com/z4n9/anti_fraud_combined/blob/release/contest-mvp/docs/dataset-attribution.md" TargetMode="External"/><Relationship Id="rId22" Type="http://schemas.openxmlformats.org/officeDocument/2006/relationships/hyperlink" Target="https://github.com/z4n9/anti_fraud_combined/blob/release/contest-mvp/examples/README.md" TargetMode="External"/><Relationship Id="rId23" Type="http://schemas.openxmlformats.org/officeDocument/2006/relationships/hyperlink" Target="https://github.com/z4n9/anti_fraud_combined/blob/release/contest-mvp/docs/mvp-release.md" TargetMode="External"/><Relationship Id="rId24" Type="http://schemas.openxmlformats.org/officeDocument/2006/relationships/hyperlink" Target="https://github.com/z4n9/anti_fraud_combined/blob/release/contest-mvp/docs/testing.md" TargetMode="External"/><Relationship Id="rId25" Type="http://schemas.openxmlformats.org/officeDocument/2006/relationships/hyperlink" Target="https://github.com/z4n9/anti_fraud_combined/blob/release/contest-mvp/docs/architecture.md" TargetMode="External"/><Relationship Id="rId26" Type="http://schemas.openxmlformats.org/officeDocument/2006/relationships/hyperlink" Target="https://github.com/z4n9/anti_fraud_combined/blob/release/contest-mvp/docs/decisions.md" TargetMode="External"/><Relationship Id="rId27" Type="http://schemas.openxmlformats.org/officeDocument/2006/relationships/hyperlink" Target="https://github.com/z4n9/anti_fraud_combined/blob/release/contest-mvp/docs/progress.md" TargetMode="External"/><Relationship Id="rId28" Type="http://schemas.openxmlformats.org/officeDocument/2006/relationships/hyperlink" Target="https://github.com/z4n9/anti_fraud_combined/blob/release/contest-mvp/USER_GUIDE.md" TargetMode="External"/><Relationship Id="rId29" Type="http://schemas.openxmlformats.org/officeDocument/2006/relationships/hyperlink" Target="https://github.com/z4n9/anti_fraud_combined/blob/release/contest-mvp/DEPLOYMENT.md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приложение Family Guard</dc:title>
  <dc:subject>Техническое приложение конкурсного MVP</dc:subject>
  <dc:creator>Команда проекта Family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