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Методика и модель Family Guard</w:t>
      </w:r>
    </w:p>
    <w:p>
      <w:r>
        <w:rPr>
          <w:b/>
          <w:i w:val="0"/>
        </w:rPr>
        <w:t>Family Guard в Family Bank проверяет риск до исполнения перевода и при добровольно включённой семейной защите подключает доверенных родственников к решению.</w:t>
      </w:r>
      <w:r>
        <w:rPr>
          <w:b w:val="0"/>
          <w:i w:val="0"/>
        </w:rPr>
        <w:t xml:space="preserve"> Банковский сотрудник разбирает конфликт голосов и сигналы социального давления. Клиент, родственники и сотрудник действуют из отдельных аккаунтов.</w:t>
      </w:r>
    </w:p>
    <w:p>
      <w:pPr>
        <w:pStyle w:val="Heading1"/>
      </w:pPr>
      <w:r>
        <w:t>Оценка риска</w:t>
      </w:r>
    </w:p>
    <w:p>
      <w:r>
        <w:rPr>
          <w:b w:val="0"/>
          <w:i w:val="0"/>
        </w:rPr>
        <w:t>В MVP работают детерминированные правила и ограниченный ориентированный граф переводов. Одиннадцать сценариев выявляют крупную сумму, частые операции, быструю серию, дробление суммы, нового получателя, ночную активность, сбор средств от многих отправителей, короткие циклы, быстрый вывод поступлений, активацию после простоя и отклонение от привычного поведения.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6463"/>
      </w:tblGrid>
      <w:tr>
        <w:trPr>
          <w:cantSplit/>
          <w:tblHeader/>
        </w:trPr>
        <w:tc>
          <w:tcPr>
            <w:tcW w:type="dxa" w:w="3175"/>
            <w:vAlign w:val="center"/>
            <w:shd w:fill="DDE7EC"/>
            <w:tcMar>
              <w:top w:w="90" w:type="dxa"/>
              <w:left w:w="90" w:type="dxa"/>
              <w:bottom w:w="90" w:type="dxa"/>
              <w:right w:w="90" w:type="dxa"/>
            </w:tcMar>
          </w:tcPr>
          <w:p>
            <w:pPr>
              <w:spacing w:after="40" w:before="40" w:line="247" w:lineRule="auto"/>
            </w:pPr>
            <w:r>
              <w:rPr>
                <w:b/>
                <w:i w:val="0"/>
                <w:sz w:val="19"/>
              </w:rPr>
              <w:t>Контур</w:t>
            </w:r>
          </w:p>
        </w:tc>
        <w:tc>
          <w:tcPr>
            <w:tcW w:type="dxa" w:w="6463"/>
            <w:vAlign w:val="center"/>
            <w:shd w:fill="DDE7EC"/>
            <w:tcMar>
              <w:top w:w="90" w:type="dxa"/>
              <w:left w:w="90" w:type="dxa"/>
              <w:bottom w:w="90" w:type="dxa"/>
              <w:right w:w="90" w:type="dxa"/>
            </w:tcMar>
          </w:tcPr>
          <w:p>
            <w:pPr>
              <w:spacing w:after="40" w:before="40" w:line="247" w:lineRule="auto"/>
            </w:pPr>
            <w:r>
              <w:rPr>
                <w:b/>
                <w:i w:val="0"/>
                <w:sz w:val="19"/>
              </w:rPr>
              <w:t>Как рассчитывается сигнал</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Перевод в Family Bank</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Отдельно оцениваются операция и получатель; итог — максимум силы их сигналов. Дополнительное правило: перевод не менее 80% доступного баланса даёт сигнал 0,8</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Файловый анализ Family Guard без ML</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Итог = max(0,9 × сигнал сценариев, 0,9 × сигнал графа); от 0,72 требуется проверка аналитика</w:t>
            </w:r>
          </w:p>
        </w:tc>
      </w:tr>
    </w:tbl>
    <w:p>
      <w:pPr>
        <w:spacing w:after="0" w:line="60" w:lineRule="exact"/>
      </w:pPr>
      <w:r>
        <w:rPr>
          <w:sz w:val="6"/>
        </w:rPr>
      </w:r>
    </w:p>
    <w:p>
      <w:r>
        <w:rPr>
          <w:b w:val="0"/>
          <w:i w:val="0"/>
        </w:rPr>
        <w:t xml:space="preserve">В банковском контуре уровни: низкий — менее 0,4; средний — от 0,4 до 0,72; высокий — от 0,72 до 0,95; критический — от 0,95. </w:t>
      </w:r>
      <w:r>
        <w:rPr>
          <w:b/>
          <w:i w:val="0"/>
        </w:rPr>
        <w:t>Это шкала силы сигнала, а не вероятность мошенничества.</w:t>
      </w:r>
      <w:r>
        <w:rPr>
          <w:b w:val="0"/>
          <w:i w:val="0"/>
        </w:rPr>
        <w:t xml:space="preserve"> Пороги демонстрационные, банковская калибровка ещё не выполнена.</w:t>
      </w:r>
    </w:p>
    <w:p>
      <w:r>
        <w:rPr>
          <w:b w:val="0"/>
          <w:i w:val="0"/>
        </w:rPr>
        <w:t>Норма клиента строится по предшествующим суммам за 30 дней: медиана и масштаб отклонения. От пяти операций масштаб равен максимуму медианного абсолютного отклонения, стандартного отклонения и 1. При короткой истории банковский контур использует исходящий профиль клиента, а файловый fallback начинает с демонстрационной нормы 50 000/25 000 в единицах источника. Без исходящей истории банковские относительные правила, требующие нормы клиента, исключаются.</w:t>
      </w:r>
    </w:p>
    <w:p>
      <w:r>
        <w:rPr>
          <w:b w:val="0"/>
          <w:i w:val="0"/>
        </w:rPr>
        <w:t>В расчёт попадает только история строго раньше оцениваемой операции; одинаковые timestamps не создают историю друг для друга. Граф ограничен окном 24 часа и 50 000 рёбер; банковская история — последними 50 000 завершёнными записями. Зеркальные дебет и кредит не удваивают граф. Для ночных банковских правил используется UTC+5.</w:t>
      </w:r>
    </w:p>
    <w:p>
      <w:r>
        <w:rPr>
          <w:b w:val="0"/>
          <w:i w:val="0"/>
        </w:rPr>
        <w:t>Неполнота данных возвращается отдельно и не уменьшает риск. При короткой истории, неразрешённых связях или усечении графа полнота выводов ограничена; внешние счета банка не видны. Пользователь получает понятные причины риска.</w:t>
      </w:r>
    </w:p>
    <w:p>
      <w:pPr>
        <w:pStyle w:val="Heading1"/>
        <w:pageBreakBefore/>
      </w:pPr>
      <w:r>
        <w:t>Решение о переводе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6463"/>
      </w:tblGrid>
      <w:tr>
        <w:trPr>
          <w:cantSplit/>
          <w:tblHeader/>
        </w:trPr>
        <w:tc>
          <w:tcPr>
            <w:tcW w:type="dxa" w:w="3175"/>
            <w:vAlign w:val="center"/>
            <w:shd w:fill="DDE7EC"/>
            <w:tcMar>
              <w:top w:w="90" w:type="dxa"/>
              <w:left w:w="90" w:type="dxa"/>
              <w:bottom w:w="90" w:type="dxa"/>
              <w:right w:w="90" w:type="dxa"/>
            </w:tcMar>
          </w:tcPr>
          <w:p>
            <w:pPr>
              <w:spacing w:after="40" w:before="40" w:line="247" w:lineRule="auto"/>
            </w:pPr>
            <w:r>
              <w:rPr>
                <w:b/>
                <w:i w:val="0"/>
                <w:sz w:val="19"/>
              </w:rPr>
              <w:t>Условие</w:t>
            </w:r>
          </w:p>
        </w:tc>
        <w:tc>
          <w:tcPr>
            <w:tcW w:type="dxa" w:w="6463"/>
            <w:vAlign w:val="center"/>
            <w:shd w:fill="DDE7EC"/>
            <w:tcMar>
              <w:top w:w="90" w:type="dxa"/>
              <w:left w:w="90" w:type="dxa"/>
              <w:bottom w:w="90" w:type="dxa"/>
              <w:right w:w="90" w:type="dxa"/>
            </w:tcMar>
          </w:tcPr>
          <w:p>
            <w:pPr>
              <w:spacing w:after="40" w:before="40" w:line="247" w:lineRule="auto"/>
            </w:pPr>
            <w:r>
              <w:rPr>
                <w:b/>
                <w:i w:val="0"/>
                <w:sz w:val="19"/>
              </w:rPr>
              <w:t>Действие</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Низкий/средний риск без тревожного AntiScam</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Исполнение после банковских проверок</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Высокий/критический риск при включённой защите</w:t>
            </w:r>
          </w:p>
        </w:tc>
        <w:tc>
          <w:tcPr>
            <w:tcW w:type="dxa" w:w="6463"/>
            <w:vAlign w:val="center"/>
            <w:shd w:fill="FFFFFF"/>
            <w:tcMar>
              <w:top w:w="90" w:type="dxa"/>
              <w:left w:w="90" w:type="dxa"/>
              <w:bottom w:w="90" w:type="dxa"/>
              <w:right w:w="90" w:type="dxa"/>
            </w:tcMar>
          </w:tcPr>
          <w:p>
            <w:pPr>
              <w:spacing w:after="40" w:before="40" w:line="247" w:lineRule="auto"/>
            </w:pPr>
            <w:r>
              <w:rPr>
                <w:rFonts w:ascii="Liberation Mono" w:hAnsi="Liberation Mono"/>
                <w:b w:val="0"/>
                <w:i w:val="0"/>
                <w:sz w:val="18"/>
              </w:rPr>
              <w:t>pending_approval</w:t>
            </w:r>
            <w:r>
              <w:rPr>
                <w:b w:val="0"/>
                <w:i w:val="0"/>
                <w:sz w:val="19"/>
              </w:rPr>
              <w:t>: фиксируются до трёх согласившихся, проверенных Mock eGov родственников; списания нет</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Все назначенные родственники одобрили</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Исполнение, если AntiScam не требует проверки банка</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Все отклонили</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Отказ без списания</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Голоса различаются</w:t>
            </w:r>
          </w:p>
        </w:tc>
        <w:tc>
          <w:tcPr>
            <w:tcW w:type="dxa" w:w="6463"/>
            <w:vAlign w:val="center"/>
            <w:shd w:fill="FFFFFF"/>
            <w:tcMar>
              <w:top w:w="90" w:type="dxa"/>
              <w:left w:w="90" w:type="dxa"/>
              <w:bottom w:w="90" w:type="dxa"/>
              <w:right w:w="90" w:type="dxa"/>
            </w:tcMar>
          </w:tcPr>
          <w:p>
            <w:pPr>
              <w:spacing w:after="40" w:before="40" w:line="247" w:lineRule="auto"/>
            </w:pPr>
            <w:r>
              <w:rPr>
                <w:rFonts w:ascii="Liberation Mono" w:hAnsi="Liberation Mono"/>
                <w:b w:val="0"/>
                <w:i w:val="0"/>
                <w:sz w:val="18"/>
              </w:rPr>
              <w:t>bank_review</w:t>
            </w:r>
            <w:r>
              <w:rPr>
                <w:b w:val="0"/>
                <w:i w:val="0"/>
                <w:sz w:val="19"/>
              </w:rPr>
              <w:t>: окончательное решение сотрудника с основанием и аудитом</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Давление, секретность или указания незнакомца в AntiScam</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Банковская проверка; при включённой защите высокий риск сначала проходит семейное голосование</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Высокий риск при выключённой защите</w:t>
            </w:r>
          </w:p>
        </w:tc>
        <w:tc>
          <w:tcPr>
            <w:tcW w:type="dxa" w:w="6463"/>
            <w:vAlign w:val="center"/>
            <w:shd w:fill="FFFFFF"/>
            <w:tcMar>
              <w:top w:w="90" w:type="dxa"/>
              <w:left w:w="90" w:type="dxa"/>
              <w:bottom w:w="90" w:type="dxa"/>
              <w:right w:w="90" w:type="dxa"/>
            </w:tcMar>
          </w:tcPr>
          <w:p>
            <w:pPr>
              <w:spacing w:after="40" w:before="40" w:line="247" w:lineRule="auto"/>
            </w:pPr>
            <w:r>
              <w:rPr>
                <w:b w:val="0"/>
                <w:i w:val="0"/>
                <w:sz w:val="19"/>
              </w:rPr>
              <w:t>Предупреждение, причины и рекомендация Family Guard; HTTP 428 без явного подтверждения, после подтверждения допускается перевод с учётом AntiScam</w:t>
            </w:r>
          </w:p>
        </w:tc>
      </w:tr>
      <w:tr>
        <w:trPr>
          <w:cantSplit/>
        </w:trPr>
        <w:tc>
          <w:tcPr>
            <w:tcW w:type="dxa" w:w="3175"/>
            <w:vAlign w:val="center"/>
            <w:shd w:fill="FFFFFF"/>
            <w:tcMar>
              <w:top w:w="90" w:type="dxa"/>
              <w:left w:w="90" w:type="dxa"/>
              <w:bottom w:w="90" w:type="dxa"/>
              <w:right w:w="90" w:type="dxa"/>
            </w:tcMar>
          </w:tcPr>
          <w:p>
            <w:pPr>
              <w:spacing w:after="40" w:before="40" w:line="247" w:lineRule="auto"/>
            </w:pPr>
            <w:r>
              <w:rPr>
                <w:b w:val="0"/>
                <w:i w:val="0"/>
                <w:sz w:val="19"/>
              </w:rPr>
              <w:t>Защита включена, действующего согласия нет</w:t>
            </w:r>
          </w:p>
        </w:tc>
        <w:tc>
          <w:tcPr>
            <w:tcW w:type="dxa" w:w="6463"/>
            <w:vAlign w:val="center"/>
            <w:shd w:fill="FFFFFF"/>
            <w:tcMar>
              <w:top w:w="90" w:type="dxa"/>
              <w:left w:w="90" w:type="dxa"/>
              <w:bottom w:w="90" w:type="dxa"/>
              <w:right w:w="90" w:type="dxa"/>
            </w:tcMar>
          </w:tcPr>
          <w:p>
            <w:pPr>
              <w:spacing w:after="40" w:before="40" w:line="247" w:lineRule="auto"/>
            </w:pPr>
            <w:r>
              <w:rPr>
                <w:rFonts w:ascii="Liberation Mono" w:hAnsi="Liberation Mono"/>
                <w:b w:val="0"/>
                <w:i w:val="0"/>
                <w:sz w:val="18"/>
              </w:rPr>
              <w:t>blocked_no_trusted</w:t>
            </w:r>
            <w:r>
              <w:rPr>
                <w:b w:val="0"/>
                <w:i w:val="0"/>
                <w:sz w:val="19"/>
              </w:rPr>
              <w:t>, семейное согласование не обходится</w:t>
            </w:r>
          </w:p>
        </w:tc>
      </w:tr>
    </w:tbl>
    <w:p>
      <w:pPr>
        <w:spacing w:after="0" w:line="60" w:lineRule="exact"/>
      </w:pPr>
      <w:r>
        <w:rPr>
          <w:sz w:val="6"/>
        </w:rPr>
      </w:r>
    </w:p>
    <w:p>
      <w:r>
        <w:rPr>
          <w:b w:val="0"/>
          <w:i w:val="0"/>
        </w:rPr>
        <w:t>Ожидание продолжается до всех голосов. Неизвестный ответ AntiScam хранится отдельно от «Нет». Отправитель не может голосовать за собственный перевод с семейным согласованием; подтверждение предупреждения вне защиты является отдельным действием. Сумма, получатель и состав голосующих фиксируются: новые реквизиты требуют новой заявки. Перед исполнением повторно проверяются срок, семейные полномочия и наличие денег. Срок заявки — 24 часа; деньги в ожидании не резервируются. Отключение защиты и удаление родственника также требуют задержки 24 часа с возможностью отмены.</w:t>
      </w:r>
    </w:p>
    <w:p>
      <w:pPr>
        <w:pStyle w:val="Heading1"/>
        <w:pageBreakBefore/>
      </w:pPr>
      <w:r>
        <w:t>Мониторинг небольших поступлений</w:t>
      </w:r>
    </w:p>
    <w:p>
      <w:r>
        <w:rPr>
          <w:b w:val="0"/>
          <w:i w:val="0"/>
        </w:rPr>
        <w:t>Кабинет Family Guard показывает отдельный сигнал концентрации поступлений в банковской истории или собственном завершённом файловом анализе. Правило ищет сильнейшее историческое скользящее окно 60 минут: не менее 10 поступлений до 10 000 KZT каждое, минимум 8 новых отправителей, не менее 8 уникальных отправителей и доля новых от 80%. Новизна пары определяется по всей доступной более ранней истории, включая крупные переводы. Одновременные операции не становятся более ранней историей друг для друга.</w:t>
      </w:r>
    </w:p>
    <w:p>
      <w:r>
        <w:rPr>
          <w:b w:val="0"/>
          <w:i w:val="0"/>
        </w:rPr>
        <w:t>Считываются до 50 000 банковских дебетов с проверенной парной кредитовой проводкой либо до 100 000 строк результата анализа. В деталях до 200 операций; усечение раскрывается. Валюта должна быть явно KZT. Дубликаты не удваивают счёт, конфликтующие идентификаторы исключаются. Старые анализы без суммы и валюты требуют повторного запуска из исходного файла. Легитимные магазины и сборы могут давать сигнал; наблюдаемая новизна не означает реальное отсутствие знакомства.</w:t>
      </w:r>
    </w:p>
    <w:p>
      <w:r>
        <w:rPr>
          <w:b w:val="0"/>
          <w:i w:val="0"/>
        </w:rPr>
        <w:t xml:space="preserve">Этот раздел доступен только аналитику и не меняет банковский скоринг, переводы или семейные полномочия. Подробнее — </w:t>
      </w:r>
      <w:hyperlink r:id="rId9">
        <w:r>
          <w:rPr>
            <w:color w:val="215775"/>
            <w:u w:val="single"/>
          </w:rPr>
          <w:t>recipient-monitoring.md</w:t>
        </w:r>
      </w:hyperlink>
      <w:r>
        <w:rPr>
          <w:b w:val="0"/>
          <w:i w:val="0"/>
        </w:rPr>
        <w:t>, ADR-017.</w:t>
      </w:r>
    </w:p>
    <w:p>
      <w:pPr>
        <w:pStyle w:val="Heading1"/>
      </w:pPr>
      <w:r>
        <w:t>Реализация и границы</w:t>
      </w:r>
    </w:p>
    <w:p>
      <w:r>
        <w:rPr>
          <w:b w:val="0"/>
          <w:i w:val="0"/>
        </w:rPr>
        <w:t>Единый FastAPI backend, SQLAlchemy/SQLite, веб-клиент Family Bank и React/TypeScript кабинет Family Guard запускаются в одном Docker-образе с постоянным томом. Family Guard показывает банковские события без CSV, поддерживает загрузку, анализ, расследование и экспорт.</w:t>
      </w:r>
    </w:p>
    <w:p>
      <w:r>
        <w:rPr>
          <w:b w:val="0"/>
          <w:i w:val="0"/>
        </w:rPr>
        <w:t xml:space="preserve">Деньги хранятся целыми тиынами. Условное списание при достаточном балансе, зачисление, журнал и итоговое состояние выполняются атомарно. Обязательный </w:t>
      </w:r>
      <w:r>
        <w:rPr>
          <w:rFonts w:ascii="Liberation Mono" w:hAnsi="Liberation Mono"/>
          <w:b w:val="0"/>
          <w:i w:val="0"/>
          <w:sz w:val="18"/>
        </w:rPr>
        <w:t>Idempotency-Key</w:t>
      </w:r>
      <w:r>
        <w:rPr>
          <w:b w:val="0"/>
          <w:i w:val="0"/>
        </w:rPr>
        <w:t xml:space="preserve"> изолируется по пользователю и защищает от повторного исполнения.</w:t>
      </w:r>
    </w:p>
    <w:p>
      <w:r>
        <w:rPr>
          <w:b w:val="0"/>
          <w:i w:val="0"/>
        </w:rPr>
        <w:t>В коде предусмотрены адаптеры Isolation Forest и CatBoost; обученная и валидированная ML-модель в конкурсном демо не заявляется. eGov, люди, счета и деньги тестовые; реальные платёжные сети не подключены.</w:t>
      </w:r>
    </w:p>
    <w:p>
      <w:r>
        <w:rPr>
          <w:b w:val="0"/>
          <w:i w:val="0"/>
        </w:rPr>
        <w:t xml:space="preserve">Основания: </w:t>
      </w:r>
      <w:hyperlink r:id="rId10">
        <w:r>
          <w:rPr>
            <w:color w:val="215775"/>
            <w:u w:val="single"/>
          </w:rPr>
          <w:t>банковский детектор</w:t>
        </w:r>
      </w:hyperlink>
      <w:r>
        <w:rPr>
          <w:b w:val="0"/>
          <w:i w:val="0"/>
        </w:rPr>
        <w:t xml:space="preserve">, </w:t>
      </w:r>
      <w:hyperlink r:id="rId11">
        <w:r>
          <w:rPr>
            <w:color w:val="215775"/>
            <w:u w:val="single"/>
          </w:rPr>
          <w:t>правила и граф</w:t>
        </w:r>
      </w:hyperlink>
      <w:r>
        <w:rPr>
          <w:b w:val="0"/>
          <w:i w:val="0"/>
        </w:rPr>
        <w:t xml:space="preserve">, </w:t>
      </w:r>
      <w:hyperlink r:id="rId12">
        <w:r>
          <w:rPr>
            <w:color w:val="215775"/>
            <w:u w:val="single"/>
          </w:rPr>
          <w:t>согласование</w:t>
        </w:r>
      </w:hyperlink>
      <w:r>
        <w:rPr>
          <w:b w:val="0"/>
          <w:i w:val="0"/>
        </w:rPr>
        <w:t xml:space="preserve">, </w:t>
      </w:r>
      <w:hyperlink r:id="rId13">
        <w:r>
          <w:rPr>
            <w:color w:val="215775"/>
            <w:u w:val="single"/>
          </w:rPr>
          <w:t>архитектура</w:t>
        </w:r>
      </w:hyperlink>
      <w:r>
        <w:rPr>
          <w:b w:val="0"/>
          <w:i w:val="0"/>
        </w:rPr>
        <w:t xml:space="preserve">, </w:t>
      </w:r>
      <w:hyperlink r:id="rId14">
        <w:r>
          <w:rPr>
            <w:color w:val="215775"/>
            <w:u w:val="single"/>
          </w:rPr>
          <w:t>ADR</w:t>
        </w:r>
      </w:hyperlink>
      <w:r>
        <w:rPr>
          <w:b w:val="0"/>
          <w:i w:val="0"/>
        </w:rPr>
        <w:t>.</w:t>
      </w:r>
    </w:p>
    <w:sectPr w:rsidR="00FC693F" w:rsidRPr="0006063C" w:rsidSect="00034616">
      <w:footerReference w:type="default" r:id="rId15"/>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Family Guard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4n9/anti_fraud_combined/blob/release/contest-mvp/docs/recipient-monitoring.md" TargetMode="External"/><Relationship Id="rId10" Type="http://schemas.openxmlformats.org/officeDocument/2006/relationships/hyperlink" Target="https://github.com/z4n9/anti_fraud_combined/blob/release/contest-mvp/backend/app/services/fraud_detector.py" TargetMode="External"/><Relationship Id="rId11" Type="http://schemas.openxmlformats.org/officeDocument/2006/relationships/hyperlink" Target="https://github.com/z4n9/anti_fraud_combined/blob/release/contest-mvp/backend/app/services/transaction_rules.py" TargetMode="External"/><Relationship Id="rId12" Type="http://schemas.openxmlformats.org/officeDocument/2006/relationships/hyperlink" Target="https://github.com/z4n9/anti_fraud_combined/blob/release/contest-mvp/backend/app/services/transfer_approval_service.py" TargetMode="External"/><Relationship Id="rId13" Type="http://schemas.openxmlformats.org/officeDocument/2006/relationships/hyperlink" Target="https://github.com/z4n9/anti_fraud_combined/blob/release/contest-mvp/docs/architecture.md" TargetMode="External"/><Relationship Id="rId14" Type="http://schemas.openxmlformats.org/officeDocument/2006/relationships/hyperlink" Target="https://github.com/z4n9/anti_fraud_combined/blob/release/contest-mvp/docs/decisions.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Методика и модель Family Guard</dc:title>
  <dc:subject>Техническое приложение конкурсного MVP</dc:subject>
  <dc:creator>Команда проекта Family Guard</dc:creator>
  <cp:keywords/>
  <dc:description>generated by python-docx</dc:description>
  <cp:lastModifiedBy/>
  <cp:revision>1</cp:revision>
  <dcterms:created xsi:type="dcterms:W3CDTF">2013-12-23T23:15:00Z</dcterms:created>
  <dcterms:modified xsi:type="dcterms:W3CDTF">2013-12-23T23:15:00Z</dcterms:modified>
  <cp:category/>
</cp:coreProperties>
</file>