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Метрики и тестовый сценарий Family Guard</w:t>
      </w:r>
    </w:p>
    <w:p>
      <w:pPr>
        <w:pStyle w:val="Heading1"/>
      </w:pPr>
      <w:r>
        <w:t>Подтверждённые результаты</w:t>
      </w:r>
    </w:p>
    <w:p>
      <w:r>
        <w:rPr>
          <w:b w:val="0"/>
          <w:i w:val="0"/>
        </w:rPr>
        <w:t>Последний полный функциональный прогон после ребрендинга выполнен 15 октября 2026. Обновление документов не является новым прогоном. Число автотестов не характеризует точность обнаружения мошенничества или полноту покрытия кода.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4422"/>
        <w:gridCol w:w="2268"/>
      </w:tblGrid>
      <w:tr>
        <w:trPr>
          <w:cantSplit/>
          <w:tblHeader/>
        </w:trPr>
        <w:tc>
          <w:tcPr>
            <w:tcW w:type="dxa" w:w="2948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Проверка</w:t>
            </w:r>
          </w:p>
        </w:tc>
        <w:tc>
          <w:tcPr>
            <w:tcW w:type="dxa" w:w="4422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Результат</w:t>
            </w:r>
          </w:p>
        </w:tc>
        <w:tc>
          <w:tcPr>
            <w:tcW w:type="dxa" w:w="2268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Источник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Полная backend-регрессия</w:t>
            </w:r>
          </w:p>
        </w:tc>
        <w:tc>
          <w:tcPr>
            <w:tcW w:type="dxa" w:w="442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379 passed, 7 skipped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9">
              <w:r>
                <w:rPr>
                  <w:color w:val="215775"/>
                  <w:u w:val="single"/>
                  <w:sz w:val="19"/>
                </w:rPr>
                <w:t>testing.md</w:t>
              </w:r>
            </w:hyperlink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Frontend</w:t>
            </w:r>
          </w:p>
        </w:tc>
        <w:tc>
          <w:tcPr>
            <w:tcW w:type="dxa" w:w="442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70 passed</w:t>
            </w:r>
            <w:r>
              <w:rPr>
                <w:b w:val="0"/>
                <w:i w:val="0"/>
                <w:sz w:val="19"/>
              </w:rPr>
              <w:t>, lint и production build прошли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9">
              <w:r>
                <w:rPr>
                  <w:color w:val="215775"/>
                  <w:u w:val="single"/>
                  <w:sz w:val="19"/>
                </w:rPr>
                <w:t>testing.md</w:t>
              </w:r>
            </w:hyperlink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Реальная загрузка примера мониторинга</w:t>
            </w:r>
          </w:p>
        </w:tc>
        <w:tc>
          <w:tcPr>
            <w:tcW w:type="dxa" w:w="442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30 строк, один сигнал RISK_RECEIVER: 12 поступлений, 12 новых отправителей, 51 500 KZT; контрольный NORMAL_MERCHANT не отмечен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10">
              <w:r>
                <w:rPr>
                  <w:color w:val="215775"/>
                  <w:u w:val="single"/>
                  <w:sz w:val="19"/>
                </w:rPr>
                <w:t>recipient-monitoring.md</w:t>
              </w:r>
            </w:hyperlink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Браузерный показ мониторинга</w:t>
            </w:r>
          </w:p>
        </w:tc>
        <w:tc>
          <w:tcPr>
            <w:tcW w:type="dxa" w:w="442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Страница, карточка и переключение источника проверены на широком и мобильном экранах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11">
              <w:r>
                <w:rPr>
                  <w:color w:val="215775"/>
                  <w:u w:val="single"/>
                  <w:sz w:val="19"/>
                </w:rPr>
                <w:t>progress.md</w:t>
              </w:r>
            </w:hyperlink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Банковский HTTP-сценарий</w:t>
            </w:r>
          </w:p>
        </w:tc>
        <w:tc>
          <w:tcPr>
            <w:tcW w:type="dxa" w:w="442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Семейный конфликт, решение сотрудника, единственные проводки и аудит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12">
              <w:r>
                <w:rPr>
                  <w:color w:val="215775"/>
                  <w:u w:val="single"/>
                  <w:sz w:val="19"/>
                </w:rPr>
                <w:t>smoke_demo.py</w:t>
              </w:r>
            </w:hyperlink>
            <w:r>
              <w:rPr>
                <w:b w:val="0"/>
                <w:i w:val="0"/>
                <w:sz w:val="19"/>
              </w:rPr>
              <w:t xml:space="preserve">, </w:t>
            </w:r>
            <w:hyperlink r:id="rId9">
              <w:r>
                <w:rPr>
                  <w:color w:val="215775"/>
                  <w:u w:val="single"/>
                  <w:sz w:val="19"/>
                </w:rPr>
                <w:t>testing.md</w:t>
              </w:r>
            </w:hyperlink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Постоянное хранение и большой CSV</w:t>
            </w:r>
          </w:p>
        </w:tc>
        <w:tc>
          <w:tcPr>
            <w:tcW w:type="dxa" w:w="442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Пересоздание и восстановление сохраняют данные; CSV 366 397 921 байт принимается, но превышает лимит 1 000 000 строк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9">
              <w:r>
                <w:rPr>
                  <w:color w:val="215775"/>
                  <w:u w:val="single"/>
                  <w:sz w:val="19"/>
                </w:rPr>
                <w:t>testing.md</w:t>
              </w:r>
            </w:hyperlink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  <w:i w:val="0"/>
        </w:rPr>
        <w:t>Семь пропусков относятся к optional CatBoost и отдельному Compose-сценарию исходного проекта. Новый Docker-деплой проверен отдельно. Исторические результаты прежних дат в testing.md не складываются с актуальным полным прогоном.</w:t>
      </w:r>
    </w:p>
    <w:p>
      <w:pPr>
        <w:pStyle w:val="Heading1"/>
      </w:pPr>
      <w:r>
        <w:t>Дополнительные сценарии</w:t>
      </w:r>
    </w:p>
    <w:p>
      <w:r>
        <w:rPr>
          <w:b w:val="0"/>
          <w:i w:val="0"/>
        </w:rPr>
        <w:t>При выключённой защите перевод высокого риска без явного подтверждения предупреждения возвращает HTTP 428 без списания. После подтверждения исполняется с учётом отдельного AntiScam. При включённой защите сохраняются исходный кворум, запрет самосогласования и ожидание 24 часа перед ослаблением защиты.</w:t>
      </w:r>
    </w:p>
    <w:p>
      <w:r>
        <w:rPr>
          <w:b w:val="0"/>
          <w:i w:val="0"/>
        </w:rPr>
        <w:t xml:space="preserve">Синтетический </w:t>
      </w:r>
      <w:hyperlink r:id="rId13">
        <w:r>
          <w:rPr>
            <w:color w:val="215775"/>
            <w:u w:val="single"/>
          </w:rPr>
          <w:t>пример мониторинга</w:t>
        </w:r>
      </w:hyperlink>
      <w:r>
        <w:rPr>
          <w:b w:val="0"/>
          <w:i w:val="0"/>
        </w:rPr>
        <w:t xml:space="preserve"> проверяет концентрацию небольших поступлений, новый состав отправителей, отсутствие сигнала у контрольного получателя и неизменность банковских денег. Права клиента и чужого аналитика исключают доступ к чужим результатам. Это воспроизводимый функциональный тест, не оценочная выборка precision/recall.</w:t>
      </w:r>
    </w:p>
    <w:p>
      <w:pPr>
        <w:pStyle w:val="Heading1"/>
        <w:pageBreakBefore/>
      </w:pPr>
      <w:r>
        <w:t>Основной тестовый сценарий семейный конфликт и решение банка</w:t>
      </w:r>
    </w:p>
    <w:p>
      <w:r>
        <w:rPr>
          <w:b w:val="0"/>
          <w:i w:val="0"/>
        </w:rPr>
        <w:t>Предусловия: отдельная свежая демонстрационная база с достаточным балансом, независимые сессии TEST0006 (Амина), TEST0003 (Марат), TEST0007 (Сауле), TEST0002 (получатель), TEST0099 (сотрудник). AntiScam: все три ответа «Нет». Записываются начальные балансы и число операций.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5443"/>
      </w:tblGrid>
      <w:tr>
        <w:trPr>
          <w:cantSplit/>
          <w:tblHeader/>
        </w:trPr>
        <w:tc>
          <w:tcPr>
            <w:tcW w:type="dxa" w:w="4195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Шаг</w:t>
            </w:r>
          </w:p>
        </w:tc>
        <w:tc>
          <w:tcPr>
            <w:tcW w:type="dxa" w:w="5443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Амина приглашает двух родственников; каждый принимает</w:t>
            </w:r>
          </w:p>
        </w:tc>
        <w:tc>
          <w:tcPr>
            <w:tcW w:type="dxa" w:w="54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Две подтверждённые связи и личные согласия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 xml:space="preserve">Создаёт перевод 85% своего баланса на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+77010000043</w:t>
            </w:r>
            <w:r>
              <w:rPr>
                <w:b w:val="0"/>
                <w:i w:val="0"/>
                <w:sz w:val="19"/>
              </w:rPr>
              <w:t xml:space="preserve"> с новым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Idempotency-Key</w:t>
            </w:r>
          </w:p>
        </w:tc>
        <w:tc>
          <w:tcPr>
            <w:tcW w:type="dxa" w:w="54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 xml:space="preserve">Высокий риск,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pending_approval</w:t>
            </w:r>
            <w:r>
              <w:rPr>
                <w:b w:val="0"/>
                <w:i w:val="0"/>
                <w:sz w:val="19"/>
              </w:rPr>
              <w:t>, состав из двух голосующих зафиксирован; деньги и история неизменны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Сотрудник пытается одобрить до голосования</w:t>
            </w:r>
          </w:p>
        </w:tc>
        <w:tc>
          <w:tcPr>
            <w:tcW w:type="dxa" w:w="54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HTTP 409, исполнения нет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Марат одобряет</w:t>
            </w:r>
          </w:p>
        </w:tc>
        <w:tc>
          <w:tcPr>
            <w:tcW w:type="dxa" w:w="54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Ожидание второго голоса, списания нет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Сауле отклоняет</w:t>
            </w:r>
          </w:p>
        </w:tc>
        <w:tc>
          <w:tcPr>
            <w:tcW w:type="dxa" w:w="54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bank_review</w:t>
            </w:r>
            <w:r>
              <w:rPr>
                <w:b w:val="0"/>
                <w:i w:val="0"/>
                <w:sz w:val="19"/>
              </w:rPr>
              <w:t>, деньги и история неизменны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Сотрудник одобряет с основанием</w:t>
            </w:r>
          </w:p>
        </w:tc>
        <w:tc>
          <w:tcPr>
            <w:tcW w:type="dxa" w:w="54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Liberation Mono" w:hAnsi="Liberation Mono"/>
                <w:b w:val="0"/>
                <w:i w:val="0"/>
                <w:sz w:val="18"/>
              </w:rPr>
              <w:t>completed</w:t>
            </w:r>
            <w:r>
              <w:rPr>
                <w:b w:val="0"/>
                <w:i w:val="0"/>
                <w:sz w:val="19"/>
              </w:rPr>
              <w:t>, один дебет и один кредит точной суммы, одно решение в аудите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Повторяются одобрение и исходная команда с тем же ключом</w:t>
            </w:r>
          </w:p>
        </w:tc>
        <w:tc>
          <w:tcPr>
            <w:tcW w:type="dxa" w:w="544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Новых проводок нет; сумма балансов отправителя и получателя сохранена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  <w:i w:val="0"/>
        </w:rPr>
        <w:t xml:space="preserve">Автоматический сценарий также проверяет AntiScam с давлением, отказ без проводок, аналитический импорт семи операций и экспорт без изменения банковских денег. Отдельные </w:t>
      </w:r>
      <w:hyperlink r:id="rId14">
        <w:r>
          <w:rPr>
            <w:color w:val="215775"/>
            <w:u w:val="single"/>
          </w:rPr>
          <w:t>security-тесты</w:t>
        </w:r>
      </w:hyperlink>
      <w:r>
        <w:rPr>
          <w:b w:val="0"/>
          <w:i w:val="0"/>
        </w:rPr>
        <w:t xml:space="preserve"> и </w:t>
      </w:r>
      <w:hyperlink r:id="rId15">
        <w:r>
          <w:rPr>
            <w:color w:val="215775"/>
            <w:u w:val="single"/>
          </w:rPr>
          <w:t>тесты согласования</w:t>
        </w:r>
      </w:hyperlink>
      <w:r>
        <w:rPr>
          <w:b w:val="0"/>
          <w:i w:val="0"/>
        </w:rPr>
        <w:t xml:space="preserve"> проверяют запрет самоподтверждения, чужих решений и обходов полномочий.</w:t>
      </w:r>
    </w:p>
    <w:p>
      <w:r>
        <w:rPr>
          <w:b w:val="0"/>
          <w:i w:val="0"/>
        </w:rPr>
        <w:t xml:space="preserve">Для повторения на одноразовом демонстрационном экземпляре после запуска по </w:t>
      </w:r>
      <w:hyperlink r:id="rId16">
        <w:r>
          <w:rPr>
            <w:color w:val="215775"/>
            <w:u w:val="single"/>
          </w:rPr>
          <w:t>DEPLOYMENT.md</w:t>
        </w:r>
      </w:hyperlink>
      <w:r>
        <w:rPr>
          <w:b w:val="0"/>
          <w:i w:val="0"/>
        </w:rPr>
        <w:t>:</w:t>
      </w:r>
    </w:p>
    <w:p>
      <w:pPr>
        <w:spacing w:after="60"/>
      </w:pPr>
      <w:r>
        <w:rPr>
          <w:rFonts w:ascii="Liberation Mono" w:hAnsi="Liberation Mono"/>
          <w:sz w:val="16"/>
        </w:rPr>
        <w:t>python scripts/smoke_demo.py --base-url http://127.0.0.1:8000 --confirm-demo-writes</w:t>
      </w:r>
    </w:p>
    <w:p>
      <w:r>
        <w:rPr>
          <w:b w:val="0"/>
          <w:i w:val="0"/>
        </w:rPr>
        <w:t>Флаг явно разрешает изменение тестовых балансов. Регрессии из корня проекта:</w:t>
      </w:r>
    </w:p>
    <w:p>
      <w:pPr>
        <w:spacing w:after="60"/>
      </w:pPr>
      <w:r>
        <w:rPr>
          <w:rFonts w:ascii="Liberation Mono" w:hAnsi="Liberation Mono"/>
          <w:sz w:val="16"/>
        </w:rPr>
        <w:t>powershell -ExecutionPolicy Bypass -File .\test.ps1</w:t>
      </w:r>
    </w:p>
    <w:p>
      <w:pPr>
        <w:spacing w:after="60"/>
      </w:pPr>
      <w:r>
        <w:rPr>
          <w:rFonts w:ascii="Liberation Mono" w:hAnsi="Liberation Mono"/>
          <w:sz w:val="16"/>
        </w:rPr>
        <w:t>npm.cmd --prefix frontend/analyst test -- --run</w:t>
      </w:r>
    </w:p>
    <w:p>
      <w:pPr>
        <w:spacing w:after="60"/>
      </w:pPr>
      <w:r>
        <w:rPr>
          <w:rFonts w:ascii="Liberation Mono" w:hAnsi="Liberation Mono"/>
          <w:sz w:val="16"/>
        </w:rPr>
        <w:t>npm.cmd --prefix frontend/analyst run lint</w:t>
      </w:r>
    </w:p>
    <w:p>
      <w:pPr>
        <w:spacing w:after="60"/>
      </w:pPr>
      <w:r>
        <w:rPr>
          <w:rFonts w:ascii="Liberation Mono" w:hAnsi="Liberation Mono"/>
          <w:sz w:val="16"/>
        </w:rPr>
        <w:t>npm.cmd --prefix frontend/analyst run build</w:t>
      </w:r>
    </w:p>
    <w:p>
      <w:pPr>
        <w:pStyle w:val="Heading1"/>
      </w:pPr>
      <w:r>
        <w:t>Метрики качества антифрода</w:t>
      </w:r>
    </w:p>
    <w:p>
      <w:r>
        <w:rPr>
          <w:b w:val="0"/>
          <w:i w:val="0"/>
        </w:rPr>
        <w:t xml:space="preserve">Precision, recall, F1, PR-AUC, доля ложных тревог и задержка под нагрузкой </w:t>
      </w:r>
      <w:r>
        <w:rPr>
          <w:b/>
          <w:i w:val="0"/>
        </w:rPr>
        <w:t>пока не измерены в воспроизводимом отчёте конкурсной версии</w:t>
      </w:r>
      <w:r>
        <w:rPr>
          <w:b w:val="0"/>
          <w:i w:val="0"/>
        </w:rPr>
        <w:t>. Количество сигналов и процент пройденных тестов не заменяют эти показатели.</w:t>
      </w:r>
    </w:p>
    <w:p>
      <w:r>
        <w:rPr>
          <w:b w:val="0"/>
          <w:i w:val="0"/>
        </w:rPr>
        <w:t>Следующая оценка должна фиксировать версию данных и кода, временное разбиение, порог и матрицу TP/FP/TN/FN. Precision = TP/(TP+FP), recall = TP/(TP+FN), F1 — их гармоническое среднее; доля ложных тревог среди легитимных операций = FP/(FP+TN). Дополнительно измеряются PR-AUC, p50/p95 времени ответа, пропускная способность и ошибки при указанной нагрузке. Порог выбирается до итогового тестирования; ограничения синтетических timestamps и переноса на банк раскрываются отдельно.</w:t>
      </w:r>
    </w:p>
    <w:sectPr w:rsidR="00FC693F" w:rsidRPr="0006063C" w:rsidSect="00034616">
      <w:footerReference w:type="default" r:id="rId17"/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Family Guard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Liberation Sans" w:hAnsi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z4n9/anti_fraud_combined/blob/release/contest-mvp/docs/testing.md" TargetMode="External"/><Relationship Id="rId10" Type="http://schemas.openxmlformats.org/officeDocument/2006/relationships/hyperlink" Target="https://github.com/z4n9/anti_fraud_combined/blob/release/contest-mvp/docs/recipient-monitoring.md" TargetMode="External"/><Relationship Id="rId11" Type="http://schemas.openxmlformats.org/officeDocument/2006/relationships/hyperlink" Target="https://github.com/z4n9/anti_fraud_combined/blob/release/contest-mvp/docs/progress.md" TargetMode="External"/><Relationship Id="rId12" Type="http://schemas.openxmlformats.org/officeDocument/2006/relationships/hyperlink" Target="https://github.com/z4n9/anti_fraud_combined/blob/release/contest-mvp/scripts/smoke_demo.py" TargetMode="External"/><Relationship Id="rId13" Type="http://schemas.openxmlformats.org/officeDocument/2006/relationships/hyperlink" Target="https://github.com/z4n9/anti_fraud_combined/blob/release/contest-mvp/examples/recipient_monitoring_demo.csv" TargetMode="External"/><Relationship Id="rId14" Type="http://schemas.openxmlformats.org/officeDocument/2006/relationships/hyperlink" Target="https://github.com/z4n9/anti_fraud_combined/blob/release/contest-mvp/backend/tests/test_multi_family_security.py" TargetMode="External"/><Relationship Id="rId15" Type="http://schemas.openxmlformats.org/officeDocument/2006/relationships/hyperlink" Target="https://github.com/z4n9/anti_fraud_combined/blob/release/contest-mvp/backend/tests/test_transfer_approval_security.py" TargetMode="External"/><Relationship Id="rId16" Type="http://schemas.openxmlformats.org/officeDocument/2006/relationships/hyperlink" Target="https://github.com/z4n9/anti_fraud_combined/blob/release/contest-mvp/DEPLOYMENT.md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Метрики и тестовый сценарий Family Guard</dc:title>
  <dc:subject>Техническое приложение конкурсного MVP</dc:subject>
  <dc:creator>Команда проекта Family 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