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доработки и TRL Family Guard</w:t>
      </w:r>
    </w:p>
    <w:p>
      <w:r>
        <w:rPr>
          <w:b/>
          <w:i w:val="0"/>
        </w:rPr>
        <w:t>Предварительная самооценка команды — TRL 4:</w:t>
      </w:r>
      <w:r>
        <w:rPr>
          <w:b w:val="0"/>
          <w:i w:val="0"/>
        </w:rPr>
        <w:t xml:space="preserve"> интегрированные компоненты проверены в контролируемой локальной среде. Работают банк, добровольное семейное согласование, банковская проверка, файловая аналитика и мониторинг получателей; Docker-сценарий и восстановление данных подтверждены существующими отчётами.</w:t>
      </w:r>
    </w:p>
    <w:p>
      <w:r>
        <w:rPr>
          <w:b w:val="0"/>
          <w:i w:val="0"/>
        </w:rPr>
        <w:t xml:space="preserve">Оценка опирается на понятие проверки взаимодействующих компонентов из </w:t>
      </w:r>
      <w:hyperlink r:id="rId9">
        <w:r>
          <w:rPr>
            <w:color w:val="215775"/>
            <w:u w:val="single"/>
          </w:rPr>
          <w:t>шкалы NASA TRL</w:t>
        </w:r>
      </w:hyperlink>
      <w:r>
        <w:rPr>
          <w:b w:val="0"/>
          <w:i w:val="0"/>
        </w:rPr>
        <w:t xml:space="preserve"> (сверено 13 октября 2026 года). Следующие этапы ниже — адаптация команды к банковскому ПО. Это самооценка, а не сертификация; специальной шкалы в изученном </w:t>
      </w:r>
      <w:hyperlink r:id="rId10">
        <w:r>
          <w:rPr>
            <w:color w:val="215775"/>
            <w:u w:val="single"/>
          </w:rPr>
          <w:t>положении конкурса</w:t>
        </w:r>
      </w:hyperlink>
      <w:r>
        <w:rPr>
          <w:b w:val="0"/>
          <w:i w:val="0"/>
        </w:rPr>
        <w:t xml:space="preserve"> не найдено.</w:t>
      </w:r>
    </w:p>
    <w:p>
      <w:pPr>
        <w:pStyle w:val="Heading1"/>
      </w:pPr>
      <w:r>
        <w:t>Ограничения текущей версии</w:t>
      </w:r>
    </w:p>
    <w:p>
      <w:pPr>
        <w:pStyle w:val="ListBullet"/>
      </w:pPr>
      <w:r>
        <w:rPr>
          <w:b w:val="0"/>
          <w:i w:val="0"/>
        </w:rPr>
        <w:t>Данные, родство и деньги тестовые; eGov и платёжные сети не подключены.</w:t>
      </w:r>
    </w:p>
    <w:p>
      <w:pPr>
        <w:pStyle w:val="ListBullet"/>
      </w:pPr>
      <w:r>
        <w:rPr>
          <w:b w:val="0"/>
          <w:i w:val="0"/>
        </w:rPr>
        <w:t>Правила демонстрационные; эффективность на банковских данных и обученная ML-модель не подтверждены.</w:t>
      </w:r>
    </w:p>
    <w:p>
      <w:pPr>
        <w:pStyle w:val="ListBullet"/>
      </w:pPr>
      <w:r>
        <w:rPr>
          <w:b w:val="0"/>
          <w:i w:val="0"/>
        </w:rPr>
        <w:t>Средства в ожидании не резервируются; срок проверяется при запросе к API, фонового обработчика нет.</w:t>
      </w:r>
    </w:p>
    <w:p>
      <w:pPr>
        <w:pStyle w:val="ListBullet"/>
      </w:pPr>
      <w:r>
        <w:rPr>
          <w:b w:val="0"/>
          <w:i w:val="0"/>
        </w:rPr>
        <w:t>SQLite и аналитика работают в одном процессе; многопроцессное масштабирование не поддерживается.</w:t>
      </w:r>
    </w:p>
    <w:p>
      <w:pPr>
        <w:pStyle w:val="ListBullet"/>
      </w:pPr>
      <w:r>
        <w:rPr>
          <w:b w:val="0"/>
          <w:i w:val="0"/>
        </w:rPr>
        <w:t>Внешние уведомления, банковский пилот и нагрузочная оценка отсутствуют; локальные браузерные сценарии проверены, конкурсное выступление требует репетиции.</w:t>
      </w:r>
    </w:p>
    <w:p>
      <w:pPr>
        <w:pStyle w:val="Heading1"/>
      </w:pPr>
      <w:r>
        <w:t>Дорожная 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685"/>
      </w:tblGrid>
      <w:tr>
        <w:trPr>
          <w:cantSplit/>
          <w:tblHeader/>
        </w:trPr>
        <w:tc>
          <w:tcPr>
            <w:tcW w:type="dxa" w:w="2268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Цель</w:t>
            </w:r>
          </w:p>
        </w:tc>
        <w:tc>
          <w:tcPr>
            <w:tcW w:type="dxa" w:w="368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Доработки</w:t>
            </w:r>
          </w:p>
        </w:tc>
        <w:tc>
          <w:tcPr>
            <w:tcW w:type="dxa" w:w="368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Завершить конкурсный показ, без повышения TRL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Отрепетировать интерфейсы и сценарий; подготовить внешнее демо или видео; зафиксировать опубликованный commit и доступ жюри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Воспроизводимый показ и проверяемые ссылки без неподтверждённых заявлений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TRL 5</w:t>
            </w:r>
            <w:r>
              <w:rPr>
                <w:b w:val="0"/>
                <w:i w:val="0"/>
                <w:sz w:val="19"/>
              </w:rPr>
              <w:t>: испытания в среде, близкой к банковской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Согласовать с партнёром сценарии, обезличенные данные и требования; откалибровать правила; проверить пользователей, нагрузку и безопасность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Отчёт с фиксированной выборкой, precision/recall/F1/PR-AUC, ложными тревогами, задержками и ошибками; пороги приёмки согласованы до испытаний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TRL 6</w:t>
            </w:r>
            <w:r>
              <w:rPr>
                <w:b w:val="0"/>
                <w:i w:val="0"/>
                <w:sz w:val="19"/>
              </w:rPr>
              <w:t>: демонстрация полного прототипа на согласованном стенде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Разрешённые банковские sandbox API; внешние уведомления и фоновые сроки; отказоустойчивость и выбранная с партнёром стратегия хранения/масштабирования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Сквозной сценарий с внешними интеграциями; отказы и восстановление не обходят согласование и не создают двойных проводок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TRL 7</w:t>
            </w:r>
            <w:r>
              <w:rPr>
                <w:b w:val="0"/>
                <w:i w:val="0"/>
                <w:sz w:val="19"/>
              </w:rPr>
              <w:t>: ограниченный пилот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Пилот с банком, мониторинг, эксплуатационные процедуры, работа с инцидентами и обратной связью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Отчёт пилота с наблюдаемыми результатами и утверждёнными процедурами эксплуатации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  <w:i w:val="0"/>
        </w:rPr>
        <w:t>Подключение ML — отдельная проверяемая гипотеза после появления подходящих данных: обучить модель, сравнить с правилами на фиксированном тесте и принять только при подтверждённой пользе. Наличие адаптеров само по себе не повышает TRL.</w:t>
      </w:r>
    </w:p>
    <w:p>
      <w:r>
        <w:rPr>
          <w:b w:val="0"/>
          <w:i w:val="0"/>
        </w:rPr>
        <w:t>Для продвижения нужны банковский партнёр, согласованный доступ к данным и sandbox, backend/antifraud разработка и независимая проверка качества и безопасности. Сроки и бюджет определяются после согласования ресурсов. Промышленная готовность и снижение фактических потерь пока не заявляются.</w:t>
      </w:r>
    </w:p>
    <w:p>
      <w:r>
        <w:rPr>
          <w:b w:val="0"/>
          <w:i w:val="0"/>
        </w:rPr>
        <w:t xml:space="preserve">Граница текущего релиза: </w:t>
      </w:r>
      <w:hyperlink r:id="rId11">
        <w:r>
          <w:rPr>
            <w:color w:val="215775"/>
            <w:u w:val="single"/>
          </w:rPr>
          <w:t>mvp-release.md</w:t>
        </w:r>
      </w:hyperlink>
      <w:r>
        <w:rPr>
          <w:b w:val="0"/>
          <w:i w:val="0"/>
        </w:rPr>
        <w:t xml:space="preserve">. Подробности демонстрации: </w:t>
      </w:r>
      <w:hyperlink r:id="rId12">
        <w:r>
          <w:rPr>
            <w:color w:val="215775"/>
            <w:u w:val="single"/>
          </w:rPr>
          <w:t>contest-demo-script.md</w:t>
        </w:r>
      </w:hyperlink>
      <w:r>
        <w:rPr>
          <w:b w:val="0"/>
          <w:i w:val="0"/>
        </w:rPr>
        <w:t xml:space="preserve">; подготовка размещения: </w:t>
      </w:r>
      <w:hyperlink r:id="rId13">
        <w:r>
          <w:rPr>
            <w:color w:val="215775"/>
            <w:u w:val="single"/>
          </w:rPr>
          <w:t>contest-hosting-plan.md</w:t>
        </w:r>
      </w:hyperlink>
      <w:r>
        <w:rPr>
          <w:b w:val="0"/>
          <w:i w:val="0"/>
        </w:rPr>
        <w:t>.</w:t>
      </w:r>
    </w:p>
    <w:sectPr w:rsidR="00FC693F" w:rsidRPr="0006063C" w:rsidSect="00034616">
      <w:footerReference w:type="default" r:id="rId14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Family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sa.gov/directorates/somd/space-communications-navigation-program/technology-readiness-levels/" TargetMode="External"/><Relationship Id="rId10" Type="http://schemas.openxmlformats.org/officeDocument/2006/relationships/hyperlink" Target="https://github.com/z4n9/anti_fraud_combined/blob/release/contest-mvp/docs/contest-requirements.md" TargetMode="External"/><Relationship Id="rId11" Type="http://schemas.openxmlformats.org/officeDocument/2006/relationships/hyperlink" Target="https://github.com/z4n9/anti_fraud_combined/blob/release/contest-mvp/docs/mvp-release.md" TargetMode="External"/><Relationship Id="rId12" Type="http://schemas.openxmlformats.org/officeDocument/2006/relationships/hyperlink" Target="https://github.com/z4n9/anti_fraud_combined/blob/release/contest-mvp/docs/contest-demo-script.md" TargetMode="External"/><Relationship Id="rId13" Type="http://schemas.openxmlformats.org/officeDocument/2006/relationships/hyperlink" Target="https://github.com/z4n9/anti_fraud_combined/blob/release/contest-mvp/docs/contest-hosting-plan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доработки и TRL Family Guard</dc:title>
  <dc:subject>Техническое приложение конкурсного MVP</dc:subject>
  <dc:creator>Команда проекта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