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приложение AMAN Guard</w:t>
      </w:r>
    </w:p>
    <w:p>
      <w:pPr>
        <w:pStyle w:val="Subtitle"/>
      </w:pPr>
      <w:r>
        <w:t>Семейная защита банковских переводов</w:t>
      </w:r>
    </w:p>
    <w:p>
      <w:r>
        <w:t>Caspian University  |  Алматы 2026</w:t>
      </w:r>
    </w:p>
    <w:p>
      <w:r>
        <w:rPr>
          <w:sz w:val="20"/>
        </w:rPr>
        <w:t>Методика, исходники и данные, документированные проверки, тестовый сценарий и план технологической готовности конкурсного MVP. Приложение подготовлено из раздела 5 конкурсной заявки без изменения технического содержания.</w:t>
      </w:r>
    </w:p>
    <w:p>
      <w:pPr>
        <w:spacing w:after="240"/>
      </w:pPr>
      <w:r>
        <w:rPr>
          <w:sz w:val="18"/>
        </w:rPr>
        <w:t>Исходная проверка: 11 октября 2026 года. Перенос в Word: 12 октября 2026 года.</w:t>
      </w:r>
    </w:p>
    <w:p>
      <w:pPr>
        <w:pStyle w:val="Heading1"/>
      </w:pPr>
      <w:r>
        <w:t>Методика и модель</w:t>
      </w:r>
    </w:p>
    <w:p>
      <w:r>
        <w:t>MVP использует детерминированные правила и ограниченный граф связей транзакций. Движок учитывает признаки операции и доступной истории, формирует сигнал риска и объяснения. Исторические признаки используют операции, предшествующие оцениваемой; отдельно учитываются неполнота данных и ограничение графа. Сигнал правил не является калиброванной вероятностью мошенничества.</w:t>
      </w:r>
    </w:p>
    <w:p>
      <w:r>
        <w:t>При высоком риске фиксируется состав согласующих родственников (до трёх). Они принимают решение из собственных аккаунтов после личного согласия на участие. До окончательного разрешения деньги не списываются. Единогласное одобрение допускает исполнение с учётом AntiScam, единогласное отклонение прекращает перевод, конфликт направляется сотруднику банка. Ответы AntiScam о давлении, секретности и незнакомце могут дополнительно требовать банковской проверки. Перевод высокого риска без доверенного лица автоматически не исполняется.</w:t>
      </w:r>
    </w:p>
    <w:p>
      <w:r>
        <w:t>Деньги хранятся целыми тиынами; списание, зачисление и журнал выполняются атомарно. Повтор команды с тем же пользовательским ключом идемпотентности не создаёт повторное исполнение. Действия согласующих и сотрудника имеют серверную проверку прав и аудит.</w:t>
      </w:r>
    </w:p>
    <w:p>
      <w:r>
        <w:t>Стек: Python/FastAPI, SQLAlchemy/SQLite, React/TypeScript для аналитика, веб-интерфейс AMAN Bank, единый Docker-образ и постоянный том. В текущем демо работает режим правил; наличие архитектуры для ML не означает наличия обученной и валидированной модели. Реальные eGov и платёжные сети заменены тестовыми сценариями.</w:t>
      </w:r>
    </w:p>
    <w:p>
      <w:r>
        <w:br w:type="page"/>
      </w:r>
    </w:p>
    <w:p>
      <w:pPr>
        <w:pStyle w:val="Heading1"/>
      </w:pPr>
      <w:r>
        <w:t>Исходники и данные</w:t>
      </w:r>
    </w:p>
    <w:p>
      <w:pPr>
        <w:pStyle w:val="ListBullet"/>
      </w:pPr>
      <w:r>
        <w:t xml:space="preserve">Репозиторий из Git origin: </w:t>
      </w:r>
      <w:hyperlink r:id="rId9">
        <w:r>
          <w:rPr>
            <w:color w:val="1A5276"/>
            <w:u w:val="single"/>
          </w:rPr>
          <w:t>anti_fraud_combined</w:t>
        </w:r>
      </w:hyperlink>
      <w:r>
        <w:t>. Доступ по Git проверен 11 октября. Доступность без авторизации для жюри ещё нужно проверить.</w:t>
      </w:r>
    </w:p>
    <w:p>
      <w:pPr>
        <w:pStyle w:val="ListBullet"/>
      </w:pPr>
      <w:r>
        <w:t xml:space="preserve">История исправлений загрузки включает </w:t>
      </w:r>
      <w:r>
        <w:t>8c0c062</w:t>
      </w:r>
      <w:r>
        <w:t xml:space="preserve">; конкурсный базовый тег — </w:t>
      </w:r>
      <w:r>
        <w:t>v1.0.0-mvp</w:t>
      </w:r>
      <w:r>
        <w:t xml:space="preserve">. Подготовленная версия публикуется в </w:t>
      </w:r>
      <w:r>
        <w:t>main</w:t>
      </w:r>
      <w:r>
        <w:t xml:space="preserve"> и </w:t>
      </w:r>
      <w:r>
        <w:t>release/contest-mvp</w:t>
      </w:r>
      <w:r>
        <w:t xml:space="preserve"> обычным fast-forward push. Для заявки фиксируйте фактический commit HEAD опубликованной ветки; старый архив базового тега не содержит более поздних дополнений. Последняя проверка — </w:t>
      </w:r>
      <w:hyperlink r:id="rId10">
        <w:r>
          <w:rPr>
            <w:color w:val="1A5276"/>
            <w:u w:val="single"/>
          </w:rPr>
          <w:t>docs/presentation-check.md</w:t>
        </w:r>
      </w:hyperlink>
      <w:r>
        <w:t>.</w:t>
      </w:r>
    </w:p>
    <w:p>
      <w:pPr>
        <w:pStyle w:val="ListBullet"/>
      </w:pPr>
      <w:r>
        <w:t xml:space="preserve">Собственный минимальный пример: </w:t>
      </w:r>
      <w:hyperlink r:id="rId11">
        <w:r>
          <w:rPr>
            <w:color w:val="1A5276"/>
            <w:u w:val="single"/>
          </w:rPr>
          <w:t>examples/transactions_demo.csv</w:t>
        </w:r>
      </w:hyperlink>
      <w:r>
        <w:t>, семь синтетических операций для воспроизводимого демонстрационного сценария. Он подтверждает работоспособность обработки, а не статистическое качество детектора.</w:t>
      </w:r>
    </w:p>
    <w:p>
      <w:pPr>
        <w:pStyle w:val="ListBullet"/>
      </w:pPr>
      <w:r>
        <w:t xml:space="preserve">Локальный MoMTSim: </w:t>
      </w:r>
      <w:r>
        <w:t>MoMTSim_20240722202413_1000_dataset.csv</w:t>
      </w:r>
      <w:r>
        <w:t>, 366 397 921 байт, 4 225 958 строк. Полная загрузка после исправления Docker принимается, но анализ отклоняется лимитом 1 000 000 записей.</w:t>
      </w:r>
    </w:p>
    <w:p>
      <w:pPr>
        <w:pStyle w:val="ListBullet"/>
      </w:pPr>
      <w:r>
        <w:t xml:space="preserve">Дополнительная подготовленная выборка: </w:t>
      </w:r>
      <w:hyperlink r:id="rId12">
        <w:r>
          <w:rPr>
            <w:color w:val="1A5276"/>
            <w:u w:val="single"/>
          </w:rPr>
          <w:t>examples/MoMTSim_sample_prepared.csv</w:t>
        </w:r>
      </w:hyperlink>
      <w:r>
        <w:t xml:space="preserve">; локальный скрипт </w:t>
      </w:r>
      <w:hyperlink r:id="rId13">
        <w:r>
          <w:rPr>
            <w:color w:val="1A5276"/>
            <w:u w:val="single"/>
          </w:rPr>
          <w:t>scripts/prepare_momtsim_sample.py</w:t>
        </w:r>
      </w:hyperlink>
      <w:r>
        <w:t>. Выборка и скрипт включены в подготовку конкурсной ветки; прежний архив v1.0.0 не содержит этих дополнений. Исходник сохранён локально в игнорируемом data/source-datasets.</w:t>
      </w:r>
    </w:p>
    <w:p>
      <w:r>
        <w:t xml:space="preserve">Источник MoMTSim подтверждён: Denish Azamuke, </w:t>
      </w:r>
      <w:r>
        <w:rPr>
          <w:i/>
        </w:rPr>
        <w:t>Synthetic Mobile Money Transaction Dataset</w:t>
      </w:r>
      <w:r>
        <w:t xml:space="preserve">, Mendeley Data, версия 2, опубликована 29 октября 2024 года, DOI </w:t>
      </w:r>
      <w:r>
        <w:t>10.17632/zhj366m53p.2</w:t>
      </w:r>
      <w:r>
        <w:t xml:space="preserve">, </w:t>
      </w:r>
      <w:hyperlink r:id="rId14">
        <w:r>
          <w:rPr>
            <w:color w:val="1A5276"/>
            <w:u w:val="single"/>
          </w:rPr>
          <w:t>страница данных</w:t>
        </w:r>
      </w:hyperlink>
      <w:r>
        <w:t xml:space="preserve">. Лицензия источника — </w:t>
      </w:r>
      <w:hyperlink r:id="rId15">
        <w:r>
          <w:rPr>
            <w:color w:val="1A5276"/>
            <w:u w:val="single"/>
          </w:rPr>
          <w:t>CC BY 4.0</w:t>
        </w:r>
      </w:hyperlink>
      <w:r>
        <w:t xml:space="preserve">. Атрибуция и изменения описаны в </w:t>
      </w:r>
      <w:hyperlink r:id="rId16">
        <w:r>
          <w:rPr>
            <w:color w:val="1A5276"/>
            <w:u w:val="single"/>
          </w:rPr>
          <w:t>docs/dataset-attribution.md</w:t>
        </w:r>
      </w:hyperlink>
      <w:r>
        <w:t>.</w:t>
      </w:r>
    </w:p>
    <w:p>
      <w:r>
        <w:t>У подготовленной MoMTSim-выборки время синтетическое: скрипт трактует шаг как час, выбирает старт 22 июля 2024 года и распределяет операции внутри часа. Первоисточник этих временных предпосылок не подтверждён при подготовке заявки. Такие преобразования влияют на частотные признаки и граф, а выборка меняет состав данных. Её нельзя представлять как реальные банковские операции или независимое доказательство качества модели. Публикация производной выборки должна сохранять атрибуцию, ссылку на лицензию и описание изменений.</w:t>
      </w:r>
    </w:p>
    <w:p>
      <w:r>
        <w:br w:type="page"/>
      </w:r>
    </w:p>
    <w:p>
      <w:pPr>
        <w:pStyle w:val="Heading1"/>
      </w:pPr>
      <w:r>
        <w:t>Метрики и проверяемый тест-кейс</w:t>
      </w:r>
    </w:p>
    <w:p>
      <w:pPr>
        <w:spacing w:after="100" w:line="247" w:lineRule="auto"/>
      </w:pPr>
      <w:r>
        <w:rPr>
          <w:sz w:val="21"/>
        </w:rPr>
        <w:t>Документированные проверки относятся к конкретным версиям, а не к заново выполненному общему прогону 11 октября: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168"/>
        <w:gridCol w:w="4392"/>
      </w:tblGrid>
      <w:tr>
        <w:trPr>
          <w:cantSplit/>
          <w:tblHeader/>
        </w:trPr>
        <w:tc>
          <w:tcPr>
            <w:tcW w:type="dxa" w:w="237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3168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Подтверждённый результат</w:t>
            </w:r>
          </w:p>
        </w:tc>
        <w:tc>
          <w:tcPr>
            <w:tcW w:type="dxa" w:w="4392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Полная backend-регрессия конкурсного выпуска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330 passed, 7 skipped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Банковские и аналитические сценарии; причины пропусков в docs/testing.md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Frontend после исправления загрузок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63 passed, lint и Docker-сборка успешны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Поведение интерфейса, включая сохранение причины HTTP-ошибки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Отдельные проверки безопасности выпуска/загрузок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8 passed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 том числе закрытие временных файлов при отказе парсера и превышении размера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Docker HTTP-сценарий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Семейное голосование, конфликт, решение банка, один перевод и аудит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Сквозное взаимодействие компонентов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Пересоздание/восстановление контейнера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Сохранены деньги, согласия, аудит и анализ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Постоянное хранение и резервная копия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Приём CSV 366 397 921 байт</w:t>
            </w:r>
          </w:p>
        </w:tc>
        <w:tc>
          <w:tcPr>
            <w:tcW w:type="dxa" w:w="3168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HTTP 202, затем явный отказ из-за числа записей</w:t>
            </w:r>
          </w:p>
        </w:tc>
        <w:tc>
          <w:tcPr>
            <w:tcW w:type="dxa" w:w="4392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Исправлена проблема временного хранилища, сохранён лимит строк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spacing w:after="100" w:line="247" w:lineRule="auto"/>
      </w:pPr>
      <w:r>
        <w:rPr>
          <w:sz w:val="21"/>
        </w:rPr>
        <w:t xml:space="preserve">Источники результатов: </w:t>
      </w:r>
      <w:hyperlink r:id="rId17">
        <w:r>
          <w:rPr>
            <w:color w:val="1A5276"/>
            <w:u w:val="single"/>
          </w:rPr>
          <w:t>docs/testing.md</w:t>
        </w:r>
      </w:hyperlink>
      <w:r>
        <w:rPr>
          <w:sz w:val="21"/>
        </w:rPr>
        <w:t xml:space="preserve">, </w:t>
      </w:r>
      <w:hyperlink r:id="rId18">
        <w:r>
          <w:rPr>
            <w:color w:val="1A5276"/>
            <w:u w:val="single"/>
          </w:rPr>
          <w:t>scripts/smoke_demo.py</w:t>
        </w:r>
      </w:hyperlink>
      <w:r>
        <w:rPr>
          <w:sz w:val="21"/>
        </w:rPr>
        <w:t xml:space="preserve">, тесты в </w:t>
      </w:r>
      <w:r>
        <w:rPr>
          <w:sz w:val="21"/>
        </w:rPr>
        <w:t>backend/tests</w:t>
      </w:r>
      <w:r>
        <w:rPr>
          <w:sz w:val="21"/>
        </w:rPr>
        <w:t xml:space="preserve"> и </w:t>
      </w:r>
      <w:r>
        <w:rPr>
          <w:sz w:val="21"/>
        </w:rPr>
        <w:t>frontend/analyst/tests</w:t>
      </w:r>
      <w:r>
        <w:rPr>
          <w:sz w:val="21"/>
        </w:rPr>
        <w:t>. Ранее записанные результаты подготовленной выборки 100 000 строк без независимого оценочного отчёта не используются как показатели точности антифрода.</w:t>
      </w:r>
    </w:p>
    <w:p>
      <w:pPr>
        <w:spacing w:after="100" w:line="247" w:lineRule="auto"/>
      </w:pPr>
      <w:r>
        <w:rPr>
          <w:b/>
          <w:sz w:val="21"/>
        </w:rPr>
        <w:t>Основной тест-кейс:</w:t>
      </w:r>
      <w:r>
        <w:rPr>
          <w:sz w:val="21"/>
        </w:rPr>
        <w:t xml:space="preserve"> на чистой репетиционной базе Амина TEST0006 подключает Марата TEST0003 и Сауле TEST0007; оба принимают приглашения. Амина создаёт перевод высокого риска Айдане TEST0002. До решения балансы неизменны. Марат одобряет, Сауле отклоняет — заявка поступает сотруднику TEST0099. Сотрудник одобряет с основанием; выполняется ровно одно списание и зачисление. Повтор команды не создаёт повторных проводок. Проверяются история, состав голосующих и банковский аудит. Отправитель не может согласовать свой перевод. Подробные шаги — </w:t>
      </w:r>
      <w:hyperlink r:id="rId19">
        <w:r>
          <w:rPr>
            <w:color w:val="1A5276"/>
            <w:u w:val="single"/>
          </w:rPr>
          <w:t>USER_GUIDE.md</w:t>
        </w:r>
      </w:hyperlink>
      <w:r>
        <w:rPr>
          <w:sz w:val="21"/>
        </w:rPr>
        <w:t xml:space="preserve"> и </w:t>
      </w:r>
      <w:hyperlink r:id="rId20">
        <w:r>
          <w:rPr>
            <w:color w:val="1A5276"/>
            <w:u w:val="single"/>
          </w:rPr>
          <w:t>сценарий видео</w:t>
        </w:r>
      </w:hyperlink>
      <w:r>
        <w:rPr>
          <w:sz w:val="21"/>
        </w:rPr>
        <w:t>.</w:t>
      </w:r>
    </w:p>
    <w:p>
      <w:pPr>
        <w:spacing w:after="100" w:line="247" w:lineRule="auto"/>
      </w:pPr>
      <w:r>
        <w:rPr>
          <w:sz w:val="21"/>
        </w:rPr>
        <w:t xml:space="preserve">Precision, recall, F1, PR-AUC, доля ложных тревог и время ответа под нагрузкой пока </w:t>
      </w:r>
      <w:r>
        <w:rPr>
          <w:b/>
          <w:sz w:val="21"/>
        </w:rPr>
        <w:t>не заявляются</w:t>
      </w:r>
      <w:r>
        <w:rPr>
          <w:sz w:val="21"/>
        </w:rPr>
        <w:t>: воспроизводимого оценочного отчёта для конкурсной версии нет. Число подозрительных операций само по себе не является метрикой качества. Для последующей оценки нужны фиксированный датасет с лицензией, временное разбиение, порог и confusion matrix; для синтетических данных следует отдельно указать ограничения переноса результатов на банк.</w:t>
      </w:r>
    </w:p>
    <w:p>
      <w:r>
        <w:br w:type="page"/>
      </w:r>
    </w:p>
    <w:p>
      <w:pPr>
        <w:pStyle w:val="Heading1"/>
      </w:pPr>
      <w:r>
        <w:t>Технологическая готовность и план доработки</w:t>
      </w:r>
    </w:p>
    <w:p>
      <w:r>
        <w:rPr>
          <w:b/>
        </w:rPr>
        <w:t>Предварительная самооценка: TRL 4</w:t>
      </w:r>
      <w:r>
        <w:t xml:space="preserve"> — интегрированные компоненты проверены в контролируемой локальной среде. Это оценка команды, а не сертификация. Полная демонстрация банковского пилота отсутствует. Определения уровней сверены с </w:t>
      </w:r>
      <w:hyperlink r:id="rId21">
        <w:r>
          <w:rPr>
            <w:color w:val="1A5276"/>
            <w:u w:val="single"/>
          </w:rPr>
          <w:t>NASA Technology Readiness Levels</w:t>
        </w:r>
      </w:hyperlink>
      <w:r>
        <w:t>; если у конкурса собственная шкала, оценку нужно адаптировать к 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176"/>
        <w:gridCol w:w="3744"/>
      </w:tblGrid>
      <w:tr>
        <w:trPr>
          <w:cantSplit/>
          <w:tblHeader/>
        </w:trPr>
        <w:tc>
          <w:tcPr>
            <w:tcW w:type="dxa" w:w="201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Следующий этап</w:t>
            </w:r>
          </w:p>
        </w:tc>
        <w:tc>
          <w:tcPr>
            <w:tcW w:type="dxa" w:w="4176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Работа</w:t>
            </w:r>
          </w:p>
        </w:tc>
        <w:tc>
          <w:tcPr>
            <w:tcW w:type="dxa" w:w="3744"/>
            <w:vAlign w:val="center"/>
            <w:shd w:fill="DDE7EC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5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Согласовать с банком сценарии и обезличенные данные, валидировать правила, провести нагрузочную проверку и проверку пользователей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Отчёт с качеством, задержками, ошибками, ложными тревогами и ограничениями на представительном стенде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6</w:t>
            </w:r>
          </w:p>
        </w:tc>
        <w:tc>
          <w:tcPr>
            <w:tcW w:type="dxa" w:w="4176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Подключить разрешённые банковские sandbox API, механизм внешних уведомлений и фоновые сроки; испытать отказоустойчивость</w:t>
            </w:r>
          </w:p>
        </w:tc>
        <w:tc>
          <w:tcPr>
            <w:tcW w:type="dxa" w:w="3744"/>
            <w:vAlign w:val="center"/>
            <w:shd w:fill="F5F7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Воспроизводимый показ полного сценария в среде, согласованной с банком, без обходов согласования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Подготовка к TRL 7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Ограниченный пилот с банком, мониторинг и эксплуатационные процедуры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Отчёт пилота, наблюдаемые результаты и утверждённые действия при инцидентах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t>Эти этапы — план после конкурса, а не обязательное расширение текущего MVP. Сроки зависят от доступа к партнёру и данным; промышленные интеграции и эффективность предотвращения мошенничества пока не заявляются.</w:t>
      </w:r>
    </w:p>
    <w:sectPr w:rsidR="00FC693F" w:rsidRPr="0006063C" w:rsidSect="00034616">
      <w:footerReference w:type="default" r:id="rId2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AMAN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4n9/anti_fraud_combined" TargetMode="External"/><Relationship Id="rId10" Type="http://schemas.openxmlformats.org/officeDocument/2006/relationships/hyperlink" Target="https://github.com/z4n9/anti_fraud_combined/blob/release/contest-mvp/docs/presentation-check.md" TargetMode="External"/><Relationship Id="rId11" Type="http://schemas.openxmlformats.org/officeDocument/2006/relationships/hyperlink" Target="https://github.com/z4n9/anti_fraud_combined/blob/release/contest-mvp/examples/transactions_demo.csv" TargetMode="External"/><Relationship Id="rId12" Type="http://schemas.openxmlformats.org/officeDocument/2006/relationships/hyperlink" Target="https://github.com/z4n9/anti_fraud_combined/blob/release/contest-mvp/examples/MoMTSim_sample_prepared.csv" TargetMode="External"/><Relationship Id="rId13" Type="http://schemas.openxmlformats.org/officeDocument/2006/relationships/hyperlink" Target="https://github.com/z4n9/anti_fraud_combined/blob/release/contest-mvp/scripts/prepare_momtsim_sample.py" TargetMode="External"/><Relationship Id="rId14" Type="http://schemas.openxmlformats.org/officeDocument/2006/relationships/hyperlink" Target="https://data.mendeley.com/datasets/zhj366m53p/2" TargetMode="External"/><Relationship Id="rId15" Type="http://schemas.openxmlformats.org/officeDocument/2006/relationships/hyperlink" Target="https://creativecommons.org/licenses/by/4.0/" TargetMode="External"/><Relationship Id="rId16" Type="http://schemas.openxmlformats.org/officeDocument/2006/relationships/hyperlink" Target="https://github.com/z4n9/anti_fraud_combined/blob/release/contest-mvp/docs/dataset-attribution.md" TargetMode="External"/><Relationship Id="rId17" Type="http://schemas.openxmlformats.org/officeDocument/2006/relationships/hyperlink" Target="https://github.com/z4n9/anti_fraud_combined/blob/release/contest-mvp/docs/testing.md" TargetMode="External"/><Relationship Id="rId18" Type="http://schemas.openxmlformats.org/officeDocument/2006/relationships/hyperlink" Target="https://github.com/z4n9/anti_fraud_combined/blob/release/contest-mvp/scripts/smoke_demo.py" TargetMode="External"/><Relationship Id="rId19" Type="http://schemas.openxmlformats.org/officeDocument/2006/relationships/hyperlink" Target="https://github.com/z4n9/anti_fraud_combined/blob/release/contest-mvp/USER_GUIDE.md" TargetMode="External"/><Relationship Id="rId20" Type="http://schemas.openxmlformats.org/officeDocument/2006/relationships/hyperlink" Target="https://github.com/z4n9/anti_fraud_combined/blob/release/contest-mvp/docs/contest-demo-script.md" TargetMode="External"/><Relationship Id="rId21" Type="http://schemas.openxmlformats.org/officeDocument/2006/relationships/hyperlink" Target="https://www.nasa.gov/directorates/somd/space-communications-navigation-program/technology-readiness-levels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приложение AMAN Guard</dc:title>
  <dc:subject>Методика данные проверки и план TRL конкурсного MVP</dc:subject>
  <dc:creator>Команда проекта AMAN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