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3907" w14:textId="77777777" w:rsidR="000D4F86" w:rsidRPr="000D4F86" w:rsidRDefault="000D4F86" w:rsidP="000D4F86">
      <w:pPr>
        <w:suppressAutoHyphens w:val="0"/>
        <w:spacing w:before="100" w:before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 w:bidi="ar-SA"/>
        </w:rPr>
        <w:t>Упражнение 03 — Концепция Декомпозиции</w:t>
      </w:r>
    </w:p>
    <w:p w14:paraId="36C19B02" w14:textId="77777777" w:rsidR="000D4F86" w:rsidRPr="000D4F86" w:rsidRDefault="000D4F86" w:rsidP="00326102">
      <w:pPr>
        <w:suppressAutoHyphens w:val="0"/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1. Демографическая пирамида РФ (2025)</w:t>
      </w:r>
    </w:p>
    <w:p w14:paraId="3C6470EC" w14:textId="77777777" w:rsidR="000D4F86" w:rsidRPr="000D4F86" w:rsidRDefault="000D4F86" w:rsidP="00326102">
      <w:pPr>
        <w:suppressAutoHyphens w:val="0"/>
        <w:spacing w:before="100" w:beforeAutospacing="1" w:after="24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Демографическая пирамида Российской Федерации на 2025 год, представленная в файле, взята за основу для анализа.</w:t>
      </w:r>
    </w:p>
    <w:p w14:paraId="744CD55D" w14:textId="6F3D77EF" w:rsidR="000D4F86" w:rsidRPr="000D4F86" w:rsidRDefault="000D4F86" w:rsidP="00326102">
      <w:pPr>
        <w:suppressAutoHyphens w:val="0"/>
        <w:spacing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noProof/>
        </w:rPr>
        <w:drawing>
          <wp:inline distT="0" distB="0" distL="0" distR="0" wp14:anchorId="242EF82C" wp14:editId="6F0DA11B">
            <wp:extent cx="612013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102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pict w14:anchorId="32F15D75">
          <v:rect id="_x0000_i1025" style="width:0;height:1.5pt" o:hralign="center" o:hrstd="t" o:hrnoshade="t" o:hr="t" fillcolor="#1b1c1d" stroked="f"/>
        </w:pict>
      </w:r>
    </w:p>
    <w:p w14:paraId="42A24380" w14:textId="77777777" w:rsidR="000D4F86" w:rsidRPr="000D4F86" w:rsidRDefault="000D4F86" w:rsidP="00326102">
      <w:pPr>
        <w:suppressAutoHyphens w:val="0"/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2. Показатель разбиения</w:t>
      </w:r>
    </w:p>
    <w:p w14:paraId="660462EF" w14:textId="77777777" w:rsidR="000D4F86" w:rsidRPr="000D4F86" w:rsidRDefault="000D4F86" w:rsidP="00326102">
      <w:p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Показателем разбиения демографической пирамиды является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процентная доля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каждой возрастно-половой группы от общей численности населения страны на 2025 год.</w:t>
      </w:r>
    </w:p>
    <w:p w14:paraId="51545812" w14:textId="77777777" w:rsidR="000D4F86" w:rsidRPr="000D4F86" w:rsidRDefault="00326102" w:rsidP="00326102">
      <w:pPr>
        <w:suppressAutoHyphens w:val="0"/>
        <w:spacing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pict w14:anchorId="709B2618">
          <v:rect id="_x0000_i1026" style="width:0;height:1.5pt" o:hralign="center" o:hrstd="t" o:hrnoshade="t" o:hr="t" fillcolor="#1b1c1d" stroked="f"/>
        </w:pict>
      </w:r>
    </w:p>
    <w:p w14:paraId="2BC37DF0" w14:textId="77777777" w:rsidR="000D4F86" w:rsidRPr="000D4F86" w:rsidRDefault="000D4F86" w:rsidP="00326102">
      <w:pPr>
        <w:suppressAutoHyphens w:val="0"/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3. Цель составления демографической пирамиды</w:t>
      </w:r>
    </w:p>
    <w:p w14:paraId="05C31A09" w14:textId="77777777" w:rsidR="000D4F86" w:rsidRPr="000D4F86" w:rsidRDefault="000D4F86" w:rsidP="00326102">
      <w:p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Основная цель составления демографической пирамиды —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визуализировать и проанализировать возрастно-половую структуру населения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. Это позволяет:</w:t>
      </w:r>
    </w:p>
    <w:p w14:paraId="28CA8770" w14:textId="77777777" w:rsidR="000D4F86" w:rsidRPr="000D4F86" w:rsidRDefault="000D4F86" w:rsidP="00326102">
      <w:pPr>
        <w:numPr>
          <w:ilvl w:val="0"/>
          <w:numId w:val="3"/>
        </w:numPr>
        <w:suppressAutoHyphens w:val="0"/>
        <w:spacing w:before="100" w:beforeAutospacing="1"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Оценить текущую демографическую ситуацию (например, старение населения, преобладание определённых возрастных групп).</w:t>
      </w:r>
    </w:p>
    <w:p w14:paraId="7CBAA80E" w14:textId="77777777" w:rsidR="000D4F86" w:rsidRPr="000D4F86" w:rsidRDefault="000D4F86" w:rsidP="00326102">
      <w:pPr>
        <w:numPr>
          <w:ilvl w:val="0"/>
          <w:numId w:val="3"/>
        </w:numPr>
        <w:suppressAutoHyphens w:val="0"/>
        <w:spacing w:before="100" w:beforeAutospacing="1"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Прогнозировать будущие демографические тенденции.</w:t>
      </w:r>
    </w:p>
    <w:p w14:paraId="1FCE0F28" w14:textId="77777777" w:rsidR="000D4F86" w:rsidRPr="000D4F86" w:rsidRDefault="000D4F86" w:rsidP="00326102">
      <w:pPr>
        <w:numPr>
          <w:ilvl w:val="0"/>
          <w:numId w:val="3"/>
        </w:numPr>
        <w:suppressAutoHyphens w:val="0"/>
        <w:spacing w:before="100" w:beforeAutospacing="1"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Планировать социальную и экономическую политику (например, в сферах здравоохранения, образования, пенсионного обеспечения).</w:t>
      </w:r>
    </w:p>
    <w:p w14:paraId="3F2844ED" w14:textId="77777777" w:rsidR="000D4F86" w:rsidRPr="000D4F86" w:rsidRDefault="00326102" w:rsidP="00326102">
      <w:pPr>
        <w:suppressAutoHyphens w:val="0"/>
        <w:spacing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pict w14:anchorId="0B1169B2">
          <v:rect id="_x0000_i1027" style="width:0;height:1.5pt" o:hralign="center" o:hrstd="t" o:hrnoshade="t" o:hr="t" fillcolor="#1b1c1d" stroked="f"/>
        </w:pict>
      </w:r>
    </w:p>
    <w:p w14:paraId="06E9184F" w14:textId="77777777" w:rsidR="000D4F86" w:rsidRPr="000D4F86" w:rsidRDefault="000D4F86" w:rsidP="00326102">
      <w:pPr>
        <w:suppressAutoHyphens w:val="0"/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4. Вид декомпозиции</w:t>
      </w:r>
    </w:p>
    <w:p w14:paraId="37564ADE" w14:textId="77777777" w:rsidR="000D4F86" w:rsidRPr="000D4F86" w:rsidRDefault="000D4F86" w:rsidP="00326102">
      <w:p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Вид декомпозиции демографической пирамиды —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структурный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. Общая численность населения (целое) разбивается на составные части (возрастно-половые группы) для анализа его структуры.</w:t>
      </w:r>
    </w:p>
    <w:p w14:paraId="0482FB06" w14:textId="77777777" w:rsidR="000D4F86" w:rsidRPr="000D4F86" w:rsidRDefault="00326102" w:rsidP="00326102">
      <w:pPr>
        <w:suppressAutoHyphens w:val="0"/>
        <w:spacing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pict w14:anchorId="3610989F">
          <v:rect id="_x0000_i1028" style="width:0;height:1.5pt" o:hralign="center" o:hrstd="t" o:hrnoshade="t" o:hr="t" fillcolor="#1b1c1d" stroked="f"/>
        </w:pict>
      </w:r>
    </w:p>
    <w:p w14:paraId="2FE4B686" w14:textId="77777777" w:rsidR="000D4F86" w:rsidRPr="000D4F86" w:rsidRDefault="000D4F86" w:rsidP="00326102">
      <w:pPr>
        <w:suppressAutoHyphens w:val="0"/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lastRenderedPageBreak/>
        <w:t>5. Уровни и критерии декомпозиции</w:t>
      </w:r>
    </w:p>
    <w:p w14:paraId="743B05FF" w14:textId="77777777" w:rsidR="000D4F86" w:rsidRPr="000D4F86" w:rsidRDefault="000D4F86" w:rsidP="00326102">
      <w:pPr>
        <w:numPr>
          <w:ilvl w:val="0"/>
          <w:numId w:val="4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Количество уровней декомпозиции: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2.</w:t>
      </w:r>
    </w:p>
    <w:p w14:paraId="1762073E" w14:textId="77777777" w:rsidR="000D4F86" w:rsidRPr="000D4F86" w:rsidRDefault="000D4F86" w:rsidP="00326102">
      <w:pPr>
        <w:numPr>
          <w:ilvl w:val="0"/>
          <w:numId w:val="4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Уровни декомпозиции:</w:t>
      </w:r>
    </w:p>
    <w:p w14:paraId="26BC95E4" w14:textId="77777777" w:rsidR="000D4F86" w:rsidRPr="000D4F86" w:rsidRDefault="000D4F86" w:rsidP="00326102">
      <w:pPr>
        <w:numPr>
          <w:ilvl w:val="1"/>
          <w:numId w:val="4"/>
        </w:numPr>
        <w:suppressAutoHyphens w:val="0"/>
        <w:spacing w:before="100" w:beforeAutospacing="1"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Пол.</w:t>
      </w:r>
    </w:p>
    <w:p w14:paraId="2BCF006E" w14:textId="77777777" w:rsidR="000D4F86" w:rsidRPr="000D4F86" w:rsidRDefault="000D4F86" w:rsidP="00326102">
      <w:pPr>
        <w:numPr>
          <w:ilvl w:val="1"/>
          <w:numId w:val="4"/>
        </w:numPr>
        <w:suppressAutoHyphens w:val="0"/>
        <w:spacing w:before="100" w:beforeAutospacing="1"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Возраст.</w:t>
      </w:r>
    </w:p>
    <w:p w14:paraId="3F504311" w14:textId="77777777" w:rsidR="000D4F86" w:rsidRPr="000D4F86" w:rsidRDefault="000D4F86" w:rsidP="00326102">
      <w:pPr>
        <w:numPr>
          <w:ilvl w:val="0"/>
          <w:numId w:val="4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Критерии разбиения для каждого уровня:</w:t>
      </w:r>
    </w:p>
    <w:p w14:paraId="0529CB7B" w14:textId="77777777" w:rsidR="000D4F86" w:rsidRPr="000D4F86" w:rsidRDefault="000D4F86" w:rsidP="00326102">
      <w:pPr>
        <w:numPr>
          <w:ilvl w:val="1"/>
          <w:numId w:val="5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Для уровня «Пол»: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население делится на две группы по биологическому признаку —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мужчины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и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женщины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.</w:t>
      </w:r>
    </w:p>
    <w:p w14:paraId="2F6FDB2B" w14:textId="77777777" w:rsidR="000D4F86" w:rsidRPr="000D4F86" w:rsidRDefault="000D4F86" w:rsidP="00326102">
      <w:pPr>
        <w:numPr>
          <w:ilvl w:val="1"/>
          <w:numId w:val="5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Для уровня «Возраст»: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каждая половая группа далее разбивается на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возрастные когорты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(интервалы), как правило, с шагом в 5 лет (0-4 года, 5-9 лет, 10-14 лет и т.д.).</w:t>
      </w:r>
    </w:p>
    <w:p w14:paraId="7137BDE9" w14:textId="77777777" w:rsidR="000D4F86" w:rsidRPr="000D4F86" w:rsidRDefault="00326102" w:rsidP="00326102">
      <w:pPr>
        <w:suppressAutoHyphens w:val="0"/>
        <w:spacing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pict w14:anchorId="35BBE620">
          <v:rect id="_x0000_i1029" style="width:0;height:1.5pt" o:hralign="center" o:hrstd="t" o:hrnoshade="t" o:hr="t" fillcolor="#1b1c1d" stroked="f"/>
        </w:pict>
      </w:r>
    </w:p>
    <w:p w14:paraId="027D83D1" w14:textId="77777777" w:rsidR="000D4F86" w:rsidRPr="000D4F86" w:rsidRDefault="000D4F86" w:rsidP="00326102">
      <w:pPr>
        <w:suppressAutoHyphens w:val="0"/>
        <w:spacing w:before="100" w:before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6. Порядок построения демографической пирамиды</w:t>
      </w:r>
    </w:p>
    <w:p w14:paraId="24369942" w14:textId="77777777" w:rsidR="000D4F86" w:rsidRPr="000D4F86" w:rsidRDefault="000D4F86" w:rsidP="00326102">
      <w:pPr>
        <w:suppressAutoHyphens w:val="0"/>
        <w:spacing w:before="100" w:beforeAutospacing="1" w:after="120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Построение демографической пирамиды выполняется в следующем порядке:</w:t>
      </w:r>
    </w:p>
    <w:p w14:paraId="5DA23286" w14:textId="77777777" w:rsidR="000D4F86" w:rsidRPr="000D4F86" w:rsidRDefault="000D4F86" w:rsidP="00326102">
      <w:pPr>
        <w:numPr>
          <w:ilvl w:val="0"/>
          <w:numId w:val="6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Сбор данных</w:t>
      </w:r>
      <w:proofErr w:type="gramStart"/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Собираются</w:t>
      </w:r>
      <w:proofErr w:type="gramEnd"/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статистические данные о численности населения, распределённые по полу и по 5-летним возрастным группам.</w:t>
      </w:r>
    </w:p>
    <w:p w14:paraId="32791C57" w14:textId="77777777" w:rsidR="000D4F86" w:rsidRPr="000D4F86" w:rsidRDefault="000D4F86" w:rsidP="00326102">
      <w:pPr>
        <w:numPr>
          <w:ilvl w:val="0"/>
          <w:numId w:val="6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Создание осей</w:t>
      </w:r>
      <w:proofErr w:type="gramStart"/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Строится</w:t>
      </w:r>
      <w:proofErr w:type="gramEnd"/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система координат.</w:t>
      </w:r>
    </w:p>
    <w:p w14:paraId="6B411164" w14:textId="77777777" w:rsidR="000D4F86" w:rsidRPr="000D4F86" w:rsidRDefault="000D4F86" w:rsidP="00326102">
      <w:pPr>
        <w:numPr>
          <w:ilvl w:val="1"/>
          <w:numId w:val="6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Вертикальная ось (Y)</w:t>
      </w:r>
      <w:proofErr w:type="gramStart"/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На</w:t>
      </w:r>
      <w:proofErr w:type="gramEnd"/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ней откладываются возрастные группы, от самых молодых (0-4) внизу до самых старых (100+) наверху.</w:t>
      </w:r>
    </w:p>
    <w:p w14:paraId="3A4516B9" w14:textId="77777777" w:rsidR="000D4F86" w:rsidRPr="000D4F86" w:rsidRDefault="000D4F86" w:rsidP="00326102">
      <w:pPr>
        <w:numPr>
          <w:ilvl w:val="1"/>
          <w:numId w:val="6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Горизонтальная ось (X):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Она отображает долю (в процентах) или абсолютную численность населения. Нулевая отметка находится в центре.</w:t>
      </w:r>
    </w:p>
    <w:p w14:paraId="0785988B" w14:textId="77777777" w:rsidR="000D4F86" w:rsidRPr="000D4F86" w:rsidRDefault="000D4F86" w:rsidP="00326102">
      <w:pPr>
        <w:numPr>
          <w:ilvl w:val="0"/>
          <w:numId w:val="6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Разделение по полу: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График делится вертикальной осью на две части: левая сторона для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мужчин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, правая — для </w:t>
      </w: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женщин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>.</w:t>
      </w:r>
    </w:p>
    <w:p w14:paraId="2B39BE1A" w14:textId="77777777" w:rsidR="000D4F86" w:rsidRPr="000D4F86" w:rsidRDefault="000D4F86" w:rsidP="00326102">
      <w:pPr>
        <w:numPr>
          <w:ilvl w:val="0"/>
          <w:numId w:val="6"/>
        </w:numPr>
        <w:suppressAutoHyphens w:val="0"/>
        <w:spacing w:before="100" w:beforeAutospacing="1"/>
        <w:jc w:val="both"/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</w:pPr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Построение гистограммы</w:t>
      </w:r>
      <w:proofErr w:type="gramStart"/>
      <w:r w:rsidRPr="000D4F86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:lang w:eastAsia="ru-RU" w:bidi="ar-SA"/>
        </w:rPr>
        <w:t>:</w:t>
      </w:r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Для</w:t>
      </w:r>
      <w:proofErr w:type="gramEnd"/>
      <w:r w:rsidRPr="000D4F86">
        <w:rPr>
          <w:rFonts w:ascii="Times New Roman" w:eastAsia="Times New Roman" w:hAnsi="Times New Roman" w:cs="Times New Roman"/>
          <w:color w:val="1B1C1D"/>
          <w:kern w:val="0"/>
          <w:lang w:eastAsia="ru-RU" w:bidi="ar-SA"/>
        </w:rPr>
        <w:t xml:space="preserve"> каждой возрастной группы от центральной оси строятся горизонтальные столбцы (бары). Длина каждого столбца пропорциональна численности или процентной доле людей в данной возрастно-половой группе.</w:t>
      </w:r>
    </w:p>
    <w:p w14:paraId="309F0361" w14:textId="2F0C33A8" w:rsidR="004C2D31" w:rsidRDefault="004C2D31" w:rsidP="00326102">
      <w:pPr>
        <w:spacing w:beforeAutospacing="1" w:afterAutospacing="1"/>
        <w:ind w:left="720"/>
        <w:jc w:val="both"/>
        <w:rPr>
          <w:rFonts w:ascii="Century Gothic" w:hAnsi="Century Gothic"/>
          <w:color w:val="000000"/>
        </w:rPr>
      </w:pPr>
    </w:p>
    <w:sectPr w:rsidR="004C2D3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33E"/>
    <w:multiLevelType w:val="multilevel"/>
    <w:tmpl w:val="BE80C7F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D36696"/>
    <w:multiLevelType w:val="multilevel"/>
    <w:tmpl w:val="8ED8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E1255"/>
    <w:multiLevelType w:val="multilevel"/>
    <w:tmpl w:val="078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F1913"/>
    <w:multiLevelType w:val="multilevel"/>
    <w:tmpl w:val="4FC8F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184A8A"/>
    <w:multiLevelType w:val="multilevel"/>
    <w:tmpl w:val="9BC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D31"/>
    <w:rsid w:val="000D4F86"/>
    <w:rsid w:val="00326102"/>
    <w:rsid w:val="004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8537"/>
  <w15:docId w15:val="{312FB809-4F77-483A-95B1-8B9EC99E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4F86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0D4F86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0D4F86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0D4F86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b">
    <w:name w:val="Normal (Web)"/>
    <w:basedOn w:val="a"/>
    <w:uiPriority w:val="99"/>
    <w:semiHidden/>
    <w:unhideWhenUsed/>
    <w:rsid w:val="000D4F8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dcterms:created xsi:type="dcterms:W3CDTF">2025-03-25T20:05:00Z</dcterms:created>
  <dcterms:modified xsi:type="dcterms:W3CDTF">2025-09-07T08:17:00Z</dcterms:modified>
  <dc:language>ru-RU</dc:language>
</cp:coreProperties>
</file>