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Xb78dd20a9b90085d2d77b69ebd79a464a01a2f6"/>
    <w:p>
      <w:pPr>
        <w:pStyle w:val="Heading1"/>
      </w:pPr>
      <w:r>
        <w:t xml:space="preserve">Отчёт по решению. Задача 1: имитационное моделирование потоков в сортировочном центре</w:t>
      </w:r>
    </w:p>
    <w:p>
      <w:pPr>
        <w:pStyle w:val="FirstParagraph"/>
      </w:pPr>
      <w:r>
        <w:rPr>
          <w:b/>
          <w:bCs/>
        </w:rPr>
        <w:t xml:space="preserve">Команда:</w:t>
      </w:r>
      <w:r>
        <w:t xml:space="preserve"> </w:t>
      </w:r>
      <w:r>
        <w:t xml:space="preserve">Ящик Шрёдингера (yashchik_shryodingera_517)</w:t>
      </w:r>
      <w:r>
        <w:t xml:space="preserve"> </w:t>
      </w:r>
      <w:r>
        <w:rPr>
          <w:b/>
          <w:bCs/>
        </w:rPr>
        <w:t xml:space="preserve">Хакатон:</w:t>
      </w:r>
      <w:r>
        <w:t xml:space="preserve"> </w:t>
      </w:r>
      <w:r>
        <w:t xml:space="preserve">Ozon Tech · Робозон · Трек 1</w:t>
      </w:r>
      <w:r>
        <w:t xml:space="preserve"> </w:t>
      </w:r>
      <w:r>
        <w:rPr>
          <w:b/>
          <w:bCs/>
        </w:rPr>
        <w:t xml:space="preserve">Версия отчёта:</w:t>
      </w:r>
      <w:r>
        <w:t xml:space="preserve"> </w:t>
      </w:r>
      <w:r>
        <w:t xml:space="preserve">0.9 (черновик, обновляется до конца этапа)</w:t>
      </w:r>
    </w:p>
    <w:p>
      <w:r>
        <w:pict>
          <v:rect style="width:0;height:1.5pt" o:hralign="center" o:hrstd="t" o:hr="t"/>
        </w:pict>
      </w:r>
    </w:p>
    <w:bookmarkStart w:id="20" w:name="постановка-задачи-и-исходные-данные"/>
    <w:p>
      <w:pPr>
        <w:pStyle w:val="Heading2"/>
      </w:pPr>
      <w:r>
        <w:t xml:space="preserve">1. Постановка задачи и исходные данные</w:t>
      </w:r>
    </w:p>
    <w:p>
      <w:pPr>
        <w:pStyle w:val="FirstParagraph"/>
      </w:pPr>
      <w:r>
        <w:t xml:space="preserve">Требуется концепция сортировочного центра (СЦ) с максимально возможным уровнем</w:t>
      </w:r>
      <w:r>
        <w:t xml:space="preserve"> </w:t>
      </w:r>
      <w:r>
        <w:t xml:space="preserve">автоматизации и его имитационная модель — цифровое представление процессов,</w:t>
      </w:r>
      <w:r>
        <w:t xml:space="preserve"> </w:t>
      </w:r>
      <w:r>
        <w:t xml:space="preserve">позволяющее проверить работоспособность схемы, найти узкие места и обосновать</w:t>
      </w:r>
      <w:r>
        <w:t xml:space="preserve"> </w:t>
      </w:r>
      <w:r>
        <w:t xml:space="preserve">потребность в площади, людях и оборудовании.</w:t>
      </w:r>
    </w:p>
    <w:p>
      <w:pPr>
        <w:pStyle w:val="BodyText"/>
      </w:pPr>
      <w:r>
        <w:t xml:space="preserve">Исходные данные (все — из официальной постановки):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Входящий поток</w:t>
            </w:r>
          </w:p>
        </w:tc>
        <w:tc>
          <w:tcPr/>
          <w:p>
            <w:pPr>
              <w:pStyle w:val="Compact"/>
            </w:pPr>
            <w:r>
              <w:t xml:space="preserve">100 000 товаров/час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Тара</w:t>
            </w:r>
          </w:p>
        </w:tc>
        <w:tc>
          <w:tcPr/>
          <w:p>
            <w:pPr>
              <w:pStyle w:val="Compact"/>
            </w:pPr>
            <w:r>
              <w:t xml:space="preserve">КТЯ (картонный тарный ящик) 600×400×400 мм, в среднем 27 товаров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Поток КТЯ / палет</w:t>
            </w:r>
          </w:p>
        </w:tc>
        <w:tc>
          <w:tcPr/>
          <w:p>
            <w:pPr>
              <w:pStyle w:val="Compact"/>
            </w:pPr>
            <w:r>
              <w:t xml:space="preserve">≈3 700 КТЯ/час; палета 800×1200 по 20 КТЯ → 185 палет/час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Направления сортировки</w:t>
            </w:r>
          </w:p>
        </w:tc>
        <w:tc>
          <w:tcPr/>
          <w:p>
            <w:pPr>
              <w:pStyle w:val="Compact"/>
            </w:pPr>
            <w:r>
              <w:t xml:space="preserve">400; на 20 % направлений — до 80 % объёма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Ограничение товара</w:t>
            </w:r>
          </w:p>
        </w:tc>
        <w:tc>
          <w:tcPr/>
          <w:p>
            <w:pPr>
              <w:pStyle w:val="Compact"/>
            </w:pPr>
            <w:r>
              <w:t xml:space="preserve">сторона упаковки ≤ 320 мм, иначе nonsort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Автосортировщик</w:t>
            </w:r>
          </w:p>
        </w:tc>
        <w:tc>
          <w:tcPr/>
          <w:p>
            <w:pPr>
              <w:pStyle w:val="Compact"/>
            </w:pPr>
            <w:r>
              <w:t xml:space="preserve">10 000 товаров/час; при ручной загрузке ≥ 1 000 тов/ч на оператора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Ручная сортировка</w:t>
            </w:r>
          </w:p>
        </w:tc>
        <w:tc>
          <w:tcPr/>
          <w:p>
            <w:pPr>
              <w:pStyle w:val="Compact"/>
            </w:pPr>
            <w:r>
              <w:t xml:space="preserve">250 товаров/час/чел по 20 направлениям (800 чел на 400 направлений)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Контур тары</w:t>
            </w:r>
          </w:p>
        </w:tc>
        <w:tc>
          <w:tcPr/>
          <w:p>
            <w:pPr>
              <w:pStyle w:val="Compact"/>
            </w:pPr>
            <w:r>
              <w:t xml:space="preserve">80 % КТЯ — повторное использование, 20 % — брак, возмещается новыми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Отгрузка</w:t>
            </w:r>
          </w:p>
        </w:tc>
        <w:tc>
          <w:tcPr/>
          <w:p>
            <w:pPr>
              <w:pStyle w:val="Compact"/>
            </w:pPr>
            <w:r>
              <w:t xml:space="preserve">24 ворот; машина = 16 палет КТЯ + 16 роллкейджей nonsort; погрузка 2 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Исходящий поток</w:t>
            </w:r>
          </w:p>
        </w:tc>
        <w:tc>
          <w:tcPr/>
          <w:p>
            <w:pPr>
              <w:pStyle w:val="Compact"/>
            </w:pPr>
            <w:r>
              <w:t xml:space="preserve">= входящему: 100 000 тов/час в КТЯ, одна коробка — одно направление</w:t>
            </w:r>
          </w:p>
        </w:tc>
      </w:tr>
    </w:tbl>
    <w:p>
      <w:pPr>
        <w:pStyle w:val="BodyText"/>
      </w:pPr>
      <w:r>
        <w:t xml:space="preserve">Доля nonsort-потока в постановке не задана — принята параметром модели</w:t>
      </w:r>
      <w:r>
        <w:t xml:space="preserve"> </w:t>
      </w:r>
      <w:r>
        <w:t xml:space="preserve">(базовое значение 5 %, изменяется без правки кода).</w:t>
      </w:r>
    </w:p>
    <w:bookmarkEnd w:id="20"/>
    <w:bookmarkStart w:id="21" w:name="выбранный-подход"/>
    <w:p>
      <w:pPr>
        <w:pStyle w:val="Heading2"/>
      </w:pPr>
      <w:r>
        <w:t xml:space="preserve">2. Выбранный подход</w:t>
      </w:r>
    </w:p>
    <w:p>
      <w:pPr>
        <w:pStyle w:val="FirstParagraph"/>
      </w:pPr>
      <w:r>
        <w:t xml:space="preserve">Работа построена в два слоя, как того требует постановка: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Аналитическая модель</w:t>
      </w:r>
      <w:r>
        <w:t xml:space="preserve"> </w:t>
      </w:r>
      <w:r>
        <w:t xml:space="preserve">(раздел 3) — балансовые расчёты потоков и мощностей</w:t>
      </w:r>
      <w:r>
        <w:t xml:space="preserve"> </w:t>
      </w:r>
      <w:r>
        <w:t xml:space="preserve">на средних значениях. Она определила состав оборудования и предсказала</w:t>
      </w:r>
      <w:r>
        <w:t xml:space="preserve"> </w:t>
      </w:r>
      <w:r>
        <w:t xml:space="preserve">узкие места.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Имитационная модель</w:t>
      </w:r>
      <w:r>
        <w:t xml:space="preserve"> </w:t>
      </w:r>
      <w:r>
        <w:t xml:space="preserve">(разделы 5–6) — полноценная дискретно-событийная</w:t>
      </w:r>
      <w:r>
        <w:t xml:space="preserve"> </w:t>
      </w:r>
      <w:r>
        <w:t xml:space="preserve">симуляция (события — прибытия, обработки, освобождения ресурсов —</w:t>
      </w:r>
      <w:r>
        <w:t xml:space="preserve"> </w:t>
      </w:r>
      <w:r>
        <w:t xml:space="preserve">разыгрываются во времени) на SimPy. Она проверила предсказания аналитики</w:t>
      </w:r>
      <w:r>
        <w:t xml:space="preserve"> </w:t>
      </w:r>
      <w:r>
        <w:t xml:space="preserve">в динамике: очереди, переходные процессы, каскадные эффекты, сценарии.</w:t>
      </w:r>
    </w:p>
    <w:p>
      <w:pPr>
        <w:pStyle w:val="FirstParagraph"/>
      </w:pPr>
      <w:r>
        <w:t xml:space="preserve">Такой порядок делает каждую цифру проверяемой: сначала формула, потом</w:t>
      </w:r>
      <w:r>
        <w:t xml:space="preserve"> </w:t>
      </w:r>
      <w:r>
        <w:t xml:space="preserve">подтверждение симуляцией.</w:t>
      </w:r>
    </w:p>
    <w:bookmarkEnd w:id="21"/>
    <w:bookmarkStart w:id="22" w:name="аналитическая-модель-ключевые-результаты"/>
    <w:p>
      <w:pPr>
        <w:pStyle w:val="Heading2"/>
      </w:pPr>
      <w:r>
        <w:t xml:space="preserve">3. Аналитическая модель (ключевые результаты)</w:t>
      </w:r>
    </w:p>
    <w:p>
      <w:pPr>
        <w:pStyle w:val="FirstParagraph"/>
      </w:pPr>
      <w:r>
        <w:t xml:space="preserve">Полный текст —</w:t>
      </w:r>
      <w:r>
        <w:t xml:space="preserve"> </w:t>
      </w:r>
      <w:r>
        <w:rPr>
          <w:rStyle w:val="VerbatimChar"/>
        </w:rPr>
        <w:t xml:space="preserve">docs/analytical_model.md</w:t>
      </w:r>
      <w:r>
        <w:t xml:space="preserve">. Главное:</w:t>
      </w:r>
    </w:p>
    <w:p>
      <w:pPr>
        <w:pStyle w:val="BodyText"/>
      </w:pPr>
      <w:r>
        <w:rPr>
          <w:b/>
          <w:bCs/>
        </w:rPr>
        <w:t xml:space="preserve">3.1. Сквозные потоки согласованы.</w:t>
      </w:r>
      <w:r>
        <w:t xml:space="preserve"> </w:t>
      </w:r>
      <w:r>
        <w:t xml:space="preserve">100 000 ÷ 27 = 3 703,7 КТЯ/ч;</w:t>
      </w:r>
      <w:r>
        <w:t xml:space="preserve"> </w:t>
      </w:r>
      <w:r>
        <w:t xml:space="preserve">÷ 20 = 185,2 палет/ч — сходится с 185 палет/ч из постановки.</w:t>
      </w:r>
    </w:p>
    <w:p>
      <w:pPr>
        <w:pStyle w:val="BodyText"/>
      </w:pPr>
      <w:r>
        <w:rPr>
          <w:b/>
          <w:bCs/>
        </w:rPr>
        <w:t xml:space="preserve">3.2. Ворота отгрузки — узкое место «по построению».</w:t>
      </w:r>
      <w:r>
        <w:t xml:space="preserve"> </w:t>
      </w:r>
      <w:r>
        <w:t xml:space="preserve">Потребность</w:t>
      </w:r>
      <w:r>
        <w:t xml:space="preserve"> </w:t>
      </w:r>
      <w:r>
        <w:t xml:space="preserve">185 ÷ 16 = 11,57 машин/ч при мощности 24 ÷ 2 ч = 12,00 машин/ч.</w:t>
      </w:r>
      <w:r>
        <w:t xml:space="preserve"> </w:t>
      </w:r>
      <w:r>
        <w:t xml:space="preserve">Утилизация 96,4 % — резерва почти нет; буфер отгрузки обязателен,</w:t>
      </w:r>
      <w:r>
        <w:t xml:space="preserve"> </w:t>
      </w:r>
      <w:r>
        <w:t xml:space="preserve">сбой на воротах каскадно останавливает потоки выше.</w:t>
      </w:r>
    </w:p>
    <w:p>
      <w:pPr>
        <w:pStyle w:val="BodyText"/>
      </w:pPr>
      <w:r>
        <w:rPr>
          <w:b/>
          <w:bCs/>
        </w:rPr>
        <w:t xml:space="preserve">3.3. Сортеров нужно 11, а не 10.</w:t>
      </w:r>
      <w:r>
        <w:t xml:space="preserve"> </w:t>
      </w:r>
      <w:r>
        <w:t xml:space="preserve">100 000 ÷ 10 000 = 10 единиц — это</w:t>
      </w:r>
      <w:r>
        <w:t xml:space="preserve"> </w:t>
      </w:r>
      <w:r>
        <w:t xml:space="preserve">загрузка ровно 100 % без права на пики и ретраи. Базовая схема: 11 единиц,</w:t>
      </w:r>
      <w:r>
        <w:t xml:space="preserve"> </w:t>
      </w:r>
      <w:r>
        <w:t xml:space="preserve">расчётная загрузка ~91 %.</w:t>
      </w:r>
    </w:p>
    <w:p>
      <w:pPr>
        <w:pStyle w:val="BodyText"/>
      </w:pPr>
      <w:r>
        <w:rPr>
          <w:b/>
          <w:bCs/>
        </w:rPr>
        <w:t xml:space="preserve">3.4. Тяжёлые направления требуют дробления (мульти-скат).</w:t>
      </w:r>
      <w:r>
        <w:t xml:space="preserve"> </w:t>
      </w:r>
      <w:r>
        <w:t xml:space="preserve">При весах</w:t>
      </w:r>
      <w:r>
        <w:t xml:space="preserve"> </w:t>
      </w:r>
      <w:r>
        <w:t xml:space="preserve">Ципфа (степенное распределение: вес направления убывает по закону 1/номер^s;</w:t>
      </w:r>
      <w:r>
        <w:t xml:space="preserve"> </w:t>
      </w:r>
      <w:r>
        <w:t xml:space="preserve">показатель s подобран численно под правило «20 % направлений = 80 % объёма»)</w:t>
      </w:r>
      <w:r>
        <w:t xml:space="preserve"> </w:t>
      </w:r>
      <w:r>
        <w:t xml:space="preserve">топ-направление несёт ≈18 575 тов/ч — больше мощности целого сортера.</w:t>
      </w:r>
      <w:r>
        <w:t xml:space="preserve"> </w:t>
      </w:r>
      <w:r>
        <w:t xml:space="preserve">Жёсткая привязка «направление → один сортер» физически нереализуема.</w:t>
      </w:r>
      <w:r>
        <w:t xml:space="preserve"> </w:t>
      </w:r>
      <w:r>
        <w:t xml:space="preserve">Решение: выходные скаты тяжёлого направления размещаются на нескольких</w:t>
      </w:r>
      <w:r>
        <w:t xml:space="preserve"> </w:t>
      </w:r>
      <w:r>
        <w:t xml:space="preserve">сортерах; балансировка кусками ≤ 1/N потока (эвристика LPT — «самый тяжёлый</w:t>
      </w:r>
      <w:r>
        <w:t xml:space="preserve"> </w:t>
      </w:r>
      <w:r>
        <w:t xml:space="preserve">кусок в наименее загруженный сортер») даёт разброс загрузки сортеров 0,09 %.</w:t>
      </w:r>
    </w:p>
    <w:p>
      <w:pPr>
        <w:pStyle w:val="BodyText"/>
      </w:pPr>
      <w:r>
        <w:rPr>
          <w:b/>
          <w:bCs/>
        </w:rPr>
        <w:t xml:space="preserve">3.5. Мощности участков</w:t>
      </w:r>
      <w:r>
        <w:t xml:space="preserve"> </w:t>
      </w:r>
      <w:r>
        <w:t xml:space="preserve">(расчёт → принято → загрузка):</w:t>
      </w:r>
      <w:r>
        <w:t xml:space="preserve"> </w:t>
      </w:r>
      <w:r>
        <w:t xml:space="preserve">депаллетизация 7 роботов (88 %), вскрытие КТЯ 16 станций (96 %),</w:t>
      </w:r>
      <w:r>
        <w:t xml:space="preserve"> </w:t>
      </w:r>
      <w:r>
        <w:t xml:space="preserve">инфид 14 автостанций (89 %), сортеры 11 (91 %), заклейка 12 (86 %),</w:t>
      </w:r>
      <w:r>
        <w:t xml:space="preserve"> </w:t>
      </w:r>
      <w:r>
        <w:t xml:space="preserve">палетизация 9 роботов (91 %), ворота 24 (96 %), ручной разбор nonsort</w:t>
      </w:r>
      <w:r>
        <w:t xml:space="preserve"> </w:t>
      </w:r>
      <w:r>
        <w:t xml:space="preserve">22 места (91 % при доле 5 %).</w:t>
      </w:r>
    </w:p>
    <w:p>
      <w:pPr>
        <w:pStyle w:val="BodyText"/>
      </w:pPr>
      <w:r>
        <w:rPr>
          <w:b/>
          <w:bCs/>
        </w:rPr>
        <w:t xml:space="preserve">3.6. Люди.</w:t>
      </w:r>
      <w:r>
        <w:t xml:space="preserve"> </w:t>
      </w:r>
      <w:r>
        <w:t xml:space="preserve">Ручная схема из постановки — 800 чел/смена. Автоматическая</w:t>
      </w:r>
      <w:r>
        <w:t xml:space="preserve"> </w:t>
      </w:r>
      <w:r>
        <w:t xml:space="preserve">загрузка сортеров снимает ограничение 1 000 тов/ч на оператора; людей на</w:t>
      </w:r>
      <w:r>
        <w:t xml:space="preserve"> </w:t>
      </w:r>
      <w:r>
        <w:t xml:space="preserve">основных операциях не остаётся. Штат смены — порядка 30–35 человек</w:t>
      </w:r>
      <w:r>
        <w:t xml:space="preserve"> </w:t>
      </w:r>
      <w:r>
        <w:t xml:space="preserve">(разбор nonsort, контроль исключений, наладка, диспетчер): сокращение ≈96 %.</w:t>
      </w:r>
    </w:p>
    <w:bookmarkEnd w:id="22"/>
    <w:bookmarkStart w:id="26" w:name="концепция-центра"/>
    <w:p>
      <w:pPr>
        <w:pStyle w:val="Heading2"/>
      </w:pPr>
      <w:r>
        <w:t xml:space="preserve">4. Концепция центра</w:t>
      </w:r>
    </w:p>
    <w:bookmarkStart w:id="23" w:name="схема-потока"/>
    <w:p>
      <w:pPr>
        <w:pStyle w:val="Heading3"/>
      </w:pPr>
      <w:r>
        <w:t xml:space="preserve">4.1. Схема потока</w:t>
      </w:r>
    </w:p>
    <w:p>
      <w:pPr>
        <w:pStyle w:val="FirstParagraph"/>
      </w:pPr>
      <w:r>
        <w:t xml:space="preserve">Сквозной поток без встречных перемещений (см.</w:t>
      </w:r>
      <w:r>
        <w:t xml:space="preserve"> </w:t>
      </w:r>
      <w:r>
        <w:rPr>
          <w:rStyle w:val="VerbatimChar"/>
        </w:rPr>
        <w:t xml:space="preserve">docs/layout_scheme.svg</w:t>
      </w:r>
      <w:r>
        <w:t xml:space="preserve">):</w:t>
      </w:r>
      <w:r>
        <w:t xml:space="preserve"> </w:t>
      </w:r>
      <w:r>
        <w:t xml:space="preserve">приёмка (8 доков) → буфер 80 палет → депаллетизация (7 роботов, снятие</w:t>
      </w:r>
      <w:r>
        <w:t xml:space="preserve"> </w:t>
      </w:r>
      <w:r>
        <w:t xml:space="preserve">стрейча и ленты) → конвейер → вскрытие КТЯ (16) → инфид (14 автостанций,</w:t>
      </w:r>
      <w:r>
        <w:t xml:space="preserve"> </w:t>
      </w:r>
      <w:r>
        <w:t xml:space="preserve">сканирование, отделение nonsort) → 11 сортеров → 400 скатов-направлений</w:t>
      </w:r>
      <w:r>
        <w:t xml:space="preserve"> </w:t>
      </w:r>
      <w:r>
        <w:t xml:space="preserve">(закрытие КТЯ по наполнению 27 шт или таймауту 45 мин) → заклейка (12) →</w:t>
      </w:r>
      <w:r>
        <w:t xml:space="preserve"> </w:t>
      </w:r>
      <w:r>
        <w:t xml:space="preserve">сортировка КТЯ по воротам → палетизация (9 роботов) → гравитационный буфер</w:t>
      </w:r>
      <w:r>
        <w:t xml:space="preserve"> </w:t>
      </w:r>
      <w:r>
        <w:t xml:space="preserve">отгрузки → 24 ворот. Параллельно: контур тары (80 % реюз с подачей пустых</w:t>
      </w:r>
      <w:r>
        <w:t xml:space="preserve"> </w:t>
      </w:r>
      <w:r>
        <w:t xml:space="preserve">КТЯ с мезонина самотёком, 20 % брак → пресс, машина новых коробов) и</w:t>
      </w:r>
      <w:r>
        <w:t xml:space="preserve"> </w:t>
      </w:r>
      <w:r>
        <w:t xml:space="preserve">nonsort-контур (ручной разбор 22 места → роллкейджи → те же машины).</w:t>
      </w:r>
    </w:p>
    <w:bookmarkEnd w:id="23"/>
    <w:bookmarkStart w:id="24" w:name="уровень-автоматизации-по-операциям"/>
    <w:p>
      <w:pPr>
        <w:pStyle w:val="Heading3"/>
      </w:pPr>
      <w:r>
        <w:t xml:space="preserve">4.2. Уровень автоматизации по операциям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Как выполняется</w:t>
            </w:r>
          </w:p>
        </w:tc>
        <w:tc>
          <w:tcPr/>
          <w:p>
            <w:pPr>
              <w:pStyle w:val="Compact"/>
            </w:pPr>
            <w:r>
              <w:t xml:space="preserve">Роль человека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Разгрузка машин</w:t>
            </w:r>
          </w:p>
        </w:tc>
        <w:tc>
          <w:tcPr/>
          <w:p>
            <w:pPr>
              <w:pStyle w:val="Compact"/>
            </w:pPr>
            <w:r>
              <w:t xml:space="preserve">погрузчики/AGV (автоматические тележки)</w:t>
            </w:r>
          </w:p>
        </w:tc>
        <w:tc>
          <w:tcPr/>
          <w:p>
            <w:pPr>
              <w:pStyle w:val="Compact"/>
            </w:pPr>
            <w:r>
              <w:t xml:space="preserve">операторы техники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Депаллетизация</w:t>
            </w:r>
          </w:p>
        </w:tc>
        <w:tc>
          <w:tcPr/>
          <w:p>
            <w:pPr>
              <w:pStyle w:val="Compact"/>
            </w:pPr>
            <w:r>
              <w:t xml:space="preserve">роботы-депаллетизаторы</w:t>
            </w:r>
          </w:p>
        </w:tc>
        <w:tc>
          <w:tcPr/>
          <w:p>
            <w:pPr>
              <w:pStyle w:val="Compact"/>
            </w:pPr>
            <w:r>
              <w:t xml:space="preserve">0 (контроль удалённо)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Транспортировка КТЯ</w:t>
            </w:r>
          </w:p>
        </w:tc>
        <w:tc>
          <w:tcPr/>
          <w:p>
            <w:pPr>
              <w:pStyle w:val="Compact"/>
            </w:pPr>
            <w:r>
              <w:t xml:space="preserve">конвейерный контур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Вскрытие КТЯ</w:t>
            </w:r>
          </w:p>
        </w:tc>
        <w:tc>
          <w:tcPr/>
          <w:p>
            <w:pPr>
              <w:pStyle w:val="Compact"/>
            </w:pPr>
            <w:r>
              <w:t xml:space="preserve">автоматические станции</w:t>
            </w:r>
          </w:p>
        </w:tc>
        <w:tc>
          <w:tcPr/>
          <w:p>
            <w:pPr>
              <w:pStyle w:val="Compact"/>
            </w:pPr>
            <w:r>
              <w:t xml:space="preserve">точечный контроль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сортеров (инфид)</w:t>
            </w:r>
          </w:p>
        </w:tc>
        <w:tc>
          <w:tcPr/>
          <w:p>
            <w:pPr>
              <w:pStyle w:val="Compact"/>
            </w:pPr>
            <w:r>
              <w:t xml:space="preserve">автоматическая — снимает лимит 1 000 тов/ч/чел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Сортировка на 400 направлений</w:t>
            </w:r>
          </w:p>
        </w:tc>
        <w:tc>
          <w:tcPr/>
          <w:p>
            <w:pPr>
              <w:pStyle w:val="Compact"/>
            </w:pPr>
            <w:r>
              <w:t xml:space="preserve">11 автосортеров, мульти-скат</w:t>
            </w:r>
          </w:p>
        </w:tc>
        <w:tc>
          <w:tcPr/>
          <w:p>
            <w:pPr>
              <w:pStyle w:val="Compact"/>
            </w:pPr>
            <w:r>
              <w:t xml:space="preserve">2–3 оператора контроля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заполнения, съём</w:t>
            </w:r>
          </w:p>
        </w:tc>
        <w:tc>
          <w:tcPr/>
          <w:p>
            <w:pPr>
              <w:pStyle w:val="Compact"/>
            </w:pPr>
            <w:r>
              <w:t xml:space="preserve">автоматика скатов + таймаут</w:t>
            </w:r>
          </w:p>
        </w:tc>
        <w:tc>
          <w:tcPr/>
          <w:p>
            <w:pPr>
              <w:pStyle w:val="Compact"/>
            </w:pPr>
            <w:r>
              <w:t xml:space="preserve">точечный контроль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Заклейка</w:t>
            </w:r>
          </w:p>
        </w:tc>
        <w:tc>
          <w:tcPr/>
          <w:p>
            <w:pPr>
              <w:pStyle w:val="Compact"/>
            </w:pPr>
            <w:r>
              <w:t xml:space="preserve">автоматические заклейщики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Палетизация</w:t>
            </w:r>
          </w:p>
        </w:tc>
        <w:tc>
          <w:tcPr/>
          <w:p>
            <w:pPr>
              <w:pStyle w:val="Compact"/>
            </w:pPr>
            <w:r>
              <w:t xml:space="preserve">роботы + обмотчики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Погрузка машин</w:t>
            </w:r>
          </w:p>
        </w:tc>
        <w:tc>
          <w:tcPr/>
          <w:p>
            <w:pPr>
              <w:pStyle w:val="Compact"/>
            </w:pPr>
            <w:r>
              <w:t xml:space="preserve">телескопические конвейеры/погрузчики</w:t>
            </w:r>
          </w:p>
        </w:tc>
        <w:tc>
          <w:tcPr/>
          <w:p>
            <w:pPr>
              <w:pStyle w:val="Compact"/>
            </w:pPr>
            <w:r>
              <w:t xml:space="preserve">операторы техники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Nonsort-поток</w:t>
            </w:r>
          </w:p>
        </w:tc>
        <w:tc>
          <w:tcPr/>
          <w:p>
            <w:pPr>
              <w:pStyle w:val="Compact"/>
            </w:pPr>
            <w:r>
              <w:t xml:space="preserve">ручной разбор по адресным ячейкам</w:t>
            </w:r>
          </w:p>
        </w:tc>
        <w:tc>
          <w:tcPr/>
          <w:p>
            <w:pPr>
              <w:pStyle w:val="Compact"/>
            </w:pPr>
            <w:r>
              <w:t xml:space="preserve">22 человека — главный ручной участок</w:t>
            </w:r>
          </w:p>
        </w:tc>
      </w:tr>
    </w:tbl>
    <w:p>
      <w:pPr>
        <w:pStyle w:val="BodyText"/>
      </w:pPr>
      <w:r>
        <w:t xml:space="preserve">Итог: человек остаётся там, где автоматизация пока нерентабельна</w:t>
      </w:r>
      <w:r>
        <w:t xml:space="preserve"> </w:t>
      </w:r>
      <w:r>
        <w:t xml:space="preserve">(nonsort, стыки с транспортом, контроль исключений).</w:t>
      </w:r>
    </w:p>
    <w:bookmarkEnd w:id="24"/>
    <w:bookmarkStart w:id="25" w:name="площадь-и-компоновка"/>
    <w:p>
      <w:pPr>
        <w:pStyle w:val="Heading3"/>
      </w:pPr>
      <w:r>
        <w:t xml:space="preserve">4.3. Площадь и компоновка</w:t>
      </w:r>
    </w:p>
    <w:p>
      <w:pPr>
        <w:pStyle w:val="FirstParagraph"/>
      </w:pPr>
      <w:r>
        <w:t xml:space="preserve">Полный расчёт —</w:t>
      </w:r>
      <w:r>
        <w:t xml:space="preserve"> </w:t>
      </w:r>
      <w:r>
        <w:rPr>
          <w:rStyle w:val="VerbatimChar"/>
        </w:rPr>
        <w:t xml:space="preserve">docs/layout.md</w:t>
      </w:r>
      <w:r>
        <w:t xml:space="preserve">. Полезные площади посчитаны снизу вверх</w:t>
      </w:r>
      <w:r>
        <w:t xml:space="preserve"> </w:t>
      </w:r>
      <w:r>
        <w:t xml:space="preserve">от числа оборудования: ≈9 500 м²; коэффициент компоновки 2,0 (проезды,</w:t>
      </w:r>
      <w:r>
        <w:t xml:space="preserve"> </w:t>
      </w:r>
      <w:r>
        <w:t xml:space="preserve">противопожарные разрывы, нестыковки сетки). Ширину здания диктует ряд</w:t>
      </w:r>
      <w:r>
        <w:t xml:space="preserve"> </w:t>
      </w:r>
      <w:r>
        <w:t xml:space="preserve">сортеров (11 × 12 м = 132 м → 140 м), глубину — сумма технологических</w:t>
      </w:r>
      <w:r>
        <w:t xml:space="preserve"> </w:t>
      </w:r>
      <w:r>
        <w:t xml:space="preserve">полос (135 м). Итог:</w:t>
      </w:r>
      <w:r>
        <w:t xml:space="preserve"> </w:t>
      </w:r>
      <w:r>
        <w:rPr>
          <w:b/>
          <w:bCs/>
        </w:rPr>
        <w:t xml:space="preserve">здание 140 × 135 м ≈ 18 900 м²</w:t>
      </w:r>
      <w:r>
        <w:t xml:space="preserve"> </w:t>
      </w:r>
      <w:r>
        <w:t xml:space="preserve">с мезонином</w:t>
      </w:r>
      <w:r>
        <w:t xml:space="preserve"> </w:t>
      </w:r>
      <w:r>
        <w:t xml:space="preserve">(тара, АБК, техпомещения на отметке +6 м) — ниже нижней границы ориентира</w:t>
      </w:r>
      <w:r>
        <w:t xml:space="preserve"> </w:t>
      </w:r>
      <w:r>
        <w:t xml:space="preserve">20 000–24 000 м² без ужимания проездов. Консервативный одноуровневый</w:t>
      </w:r>
      <w:r>
        <w:t xml:space="preserve"> </w:t>
      </w:r>
      <w:r>
        <w:t xml:space="preserve">вариант — 20 600 м².</w:t>
      </w:r>
    </w:p>
    <w:p>
      <w:pPr>
        <w:pStyle w:val="BodyText"/>
      </w:pPr>
      <w:r>
        <w:t xml:space="preserve">[РИС. 1: схема компоновки — вставить docs/layout_scheme.svg]</w:t>
      </w:r>
    </w:p>
    <w:bookmarkEnd w:id="25"/>
    <w:bookmarkEnd w:id="26"/>
    <w:bookmarkStart w:id="30" w:name="имитационная-модель"/>
    <w:p>
      <w:pPr>
        <w:pStyle w:val="Heading2"/>
      </w:pPr>
      <w:r>
        <w:t xml:space="preserve">5. Имитационная модель</w:t>
      </w:r>
    </w:p>
    <w:bookmarkStart w:id="27" w:name="инструменты"/>
    <w:p>
      <w:pPr>
        <w:pStyle w:val="Heading3"/>
      </w:pPr>
      <w:r>
        <w:t xml:space="preserve">5.1. Инструменты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Ядро симуляции</w:t>
            </w:r>
          </w:p>
        </w:tc>
        <w:tc>
          <w:tcPr/>
          <w:p>
            <w:pPr>
              <w:pStyle w:val="Compact"/>
            </w:pPr>
            <w:r>
              <w:t xml:space="preserve">SimPy (Python 3.12)</w:t>
            </w:r>
          </w:p>
        </w:tc>
        <w:tc>
          <w:tcPr/>
          <w:p>
            <w:pPr>
              <w:pStyle w:val="Compact"/>
            </w:pPr>
            <w:r>
              <w:t xml:space="preserve">из перечня рекомендованного open-source ПО; прозрачная логика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Расчёты</w:t>
            </w:r>
          </w:p>
        </w:tc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веса Ципфа, розыгрыш направлений, биномиальный nonsort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Метрики</w:t>
            </w:r>
          </w:p>
        </w:tc>
        <w:tc>
          <w:tcPr/>
          <w:p>
            <w:pPr>
              <w:pStyle w:val="Compact"/>
            </w:pPr>
            <w:r>
              <w:t xml:space="preserve">CSV/JSON, стандартная библиотека</w:t>
            </w:r>
          </w:p>
        </w:tc>
        <w:tc>
          <w:tcPr/>
          <w:p>
            <w:pPr>
              <w:pStyle w:val="Compact"/>
            </w:pPr>
            <w:r>
              <w:t xml:space="preserve">нейтральные форматы из требований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</w:pPr>
            <w:r>
              <w:t xml:space="preserve">Streamlit + Plotly</w:t>
            </w:r>
          </w:p>
        </w:tc>
        <w:tc>
          <w:tcPr/>
          <w:p>
            <w:pPr>
              <w:pStyle w:val="Compact"/>
            </w:pPr>
            <w:r>
              <w:t xml:space="preserve">графики + смена параметров без правки кода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Воспроизводимость</w:t>
            </w:r>
          </w:p>
        </w:tc>
        <w:tc>
          <w:tcPr/>
          <w:p>
            <w:pPr>
              <w:pStyle w:val="Compact"/>
            </w:pPr>
            <w:r>
              <w:t xml:space="preserve">Docker, Makefile, фиксированный seed</w:t>
            </w:r>
          </w:p>
        </w:tc>
        <w:tc>
          <w:tcPr/>
          <w:p>
            <w:pPr>
              <w:pStyle w:val="Compact"/>
            </w:pPr>
            <w:r>
              <w:t xml:space="preserve">идентичный запуск в среде проверки</w:t>
            </w:r>
          </w:p>
        </w:tc>
      </w:tr>
    </w:tbl>
    <w:bookmarkEnd w:id="27"/>
    <w:bookmarkStart w:id="28" w:name="устройство-модели"/>
    <w:p>
      <w:pPr>
        <w:pStyle w:val="Heading3"/>
      </w:pPr>
      <w:r>
        <w:t xml:space="preserve">5.2. Устройство модели</w:t>
      </w:r>
    </w:p>
    <w:p>
      <w:pPr>
        <w:pStyle w:val="FirstParagraph"/>
      </w:pPr>
      <w:r>
        <w:t xml:space="preserve">Единица потока — КТЯ; товары учитываются счётчиками внутри КТЯ (допущение</w:t>
      </w:r>
      <w:r>
        <w:t xml:space="preserve"> </w:t>
      </w:r>
      <w:r>
        <w:t xml:space="preserve">A-01: поштучные события не меняют системные метрики, но замедляют прогон</w:t>
      </w:r>
      <w:r>
        <w:t xml:space="preserve"> </w:t>
      </w:r>
      <w:r>
        <w:t xml:space="preserve">в ~30 раз). Сутки модельного времени считаются за ~30 секунд.</w:t>
      </w:r>
    </w:p>
    <w:p>
      <w:pPr>
        <w:pStyle w:val="BodyText"/>
      </w:pPr>
      <w:r>
        <w:t xml:space="preserve">Каждая операция пишет счётчики в минутные бакеты; агрегаты строятся окнами</w:t>
      </w:r>
      <w:r>
        <w:t xml:space="preserve"> </w:t>
      </w:r>
      <w:r>
        <w:rPr>
          <w:b/>
          <w:bCs/>
        </w:rPr>
        <w:t xml:space="preserve">1 мин / 1 ч / 12 ч / 24 ч</w:t>
      </w:r>
      <w:r>
        <w:t xml:space="preserve"> </w:t>
      </w:r>
      <w:r>
        <w:t xml:space="preserve">(требование к метрикам). Очереди замеряются</w:t>
      </w:r>
      <w:r>
        <w:t xml:space="preserve"> </w:t>
      </w:r>
      <w:r>
        <w:t xml:space="preserve">каждые 30 с; загрузка ресурсов — по занятому времени. В конце прогона</w:t>
      </w:r>
      <w:r>
        <w:t xml:space="preserve"> </w:t>
      </w:r>
      <w:r>
        <w:t xml:space="preserve">выполняется балансовая сверка: вход = сортировка + nonsort + очереди.</w:t>
      </w:r>
    </w:p>
    <w:p>
      <w:pPr>
        <w:pStyle w:val="BodyText"/>
      </w:pPr>
      <w:r>
        <w:t xml:space="preserve">Все 16+ операций постановки отражены: приёмка палет, депаллетизация,</w:t>
      </w:r>
      <w:r>
        <w:t xml:space="preserve"> </w:t>
      </w:r>
      <w:r>
        <w:t xml:space="preserve">транспортировка, вскрытие КТЯ, инфид, отделение nonsort, автосортировка,</w:t>
      </w:r>
      <w:r>
        <w:t xml:space="preserve"> </w:t>
      </w:r>
      <w:r>
        <w:t xml:space="preserve">наполнение и закрытие выходных КТЯ (по 27 шт или таймауту), контур тары</w:t>
      </w:r>
      <w:r>
        <w:t xml:space="preserve"> </w:t>
      </w:r>
      <w:r>
        <w:t xml:space="preserve">(реюз/брак/новые), заклейка, транспортировка к отгрузке, сортировка КТЯ</w:t>
      </w:r>
      <w:r>
        <w:t xml:space="preserve"> </w:t>
      </w:r>
      <w:r>
        <w:t xml:space="preserve">по направлениям, палетизация, ворота (машина = 16 палет + 16 роллкейджей,</w:t>
      </w:r>
      <w:r>
        <w:t xml:space="preserve"> </w:t>
      </w:r>
      <w:r>
        <w:t xml:space="preserve">погрузка 2 ч), ручной разбор nonsort, формирование роллкейджей.</w:t>
      </w:r>
    </w:p>
    <w:p>
      <w:pPr>
        <w:pStyle w:val="BodyText"/>
      </w:pPr>
      <w:r>
        <w:t xml:space="preserve">Реестр допущений с обоснованиями и путями снятия —</w:t>
      </w:r>
      <w:r>
        <w:t xml:space="preserve"> </w:t>
      </w:r>
      <w:r>
        <w:rPr>
          <w:rStyle w:val="VerbatimChar"/>
        </w:rPr>
        <w:t xml:space="preserve">docs/assumptions.md</w:t>
      </w:r>
      <w:r>
        <w:t xml:space="preserve">.</w:t>
      </w:r>
    </w:p>
    <w:bookmarkEnd w:id="28"/>
    <w:bookmarkStart w:id="29" w:name="изменяемые-параметры"/>
    <w:p>
      <w:pPr>
        <w:pStyle w:val="Heading3"/>
      </w:pPr>
      <w:r>
        <w:t xml:space="preserve">5.3. Изменяемые параметры</w:t>
      </w:r>
    </w:p>
    <w:p>
      <w:pPr>
        <w:pStyle w:val="FirstParagraph"/>
      </w:pPr>
      <w:r>
        <w:t xml:space="preserve">Любой параметр меняется из командной строки или дашборда без правки кода:</w:t>
      </w:r>
      <w:r>
        <w:t xml:space="preserve"> </w:t>
      </w:r>
      <w:r>
        <w:t xml:space="preserve">интенсивность потока, число сортеров, режим назначения направлений</w:t>
      </w:r>
      <w:r>
        <w:t xml:space="preserve"> </w:t>
      </w:r>
      <w:r>
        <w:t xml:space="preserve">(split/strict), режим инфида (auto/manual), доля nonsort, число станций</w:t>
      </w:r>
      <w:r>
        <w:t xml:space="preserve"> </w:t>
      </w:r>
      <w:r>
        <w:t xml:space="preserve">каждого участка, таймаут скатов, горизонт, зерно случайности.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python -m src.run --set sorters.count=10 --set flow.p_nonsort=0.08</w:t>
      </w:r>
    </w:p>
    <w:bookmarkEnd w:id="29"/>
    <w:bookmarkEnd w:id="30"/>
    <w:bookmarkStart w:id="36" w:name="результаты-моделирования"/>
    <w:p>
      <w:pPr>
        <w:pStyle w:val="Heading2"/>
      </w:pPr>
      <w:r>
        <w:t xml:space="preserve">6. Результаты моделирования</w:t>
      </w:r>
    </w:p>
    <w:bookmarkStart w:id="31" w:name="X3da6bcb58c4d0dbe4690000529b4c82a77e1dd5"/>
    <w:p>
      <w:pPr>
        <w:pStyle w:val="Heading3"/>
      </w:pPr>
      <w:r>
        <w:t xml:space="preserve">6.1. Базовый суточный прогон (11 сортеров, split, авто-инфид, nonsort 5 %)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Товаров вошло</w:t>
            </w:r>
          </w:p>
        </w:tc>
        <w:tc>
          <w:tcPr/>
          <w:p>
            <w:pPr>
              <w:pStyle w:val="Compact"/>
            </w:pPr>
            <w:r>
              <w:t xml:space="preserve">2 390 580</w:t>
            </w:r>
          </w:p>
        </w:tc>
        <w:tc>
          <w:tcPr/>
          <w:p>
            <w:pPr>
              <w:pStyle w:val="Compact"/>
            </w:pPr>
            <w:r>
              <w:t xml:space="preserve">99,7 % номинала (минуты пустого конвейера на старте)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Отсортировано</w:t>
            </w:r>
          </w:p>
        </w:tc>
        <w:tc>
          <w:tcPr/>
          <w:p>
            <w:pPr>
              <w:pStyle w:val="Compact"/>
            </w:pPr>
            <w:r>
              <w:t xml:space="preserve">2 270 963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Nonsort</w:t>
            </w:r>
          </w:p>
        </w:tc>
        <w:tc>
          <w:tcPr/>
          <w:p>
            <w:pPr>
              <w:pStyle w:val="Compact"/>
            </w:pPr>
            <w:r>
              <w:t xml:space="preserve">119 500</w:t>
            </w:r>
          </w:p>
        </w:tc>
        <w:tc>
          <w:tcPr/>
          <w:p>
            <w:pPr>
              <w:pStyle w:val="Compact"/>
            </w:pPr>
            <w:r>
              <w:t xml:space="preserve">ровно 5,0 % — соответствует параметру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Отгружено</w:t>
            </w:r>
          </w:p>
        </w:tc>
        <w:tc>
          <w:tcPr/>
          <w:p>
            <w:pPr>
              <w:pStyle w:val="Compact"/>
            </w:pPr>
            <w:r>
              <w:t xml:space="preserve">2 064 038</w:t>
            </w:r>
          </w:p>
        </w:tc>
        <w:tc>
          <w:tcPr/>
          <w:p>
            <w:pPr>
              <w:pStyle w:val="Compact"/>
            </w:pPr>
            <w:r>
              <w:t xml:space="preserve">86,3 % входа за первые сутки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Незавершёнка (WIP)</w:t>
            </w:r>
          </w:p>
        </w:tc>
        <w:tc>
          <w:tcPr/>
          <w:p>
            <w:pPr>
              <w:pStyle w:val="Compact"/>
            </w:pPr>
            <w:r>
              <w:t xml:space="preserve">206 925</w:t>
            </w:r>
          </w:p>
        </w:tc>
        <w:tc>
          <w:tcPr/>
          <w:p>
            <w:pPr>
              <w:pStyle w:val="Compact"/>
            </w:pPr>
            <w:r>
              <w:t xml:space="preserve">≈23 машины в процессе 2-часовой погрузки (16 палет × 20 КТЯ × ~27 тов ≈ 198 тыс.) + очереди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Застряло в очередях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балансовая сверка сходится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Средняя заполненность выходного КТЯ</w:t>
            </w:r>
          </w:p>
        </w:tc>
        <w:tc>
          <w:tcPr/>
          <w:p>
            <w:pPr>
              <w:pStyle w:val="Compact"/>
            </w:pPr>
            <w:r>
              <w:t xml:space="preserve">26,875 из 27</w:t>
            </w:r>
          </w:p>
        </w:tc>
        <w:tc>
          <w:tcPr/>
          <w:p>
            <w:pPr>
              <w:pStyle w:val="Compact"/>
            </w:pPr>
            <w:r>
              <w:t xml:space="preserve">99,5 % плотности: таймаут хвостовых направлений почти не режет плотность</w:t>
            </w:r>
          </w:p>
        </w:tc>
      </w:tr>
    </w:tbl>
    <w:p>
      <w:pPr>
        <w:pStyle w:val="BodyText"/>
      </w:pPr>
      <w:r>
        <w:t xml:space="preserve">Загрузка ресурсов за сутки: вскрытие КТЯ 96 %, ручной разбор 90 %,</w:t>
      </w:r>
      <w:r>
        <w:t xml:space="preserve"> </w:t>
      </w:r>
      <w:r>
        <w:t xml:space="preserve">инфид 89 %, депаллетизация 88 %, палетизация 86 % — совпадает с</w:t>
      </w:r>
      <w:r>
        <w:t xml:space="preserve"> </w:t>
      </w:r>
      <w:r>
        <w:t xml:space="preserve">предсказаниями аналитической модели (§3.5).</w:t>
      </w:r>
    </w:p>
    <w:p>
      <w:pPr>
        <w:pStyle w:val="BodyText"/>
      </w:pPr>
      <w:r>
        <w:t xml:space="preserve">[РИС. 2: скриншот дашборда — карточки балансов и темп операций, окно 1 ч]</w:t>
      </w:r>
      <w:r>
        <w:t xml:space="preserve"> </w:t>
      </w:r>
      <w:r>
        <w:t xml:space="preserve">[РИС. 3: скриншот дашборда — загрузка ресурсов с подсветкой узких мест]</w:t>
      </w:r>
    </w:p>
    <w:bookmarkEnd w:id="31"/>
    <w:bookmarkStart w:id="32" w:name="переходный-процесс-и-волновая-отгрузка"/>
    <w:p>
      <w:pPr>
        <w:pStyle w:val="Heading3"/>
      </w:pPr>
      <w:r>
        <w:t xml:space="preserve">6.2. Переходный процесс и волновая отгрузка</w:t>
      </w:r>
    </w:p>
    <w:p>
      <w:pPr>
        <w:pStyle w:val="FirstParagraph"/>
      </w:pPr>
      <w:r>
        <w:t xml:space="preserve">На окне 1 час виден переходный период (~2,5 ч): конвейер наполняется,</w:t>
      </w:r>
      <w:r>
        <w:t xml:space="preserve"> </w:t>
      </w:r>
      <w:r>
        <w:t xml:space="preserve">первые машины уезжают только после первой 2-часовой погрузки. Далее график</w:t>
      </w:r>
      <w:r>
        <w:t xml:space="preserve"> </w:t>
      </w:r>
      <w:r>
        <w:t xml:space="preserve">отгрузки — затухающая «пила»: партии машин уходят волнами, очередь палет</w:t>
      </w:r>
      <w:r>
        <w:t xml:space="preserve"> </w:t>
      </w:r>
      <w:r>
        <w:t xml:space="preserve">у ворот колеблется с убывающими пиками (330 → 300 → 270 → …) и к концу</w:t>
      </w:r>
      <w:r>
        <w:t xml:space="preserve"> </w:t>
      </w:r>
      <w:r>
        <w:t xml:space="preserve">суток входит в устойчивый ритм. Система самостабилизируется — признак</w:t>
      </w:r>
      <w:r>
        <w:t xml:space="preserve"> </w:t>
      </w:r>
      <w:r>
        <w:t xml:space="preserve">корректно сбалансированной схемы.</w:t>
      </w:r>
    </w:p>
    <w:p>
      <w:pPr>
        <w:pStyle w:val="BodyText"/>
      </w:pPr>
      <w:r>
        <w:t xml:space="preserve">[РИС. 4: скриншот — очередь pallets_awaiting_gates, затухающая пила]</w:t>
      </w:r>
    </w:p>
    <w:bookmarkEnd w:id="32"/>
    <w:bookmarkStart w:id="33" w:name="Xa8e528db6cef31ffbd294bc729ad80e7dddbec7"/>
    <w:p>
      <w:pPr>
        <w:pStyle w:val="Heading3"/>
      </w:pPr>
      <w:r>
        <w:t xml:space="preserve">6.3. Сценарное сравнение: цена архитектурных решений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База: 11 сортеров, split</w:t>
            </w:r>
          </w:p>
        </w:tc>
        <w:tc>
          <w:tcPr/>
          <w:p>
            <w:pPr>
              <w:pStyle w:val="Compact"/>
            </w:pPr>
            <w:r>
              <w:t xml:space="preserve">10 сортеров, split</w:t>
            </w:r>
          </w:p>
        </w:tc>
        <w:tc>
          <w:tcPr/>
          <w:p>
            <w:pPr>
              <w:pStyle w:val="Compact"/>
            </w:pPr>
            <w:r>
              <w:t xml:space="preserve">11 сортеров, 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Отсортировано</w:t>
            </w:r>
          </w:p>
        </w:tc>
        <w:tc>
          <w:tcPr/>
          <w:p>
            <w:pPr>
              <w:pStyle w:val="Compact"/>
            </w:pPr>
            <w:r>
              <w:t xml:space="preserve">2 270 963</w:t>
            </w:r>
          </w:p>
        </w:tc>
        <w:tc>
          <w:tcPr/>
          <w:p>
            <w:pPr>
              <w:pStyle w:val="Compact"/>
            </w:pPr>
            <w:r>
              <w:t xml:space="preserve">2 271 249</w:t>
            </w:r>
          </w:p>
        </w:tc>
        <w:tc>
          <w:tcPr/>
          <w:p>
            <w:pPr>
              <w:pStyle w:val="Compact"/>
            </w:pPr>
            <w:r>
              <w:t xml:space="preserve">2 088 988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Отгружено</w:t>
            </w:r>
          </w:p>
        </w:tc>
        <w:tc>
          <w:tcPr/>
          <w:p>
            <w:pPr>
              <w:pStyle w:val="Compact"/>
            </w:pPr>
            <w:r>
              <w:t xml:space="preserve">2 064 038</w:t>
            </w:r>
          </w:p>
        </w:tc>
        <w:tc>
          <w:tcPr/>
          <w:p>
            <w:pPr>
              <w:pStyle w:val="Compact"/>
            </w:pPr>
            <w:r>
              <w:t xml:space="preserve">2 064 443</w:t>
            </w:r>
          </w:p>
        </w:tc>
        <w:tc>
          <w:tcPr/>
          <w:p>
            <w:pPr>
              <w:pStyle w:val="Compact"/>
            </w:pPr>
            <w:r>
              <w:t xml:space="preserve">1 891 428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Застряло в очередях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182 017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сортеров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95 %</w:t>
            </w:r>
          </w:p>
        </w:tc>
        <w:tc>
          <w:tcPr/>
          <w:p>
            <w:pPr>
              <w:pStyle w:val="Compact"/>
            </w:pPr>
            <w:r>
              <w:t xml:space="preserve">средняя низкая, локальный перекос</w:t>
            </w:r>
          </w:p>
        </w:tc>
      </w:tr>
    </w:tbl>
    <w:p>
      <w:pPr>
        <w:pStyle w:val="BodyText"/>
      </w:pPr>
      <w:r>
        <w:t xml:space="preserve">Выводы: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strict (без дробления направлений) теряет 7,6 % потока за сутки</w:t>
      </w:r>
      <w:r>
        <w:t xml:space="preserve"> </w:t>
      </w:r>
      <w:r>
        <w:t xml:space="preserve">—</w:t>
      </w:r>
      <w:r>
        <w:t xml:space="preserve"> </w:t>
      </w:r>
      <w:r>
        <w:t xml:space="preserve">182 тыс. товаров копятся в очереди сортера, обслуживающего топ-направление</w:t>
      </w:r>
      <w:r>
        <w:t xml:space="preserve"> </w:t>
      </w:r>
      <w:r>
        <w:t xml:space="preserve">(18,6 тыс. тов/ч на входе против 10 тыс. мощности). Симуляция численно</w:t>
      </w:r>
      <w:r>
        <w:t xml:space="preserve"> </w:t>
      </w:r>
      <w:r>
        <w:t xml:space="preserve">подтвердила аналитический вывод §3.4 о необходимости мульти-ската.</w:t>
      </w:r>
    </w:p>
    <w:p>
      <w:pPr>
        <w:pStyle w:val="Compact"/>
        <w:numPr>
          <w:ilvl w:val="0"/>
          <w:numId w:val="1002"/>
        </w:numPr>
      </w:pPr>
      <w:r>
        <w:t xml:space="preserve">Важная методическая деталь: средняя загрузка сортеров в strict выглядит</w:t>
      </w:r>
      <w:r>
        <w:t xml:space="preserve"> </w:t>
      </w:r>
      <w:r>
        <w:t xml:space="preserve">безобидно, потому что перегружены 1–2 машины из 11 —</w:t>
      </w:r>
      <w:r>
        <w:t xml:space="preserve"> </w:t>
      </w:r>
      <w:r>
        <w:rPr>
          <w:b/>
          <w:bCs/>
        </w:rPr>
        <w:t xml:space="preserve">среднее маскирует</w:t>
      </w:r>
      <w:r>
        <w:rPr>
          <w:b/>
          <w:bCs/>
        </w:rPr>
        <w:t xml:space="preserve"> </w:t>
      </w:r>
      <w:r>
        <w:rPr>
          <w:b/>
          <w:bCs/>
        </w:rPr>
        <w:t xml:space="preserve">локальный перекос, правду показывает динамика очереди</w:t>
      </w:r>
      <w:r>
        <w:t xml:space="preserve">. Поэтому модель</w:t>
      </w:r>
      <w:r>
        <w:t xml:space="preserve"> </w:t>
      </w:r>
      <w:r>
        <w:t xml:space="preserve">отслеживает и утилизацию, и очереди.</w:t>
      </w:r>
    </w:p>
    <w:p>
      <w:pPr>
        <w:pStyle w:val="Compact"/>
        <w:numPr>
          <w:ilvl w:val="0"/>
          <w:numId w:val="1002"/>
        </w:numPr>
      </w:pPr>
      <w:r>
        <w:t xml:space="preserve">10 сортеров работают на пределе (95 %) без запаса на пики и отказы;</w:t>
      </w:r>
      <w:r>
        <w:t xml:space="preserve"> </w:t>
      </w:r>
      <w:r>
        <w:t xml:space="preserve">11-й сортер — страховой резерв за счёт ~9 % запаса мощности.</w:t>
      </w:r>
    </w:p>
    <w:p>
      <w:pPr>
        <w:pStyle w:val="FirstParagraph"/>
      </w:pPr>
      <w:r>
        <w:t xml:space="preserve">[РИС. 5: скриншот — рост очереди сортеров в data/out_strict против ровной в базе]</w:t>
      </w:r>
    </w:p>
    <w:bookmarkEnd w:id="33"/>
    <w:bookmarkStart w:id="34" w:name="чувствительность-к-доле-nonsort"/>
    <w:p>
      <w:pPr>
        <w:pStyle w:val="Heading3"/>
      </w:pPr>
      <w:r>
        <w:t xml:space="preserve">6.4. Чувствительность к доле nonsort</w:t>
      </w:r>
    </w:p>
    <w:p>
      <w:pPr>
        <w:pStyle w:val="FirstParagraph"/>
      </w:pPr>
      <w:r>
        <w:t xml:space="preserve">При базовых 5 % ручной разбор загружен на 90 % — участок на границе.</w:t>
      </w:r>
      <w:r>
        <w:t xml:space="preserve"> </w:t>
      </w:r>
      <w:r>
        <w:t xml:space="preserve">Рост доли крупногабарита/нечитаемых кодов выше ~5,5 % делает ручной разбор</w:t>
      </w:r>
      <w:r>
        <w:t xml:space="preserve"> </w:t>
      </w:r>
      <w:r>
        <w:t xml:space="preserve">новым узким местом: требуется +2 места на каждый дополнительный процент</w:t>
      </w:r>
      <w:r>
        <w:t xml:space="preserve"> </w:t>
      </w:r>
      <w:r>
        <w:t xml:space="preserve">(250 тов/ч на человека). Доля nonsort — самый дешёвый рычаг разгрузки</w:t>
      </w:r>
      <w:r>
        <w:t xml:space="preserve"> </w:t>
      </w:r>
      <w:r>
        <w:t xml:space="preserve">центра на стороне поставщиков (качество упаковки и штрихкодов).</w:t>
      </w:r>
    </w:p>
    <w:bookmarkEnd w:id="34"/>
    <w:bookmarkStart w:id="35" w:name="сводка-проблемных-зон"/>
    <w:p>
      <w:pPr>
        <w:pStyle w:val="Heading3"/>
      </w:pPr>
      <w:r>
        <w:t xml:space="preserve">6.5. Сводка проблемных зон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Загрузка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Рекомендация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Ворота отгрузки</w:t>
            </w:r>
          </w:p>
        </w:tc>
        <w:tc>
          <w:tcPr/>
          <w:p>
            <w:pPr>
              <w:pStyle w:val="Compact"/>
            </w:pPr>
            <w:r>
              <w:t xml:space="preserve">96 % расчётно</w:t>
            </w:r>
          </w:p>
        </w:tc>
        <w:tc>
          <w:tcPr/>
          <w:p>
            <w:pPr>
              <w:pStyle w:val="Compact"/>
            </w:pPr>
            <w:r>
              <w:t xml:space="preserve">каскадная остановка вверх по потоку</w:t>
            </w:r>
          </w:p>
        </w:tc>
        <w:tc>
          <w:tcPr/>
          <w:p>
            <w:pPr>
              <w:pStyle w:val="Compact"/>
            </w:pPr>
            <w:r>
              <w:t xml:space="preserve">гравитационный буфер; сокращение времени погрузки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Вскрытие КТЯ</w:t>
            </w:r>
          </w:p>
        </w:tc>
        <w:tc>
          <w:tcPr/>
          <w:p>
            <w:pPr>
              <w:pStyle w:val="Compact"/>
            </w:pPr>
            <w:r>
              <w:t xml:space="preserve">96 %</w:t>
            </w:r>
          </w:p>
        </w:tc>
        <w:tc>
          <w:tcPr/>
          <w:p>
            <w:pPr>
              <w:pStyle w:val="Compact"/>
            </w:pPr>
            <w:r>
              <w:t xml:space="preserve">первая очередь при пиках</w:t>
            </w:r>
          </w:p>
        </w:tc>
        <w:tc>
          <w:tcPr/>
          <w:p>
            <w:pPr>
              <w:pStyle w:val="Compact"/>
            </w:pPr>
            <w:r>
              <w:t xml:space="preserve">+1–2 станции либо ускорение цикла до 13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Ручной разбор nonsort</w:t>
            </w:r>
          </w:p>
        </w:tc>
        <w:tc>
          <w:tcPr/>
          <w:p>
            <w:pPr>
              <w:pStyle w:val="Compact"/>
            </w:pPr>
            <w:r>
              <w:t xml:space="preserve">90 %</w:t>
            </w:r>
          </w:p>
        </w:tc>
        <w:tc>
          <w:tcPr/>
          <w:p>
            <w:pPr>
              <w:pStyle w:val="Compact"/>
            </w:pPr>
            <w:r>
              <w:t xml:space="preserve">чувствителен к доле nonsort</w:t>
            </w:r>
          </w:p>
        </w:tc>
        <w:tc>
          <w:tcPr/>
          <w:p>
            <w:pPr>
              <w:pStyle w:val="Compact"/>
            </w:pPr>
            <w:r>
              <w:t xml:space="preserve">резервные места; работа с качеством упаковки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Сортер топ-направления</w:t>
            </w:r>
          </w:p>
        </w:tc>
        <w:tc>
          <w:tcPr/>
          <w:p>
            <w:pPr>
              <w:pStyle w:val="Compact"/>
            </w:pPr>
            <w:r>
              <w:t xml:space="preserve">перегрузка в strict</w:t>
            </w:r>
          </w:p>
        </w:tc>
        <w:tc>
          <w:tcPr/>
          <w:p>
            <w:pPr>
              <w:pStyle w:val="Compact"/>
            </w:pPr>
            <w:r>
              <w:t xml:space="preserve">потеря 7,6 % потока</w:t>
            </w:r>
          </w:p>
        </w:tc>
        <w:tc>
          <w:tcPr/>
          <w:p>
            <w:pPr>
              <w:pStyle w:val="Compact"/>
            </w:pPr>
            <w:r>
              <w:t xml:space="preserve">мульти-скат (реализован в базовой схеме)</w:t>
            </w:r>
          </w:p>
        </w:tc>
      </w:tr>
    </w:tbl>
    <w:bookmarkEnd w:id="35"/>
    <w:bookmarkEnd w:id="36"/>
    <w:bookmarkStart w:id="37" w:name="порядок-проверки-воспроизводимость"/>
    <w:p>
      <w:pPr>
        <w:pStyle w:val="Heading2"/>
      </w:pPr>
      <w:r>
        <w:t xml:space="preserve">7. Порядок проверки (воспроизводимость)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репозиторий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репозиторий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  </w:t>
      </w:r>
      <w:r>
        <w:rPr>
          <w:rStyle w:val="CommentTok"/>
        </w:rPr>
        <w:t xml:space="preserve"># Python 3.11+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smoke                        </w:t>
      </w:r>
      <w:r>
        <w:rPr>
          <w:rStyle w:val="CommentTok"/>
        </w:rPr>
        <w:t xml:space="preserve"># быстрая проверка, 2 ч модельного времени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                          </w:t>
      </w:r>
      <w:r>
        <w:rPr>
          <w:rStyle w:val="CommentTok"/>
        </w:rPr>
        <w:t xml:space="preserve"># суточный прогон → data/out/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scenario-tight               </w:t>
      </w:r>
      <w:r>
        <w:rPr>
          <w:rStyle w:val="CommentTok"/>
        </w:rPr>
        <w:t xml:space="preserve"># сценарий 10 сортеров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src.run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sorters.assignment_mode=strict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data/out_strict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dashboard                    </w:t>
      </w:r>
      <w:r>
        <w:rPr>
          <w:rStyle w:val="CommentTok"/>
        </w:rPr>
        <w:t xml:space="preserve"># графики: streamlit run dashboard/app.py</w:t>
      </w:r>
    </w:p>
    <w:p>
      <w:pPr>
        <w:pStyle w:val="FirstParagraph"/>
      </w:pPr>
      <w:r>
        <w:t xml:space="preserve">Либо в Docker без установки зависимостей:</w:t>
      </w:r>
      <w:r>
        <w:t xml:space="preserve"> </w:t>
      </w:r>
      <w:r>
        <w:rPr>
          <w:rStyle w:val="VerbatimChar"/>
        </w:rPr>
        <w:t xml:space="preserve">make docker</w:t>
      </w:r>
      <w:r>
        <w:t xml:space="preserve">.</w:t>
      </w:r>
      <w:r>
        <w:t xml:space="preserve"> </w:t>
      </w:r>
      <w:r>
        <w:t xml:space="preserve">Зерно случайности зафиксировано (seed 42) — результаты воспроизводятся</w:t>
      </w:r>
      <w:r>
        <w:t xml:space="preserve"> </w:t>
      </w:r>
      <w:r>
        <w:t xml:space="preserve">бит-в-бит; параметры сценариев перечислены в Makefile. Все цифры раздела 6</w:t>
      </w:r>
      <w:r>
        <w:t xml:space="preserve"> </w:t>
      </w:r>
      <w:r>
        <w:t xml:space="preserve">получены этими командами.</w:t>
      </w:r>
    </w:p>
    <w:bookmarkEnd w:id="37"/>
    <w:bookmarkStart w:id="38" w:name="ограничения-и-направления-развития"/>
    <w:p>
      <w:pPr>
        <w:pStyle w:val="Heading2"/>
      </w:pPr>
      <w:r>
        <w:t xml:space="preserve">8. Ограничения и направления развития</w:t>
      </w:r>
    </w:p>
    <w:p>
      <w:pPr>
        <w:pStyle w:val="FirstParagraph"/>
      </w:pPr>
      <w:r>
        <w:t xml:space="preserve">Ключевые допущения (полный реестр —</w:t>
      </w:r>
      <w:r>
        <w:t xml:space="preserve"> </w:t>
      </w:r>
      <w:r>
        <w:rPr>
          <w:rStyle w:val="VerbatimChar"/>
        </w:rPr>
        <w:t xml:space="preserve">docs/assumptions.md</w:t>
      </w:r>
      <w:r>
        <w:t xml:space="preserve">): моделирование</w:t>
      </w:r>
      <w:r>
        <w:t xml:space="preserve"> </w:t>
      </w:r>
      <w:r>
        <w:t xml:space="preserve">на уровне КТЯ (A-01); ровно 27 товаров в КТЯ (A-02); доля nonsort —</w:t>
      </w:r>
      <w:r>
        <w:t xml:space="preserve"> </w:t>
      </w:r>
      <w:r>
        <w:t xml:space="preserve">параметр (A-03); времена операций — инженерные оценки, вынесены в конфиг</w:t>
      </w:r>
      <w:r>
        <w:t xml:space="preserve"> </w:t>
      </w:r>
      <w:r>
        <w:t xml:space="preserve">для калибровки (A-08); роллкейджи не задерживают отправку машины (A-06);</w:t>
      </w:r>
      <w:r>
        <w:t xml:space="preserve"> </w:t>
      </w:r>
      <w:r>
        <w:t xml:space="preserve">отказы оборудования — отдельный сценарий (A-10).</w:t>
      </w:r>
    </w:p>
    <w:p>
      <w:pPr>
        <w:pStyle w:val="BodyText"/>
      </w:pPr>
      <w:r>
        <w:t xml:space="preserve">Развитие: калибровка времён операций по данным реальных объектов;</w:t>
      </w:r>
      <w:r>
        <w:t xml:space="preserve"> </w:t>
      </w:r>
      <w:r>
        <w:t xml:space="preserve">совместное ожидание палет и роллкейджей на воротах; сценарии отказов</w:t>
      </w:r>
      <w:r>
        <w:t xml:space="preserve"> </w:t>
      </w:r>
      <w:r>
        <w:t xml:space="preserve">(MTBF/MTTR — среднее время между поломками и время ремонта); оптимизация</w:t>
      </w:r>
      <w:r>
        <w:t xml:space="preserve"> </w:t>
      </w:r>
      <w:r>
        <w:t xml:space="preserve">балансировки через Google OR-Tools; 3D-визуализация потока; волновое</w:t>
      </w:r>
      <w:r>
        <w:t xml:space="preserve"> </w:t>
      </w:r>
      <w:r>
        <w:t xml:space="preserve">расписание отгрузки, синхронизированное с магистральным транспортом.</w:t>
      </w:r>
    </w:p>
    <w:bookmarkEnd w:id="38"/>
    <w:bookmarkStart w:id="39" w:name="выводы"/>
    <w:p>
      <w:pPr>
        <w:pStyle w:val="Heading2"/>
      </w:pPr>
      <w:r>
        <w:t xml:space="preserve">9. Выводы</w:t>
      </w:r>
    </w:p>
    <w:p>
      <w:pPr>
        <w:pStyle w:val="Compact"/>
        <w:numPr>
          <w:ilvl w:val="0"/>
          <w:numId w:val="1003"/>
        </w:numPr>
      </w:pPr>
      <w:r>
        <w:t xml:space="preserve">Построена связная пара «аналитическая модель + имитационная модель»:</w:t>
      </w:r>
      <w:r>
        <w:t xml:space="preserve"> </w:t>
      </w:r>
      <w:r>
        <w:t xml:space="preserve">каждая мощность выведена формулой и подтверждена динамикой симуляции.</w:t>
      </w:r>
    </w:p>
    <w:p>
      <w:pPr>
        <w:pStyle w:val="Compact"/>
        <w:numPr>
          <w:ilvl w:val="0"/>
          <w:numId w:val="1003"/>
        </w:numPr>
      </w:pPr>
      <w:r>
        <w:t xml:space="preserve">Схема с 11 сортерами, автозагрузкой и мульти-скатом пропускает</w:t>
      </w:r>
      <w:r>
        <w:t xml:space="preserve"> </w:t>
      </w:r>
      <w:r>
        <w:t xml:space="preserve">заявленные 100 000 тов/час: за сутки застревает 117 товаров из 2,39 млн.</w:t>
      </w:r>
    </w:p>
    <w:p>
      <w:pPr>
        <w:pStyle w:val="Compact"/>
        <w:numPr>
          <w:ilvl w:val="0"/>
          <w:numId w:val="1003"/>
        </w:numPr>
      </w:pPr>
      <w:r>
        <w:t xml:space="preserve">Автоматизация сокращает персонал смены с 800 до ~30–35 человек (−96 %),</w:t>
      </w:r>
      <w:r>
        <w:t xml:space="preserve"> </w:t>
      </w:r>
      <w:r>
        <w:t xml:space="preserve">сохраняя людей только на nonsort и контроле исключений.</w:t>
      </w:r>
    </w:p>
    <w:p>
      <w:pPr>
        <w:pStyle w:val="Compact"/>
        <w:numPr>
          <w:ilvl w:val="0"/>
          <w:numId w:val="1003"/>
        </w:numPr>
      </w:pPr>
      <w:r>
        <w:t xml:space="preserve">Площадь 18 900 м² — ниже ориентира постановки, каждая цифра выводится</w:t>
      </w:r>
      <w:r>
        <w:t xml:space="preserve"> </w:t>
      </w:r>
      <w:r>
        <w:t xml:space="preserve">из производительности участков; времена транспортировки в модели</w:t>
      </w:r>
      <w:r>
        <w:t xml:space="preserve"> </w:t>
      </w:r>
      <w:r>
        <w:t xml:space="preserve">сверены с геометрией плана.</w:t>
      </w:r>
    </w:p>
    <w:p>
      <w:pPr>
        <w:pStyle w:val="Compact"/>
        <w:numPr>
          <w:ilvl w:val="0"/>
          <w:numId w:val="1003"/>
        </w:numPr>
      </w:pPr>
      <w:r>
        <w:t xml:space="preserve">Модель выявляет проблемные зоны количественно: ворота (96 %), вскрытие</w:t>
      </w:r>
      <w:r>
        <w:t xml:space="preserve"> </w:t>
      </w:r>
      <w:r>
        <w:t xml:space="preserve">(96 %), ручной разбор (90 %), и показывает цену отказа от дробления</w:t>
      </w:r>
      <w:r>
        <w:t xml:space="preserve"> </w:t>
      </w:r>
      <w:r>
        <w:t xml:space="preserve">направлений — 7,6 % потока в сутки.</w:t>
      </w:r>
    </w:p>
    <w:p>
      <w:r>
        <w:pict>
          <v:rect style="width:0;height:1.5pt" o:hralign="center" o:hrstd="t" o:hr="t"/>
        </w:pict>
      </w:r>
    </w:p>
    <w:bookmarkEnd w:id="39"/>
    <w:bookmarkStart w:id="40" w:name="приложение-а.-комплект-материалов"/>
    <w:p>
      <w:pPr>
        <w:pStyle w:val="Heading2"/>
      </w:pPr>
      <w:r>
        <w:t xml:space="preserve">Приложение А. Комплект материалов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Материал</w:t>
            </w:r>
          </w:p>
        </w:tc>
        <w:tc>
          <w:tcPr/>
          <w:p>
            <w:pPr>
              <w:pStyle w:val="Compact"/>
            </w:pPr>
            <w:r>
              <w:t xml:space="preserve">Расположение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Аналитическая модель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docs/analytical_model.md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Реестр допущений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docs/assumptions.md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Компоновка и площадь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docs/layout.md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docs/layout_scheme.svg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Исходный код модели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src/sim/</w:t>
            </w:r>
            <w:r>
              <w:t xml:space="preserve"> </w:t>
            </w:r>
            <w:r>
              <w:t xml:space="preserve">(model.py, distributions.py, metrics.py)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Конфигурация параметров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dashboard/app.py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Инструкция запуска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Видеодемонстрация</w:t>
            </w:r>
          </w:p>
        </w:tc>
        <w:tc>
          <w:tcPr/>
          <w:p>
            <w:pPr>
              <w:pStyle w:val="Compact"/>
            </w:pPr>
            <w:r>
              <w:t xml:space="preserve">[ссылка — добавить]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Презентация</w:t>
            </w:r>
          </w:p>
        </w:tc>
        <w:tc>
          <w:tcPr/>
          <w:p>
            <w:pPr>
              <w:pStyle w:val="Compact"/>
            </w:pPr>
            <w:r>
              <w:t xml:space="preserve">[ссылка — добавить]</w:t>
            </w:r>
          </w:p>
        </w:tc>
      </w:tr>
    </w:tbl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2026-07-04T14:50:17Z</dcterms:created>
  <dcterms:modified xsi:type="dcterms:W3CDTF">2026-07-04T14:50:17Z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