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5DFA6" w14:textId="4ACF19D0" w:rsidR="00817301" w:rsidRDefault="00F97911">
      <w:r w:rsidRPr="00F97911">
        <w:t>https://www.energy.gov.au/publications/australian-petroleum-statistics-2024</w:t>
      </w:r>
    </w:p>
    <w:sectPr w:rsidR="008173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911"/>
    <w:rsid w:val="00404BA1"/>
    <w:rsid w:val="005D37EB"/>
    <w:rsid w:val="00817301"/>
    <w:rsid w:val="00B1400E"/>
    <w:rsid w:val="00BB4AFA"/>
    <w:rsid w:val="00F97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90387E"/>
  <w15:chartTrackingRefBased/>
  <w15:docId w15:val="{0045B002-91EB-7D4B-A153-44CC9D33D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79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79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79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79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79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79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79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79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79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79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79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79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79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79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79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79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79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79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79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79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79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79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79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79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79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79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79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79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79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YUNCHONG WU</dc:creator>
  <cp:keywords/>
  <dc:description/>
  <cp:lastModifiedBy>YUNCHONG WU</cp:lastModifiedBy>
  <cp:revision>1</cp:revision>
  <dcterms:created xsi:type="dcterms:W3CDTF">2024-03-23T17:50:00Z</dcterms:created>
  <dcterms:modified xsi:type="dcterms:W3CDTF">2024-03-23T17:52:00Z</dcterms:modified>
</cp:coreProperties>
</file>