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A7E9D" w14:textId="77777777" w:rsidR="00D0169D" w:rsidRPr="00791872" w:rsidRDefault="00000000" w:rsidP="00791872">
      <w:pPr>
        <w:spacing w:after="80" w:line="240" w:lineRule="auto"/>
        <w:jc w:val="center"/>
        <w:rPr>
          <w:b/>
          <w:bCs/>
          <w:sz w:val="28"/>
          <w:szCs w:val="28"/>
        </w:rPr>
      </w:pPr>
      <w:proofErr w:type="spellStart"/>
      <w:r w:rsidRPr="00791872">
        <w:rPr>
          <w:b/>
          <w:bCs/>
          <w:sz w:val="28"/>
          <w:szCs w:val="28"/>
        </w:rPr>
        <w:t>SignalHarbor</w:t>
      </w:r>
      <w:proofErr w:type="spellEnd"/>
      <w:r w:rsidRPr="00791872">
        <w:rPr>
          <w:b/>
          <w:bCs/>
          <w:sz w:val="28"/>
          <w:szCs w:val="28"/>
        </w:rPr>
        <w:t>: Systematic Multi-Asset Funds with News Sentiment</w:t>
      </w:r>
    </w:p>
    <w:p w14:paraId="003832B8" w14:textId="77777777" w:rsidR="00D0169D" w:rsidRDefault="00000000" w:rsidP="00791872">
      <w:pPr>
        <w:spacing w:after="80" w:line="240" w:lineRule="auto"/>
        <w:jc w:val="center"/>
      </w:pPr>
      <w:r>
        <w:t>FINS3645 Part B Report | z5516421</w:t>
      </w:r>
    </w:p>
    <w:p w14:paraId="077319B0" w14:textId="7192EC6C" w:rsidR="00F54713" w:rsidRPr="00F54713" w:rsidRDefault="00F54713" w:rsidP="00F54713">
      <w:pPr>
        <w:pStyle w:val="1"/>
        <w:spacing w:before="120" w:after="80" w:line="240" w:lineRule="auto"/>
        <w:rPr>
          <w:rFonts w:hint="eastAsia"/>
          <w:b w:val="0"/>
          <w:bCs w:val="0"/>
          <w:color w:val="000000" w:themeColor="text1"/>
          <w:sz w:val="20"/>
          <w:szCs w:val="20"/>
          <w:lang w:eastAsia="zh-CN"/>
        </w:rPr>
      </w:pPr>
      <w:r w:rsidRPr="00F54713">
        <w:rPr>
          <w:b w:val="0"/>
          <w:bCs w:val="0"/>
          <w:color w:val="000000" w:themeColor="text1"/>
          <w:sz w:val="20"/>
          <w:szCs w:val="20"/>
          <w:lang w:eastAsia="zh-CN"/>
        </w:rPr>
        <w:t>Public GitHub repository:</w:t>
      </w:r>
      <w:r>
        <w:rPr>
          <w:rFonts w:hint="eastAsia"/>
          <w:b w:val="0"/>
          <w:bCs w:val="0"/>
          <w:color w:val="000000" w:themeColor="text1"/>
          <w:sz w:val="20"/>
          <w:szCs w:val="20"/>
          <w:lang w:eastAsia="zh-CN"/>
        </w:rPr>
        <w:t xml:space="preserve">  </w:t>
      </w:r>
      <w:r w:rsidRPr="00F54713">
        <w:rPr>
          <w:b w:val="0"/>
          <w:bCs w:val="0"/>
          <w:color w:val="000000" w:themeColor="text1"/>
          <w:sz w:val="20"/>
          <w:szCs w:val="20"/>
          <w:lang w:eastAsia="zh-CN"/>
        </w:rPr>
        <w:t>https://github.com/z5516421/z5516421_projectB</w:t>
      </w:r>
    </w:p>
    <w:p w14:paraId="57E57BD6" w14:textId="41D9EC37" w:rsidR="00F54713" w:rsidRPr="00F54713" w:rsidRDefault="00F54713" w:rsidP="00F54713">
      <w:pPr>
        <w:pStyle w:val="1"/>
        <w:spacing w:before="120" w:after="80" w:line="240" w:lineRule="auto"/>
        <w:rPr>
          <w:b w:val="0"/>
          <w:bCs w:val="0"/>
          <w:color w:val="000000" w:themeColor="text1"/>
          <w:sz w:val="20"/>
          <w:szCs w:val="20"/>
          <w:lang w:eastAsia="zh-CN"/>
        </w:rPr>
      </w:pPr>
      <w:r w:rsidRPr="00F54713">
        <w:rPr>
          <w:b w:val="0"/>
          <w:bCs w:val="0"/>
          <w:color w:val="000000" w:themeColor="text1"/>
          <w:sz w:val="20"/>
          <w:szCs w:val="20"/>
          <w:lang w:eastAsia="zh-CN"/>
        </w:rPr>
        <w:t xml:space="preserve">Live </w:t>
      </w:r>
      <w:proofErr w:type="spellStart"/>
      <w:r w:rsidRPr="00F54713">
        <w:rPr>
          <w:b w:val="0"/>
          <w:bCs w:val="0"/>
          <w:color w:val="000000" w:themeColor="text1"/>
          <w:sz w:val="20"/>
          <w:szCs w:val="20"/>
          <w:lang w:eastAsia="zh-CN"/>
        </w:rPr>
        <w:t>Streamlit</w:t>
      </w:r>
      <w:proofErr w:type="spellEnd"/>
      <w:r w:rsidRPr="00F54713">
        <w:rPr>
          <w:b w:val="0"/>
          <w:bCs w:val="0"/>
          <w:color w:val="000000" w:themeColor="text1"/>
          <w:sz w:val="20"/>
          <w:szCs w:val="20"/>
          <w:lang w:eastAsia="zh-CN"/>
        </w:rPr>
        <w:t xml:space="preserve"> application:</w:t>
      </w:r>
      <w:r>
        <w:rPr>
          <w:rFonts w:hint="eastAsia"/>
          <w:b w:val="0"/>
          <w:bCs w:val="0"/>
          <w:color w:val="000000" w:themeColor="text1"/>
          <w:sz w:val="20"/>
          <w:szCs w:val="20"/>
          <w:lang w:eastAsia="zh-CN"/>
        </w:rPr>
        <w:t xml:space="preserve"> </w:t>
      </w:r>
      <w:r w:rsidRPr="00F54713">
        <w:rPr>
          <w:b w:val="0"/>
          <w:bCs w:val="0"/>
          <w:color w:val="000000" w:themeColor="text1"/>
          <w:sz w:val="20"/>
          <w:szCs w:val="20"/>
          <w:lang w:eastAsia="zh-CN"/>
        </w:rPr>
        <w:t>https://z5516421projectb-kz8ypey82moyim5u4aqbpq.streamlit.app/</w:t>
      </w:r>
    </w:p>
    <w:p w14:paraId="06FE5C9E" w14:textId="582328EA" w:rsidR="00117D1C" w:rsidRPr="007725F7" w:rsidRDefault="00000000" w:rsidP="00117D1C">
      <w:pPr>
        <w:pStyle w:val="1"/>
        <w:spacing w:before="120" w:after="80" w:line="240" w:lineRule="auto"/>
        <w:rPr>
          <w:sz w:val="28"/>
          <w:lang w:eastAsia="zh-CN"/>
        </w:rPr>
      </w:pPr>
      <w:r w:rsidRPr="007725F7">
        <w:rPr>
          <w:sz w:val="28"/>
        </w:rPr>
        <w:t>Executive Summary</w:t>
      </w:r>
    </w:p>
    <w:p w14:paraId="6733CD79" w14:textId="4C399A66" w:rsidR="00117D1C" w:rsidRPr="00880C38" w:rsidRDefault="00117D1C" w:rsidP="007725F7">
      <w:pPr>
        <w:pStyle w:val="af2"/>
        <w:spacing w:before="0" w:after="80" w:afterAutospacing="0"/>
        <w:jc w:val="both"/>
        <w:rPr>
          <w:rFonts w:ascii="Calibri" w:eastAsiaTheme="minorEastAsia" w:hAnsi="Calibri" w:cstheme="minorBidi"/>
          <w:sz w:val="22"/>
          <w:szCs w:val="22"/>
        </w:rPr>
      </w:pPr>
      <w:proofErr w:type="spellStart"/>
      <w:r w:rsidRPr="00880C38">
        <w:rPr>
          <w:rFonts w:ascii="Calibri" w:eastAsiaTheme="minorEastAsia" w:hAnsi="Calibri" w:cstheme="minorBidi"/>
          <w:sz w:val="22"/>
          <w:szCs w:val="22"/>
          <w:lang w:eastAsia="en-US"/>
        </w:rPr>
        <w:t>SignalHarbor</w:t>
      </w:r>
      <w:proofErr w:type="spellEnd"/>
      <w:r w:rsidRPr="00880C38">
        <w:rPr>
          <w:rFonts w:ascii="Calibri" w:eastAsiaTheme="minorEastAsia" w:hAnsi="Calibri" w:cstheme="minorBidi"/>
          <w:sz w:val="22"/>
          <w:szCs w:val="22"/>
          <w:lang w:eastAsia="en-US"/>
        </w:rPr>
        <w:t xml:space="preserve"> is an investor-facing prototype designed to compare systematic equity funds, cryptocurrency funds and combined multi-asset funds. This report focuses not on the code itself, but on a more practical investment question: after considering return, volatility, maximum drawdown, turnover and signal reliability together, which funds are more suitable as products for financially literate retail investors? </w:t>
      </w:r>
      <w:r w:rsidR="009208EA" w:rsidRPr="009208EA">
        <w:rPr>
          <w:rFonts w:ascii="Calibri" w:eastAsiaTheme="minorEastAsia" w:hAnsi="Calibri" w:cstheme="minorBidi"/>
          <w:sz w:val="22"/>
          <w:szCs w:val="22"/>
          <w:lang w:eastAsia="en-US"/>
        </w:rPr>
        <w:t>The report uses out-of-sample fund results, portfolio exposures, fact sheets and sector sentiment evidence to make this comparison.</w:t>
      </w:r>
      <w:r w:rsidR="009208EA" w:rsidRPr="009208EA">
        <w:rPr>
          <w:rFonts w:ascii="Calibri" w:eastAsiaTheme="minorEastAsia" w:hAnsi="Calibri" w:cstheme="minorBidi" w:hint="eastAsia"/>
          <w:sz w:val="22"/>
          <w:szCs w:val="22"/>
          <w:lang w:eastAsia="en-US"/>
        </w:rPr>
        <w:t xml:space="preserve"> </w:t>
      </w:r>
      <w:r w:rsidRPr="00880C38">
        <w:rPr>
          <w:rFonts w:ascii="Calibri" w:eastAsiaTheme="minorEastAsia" w:hAnsi="Calibri" w:cstheme="minorBidi"/>
          <w:sz w:val="22"/>
          <w:szCs w:val="22"/>
          <w:lang w:eastAsia="en-US"/>
        </w:rPr>
        <w:t>The central judgement is that high terminal wealth alone does not make a fund a better investment product.</w:t>
      </w:r>
      <w:r w:rsidRPr="00880C38">
        <w:rPr>
          <w:rFonts w:ascii="Calibri" w:eastAsiaTheme="minorEastAsia" w:hAnsi="Calibri" w:cstheme="minorBidi" w:hint="eastAsia"/>
          <w:sz w:val="22"/>
          <w:szCs w:val="22"/>
        </w:rPr>
        <w:t xml:space="preserve"> </w:t>
      </w:r>
      <w:r w:rsidRPr="00880C38">
        <w:rPr>
          <w:rFonts w:ascii="Calibri" w:eastAsiaTheme="minorEastAsia" w:hAnsi="Calibri" w:cstheme="minorBidi"/>
          <w:sz w:val="22"/>
          <w:szCs w:val="22"/>
          <w:lang w:eastAsia="en-US"/>
        </w:rPr>
        <w:t>If the path to that return involves extreme losses, unstable allocations or excessive trading intensity, the product may be unattractive for real investors.</w:t>
      </w:r>
    </w:p>
    <w:p w14:paraId="495E8C64" w14:textId="77777777" w:rsidR="00117D1C" w:rsidRDefault="00117D1C" w:rsidP="007725F7">
      <w:pPr>
        <w:pStyle w:val="af2"/>
        <w:spacing w:before="0" w:after="80" w:afterAutospacing="0"/>
        <w:jc w:val="both"/>
        <w:rPr>
          <w:rFonts w:ascii="Calibri" w:eastAsiaTheme="minorEastAsia" w:hAnsi="Calibri" w:cstheme="minorBidi"/>
          <w:sz w:val="22"/>
          <w:szCs w:val="22"/>
        </w:rPr>
      </w:pPr>
      <w:r w:rsidRPr="00880C38">
        <w:rPr>
          <w:rFonts w:ascii="Calibri" w:eastAsiaTheme="minorEastAsia" w:hAnsi="Calibri" w:cstheme="minorBidi"/>
          <w:sz w:val="22"/>
          <w:szCs w:val="22"/>
          <w:lang w:eastAsia="en-US"/>
        </w:rPr>
        <w:t xml:space="preserve">The OOS results show that raw return and </w:t>
      </w:r>
      <w:proofErr w:type="spellStart"/>
      <w:r w:rsidRPr="00880C38">
        <w:rPr>
          <w:rFonts w:ascii="Calibri" w:eastAsiaTheme="minorEastAsia" w:hAnsi="Calibri" w:cstheme="minorBidi"/>
          <w:sz w:val="22"/>
          <w:szCs w:val="22"/>
          <w:lang w:eastAsia="en-US"/>
        </w:rPr>
        <w:t>investability</w:t>
      </w:r>
      <w:proofErr w:type="spellEnd"/>
      <w:r w:rsidRPr="00880C38">
        <w:rPr>
          <w:rFonts w:ascii="Calibri" w:eastAsiaTheme="minorEastAsia" w:hAnsi="Calibri" w:cstheme="minorBidi"/>
          <w:sz w:val="22"/>
          <w:szCs w:val="22"/>
          <w:lang w:eastAsia="en-US"/>
        </w:rPr>
        <w:t xml:space="preserve"> are not the same. Crypto funds achieved the highest terminal wealth and </w:t>
      </w:r>
      <w:proofErr w:type="spellStart"/>
      <w:r w:rsidRPr="00880C38">
        <w:rPr>
          <w:rFonts w:ascii="Calibri" w:eastAsiaTheme="minorEastAsia" w:hAnsi="Calibri" w:cstheme="minorBidi"/>
          <w:sz w:val="22"/>
          <w:szCs w:val="22"/>
          <w:lang w:eastAsia="en-US"/>
        </w:rPr>
        <w:t>annualised</w:t>
      </w:r>
      <w:proofErr w:type="spellEnd"/>
      <w:r w:rsidRPr="00880C38">
        <w:rPr>
          <w:rFonts w:ascii="Calibri" w:eastAsiaTheme="minorEastAsia" w:hAnsi="Calibri" w:cstheme="minorBidi"/>
          <w:sz w:val="22"/>
          <w:szCs w:val="22"/>
          <w:lang w:eastAsia="en-US"/>
        </w:rPr>
        <w:t xml:space="preserve"> returns. Crypto Risk Parity, for example, grew $1 to $2.50 and produced an </w:t>
      </w:r>
      <w:proofErr w:type="spellStart"/>
      <w:r w:rsidRPr="00880C38">
        <w:rPr>
          <w:rFonts w:ascii="Calibri" w:eastAsiaTheme="minorEastAsia" w:hAnsi="Calibri" w:cstheme="minorBidi"/>
          <w:sz w:val="22"/>
          <w:szCs w:val="22"/>
          <w:lang w:eastAsia="en-US"/>
        </w:rPr>
        <w:t>annualised</w:t>
      </w:r>
      <w:proofErr w:type="spellEnd"/>
      <w:r w:rsidRPr="00880C38">
        <w:rPr>
          <w:rFonts w:ascii="Calibri" w:eastAsiaTheme="minorEastAsia" w:hAnsi="Calibri" w:cstheme="minorBidi"/>
          <w:sz w:val="22"/>
          <w:szCs w:val="22"/>
          <w:lang w:eastAsia="en-US"/>
        </w:rPr>
        <w:t xml:space="preserve"> return of 35.8%. However, these returns came with volatility close to 80% and maximum drawdowns above 80%, making pure crypto funds difficult to justify as default core holdings. By contrast, Equity Equal Weight achieved the highest Sharpe ratio across all 12 funds, at 0.82. Combined Risk Parity was the strongest risk-adjusted fund within the combined universe, with a Sharpe ratio of 0.79. This result suggests that </w:t>
      </w:r>
      <w:proofErr w:type="spellStart"/>
      <w:r w:rsidRPr="00880C38">
        <w:rPr>
          <w:rFonts w:ascii="Calibri" w:eastAsiaTheme="minorEastAsia" w:hAnsi="Calibri" w:cstheme="minorBidi"/>
          <w:sz w:val="22"/>
          <w:szCs w:val="22"/>
          <w:lang w:eastAsia="en-US"/>
        </w:rPr>
        <w:t>SignalHarbor</w:t>
      </w:r>
      <w:proofErr w:type="spellEnd"/>
      <w:r w:rsidRPr="00880C38">
        <w:rPr>
          <w:rFonts w:ascii="Calibri" w:eastAsiaTheme="minorEastAsia" w:hAnsi="Calibri" w:cstheme="minorBidi"/>
          <w:sz w:val="22"/>
          <w:szCs w:val="22"/>
          <w:lang w:eastAsia="en-US"/>
        </w:rPr>
        <w:t xml:space="preserve"> should not rank funds only by terminal wealth. Instead, it should help investors judge whether they can tolerate the volatility, drawdowns and rebalancing burden required to earn those returns.</w:t>
      </w:r>
    </w:p>
    <w:p w14:paraId="0C599ED4" w14:textId="4A159826" w:rsidR="009208EA" w:rsidRPr="00880C38" w:rsidRDefault="009208EA" w:rsidP="007725F7">
      <w:pPr>
        <w:pStyle w:val="af2"/>
        <w:spacing w:before="0" w:after="80" w:afterAutospacing="0"/>
        <w:jc w:val="both"/>
        <w:rPr>
          <w:rFonts w:ascii="Calibri" w:eastAsiaTheme="minorEastAsia" w:hAnsi="Calibri" w:cstheme="minorBidi"/>
          <w:sz w:val="22"/>
          <w:szCs w:val="22"/>
          <w:lang w:eastAsia="en-US"/>
        </w:rPr>
      </w:pPr>
      <w:proofErr w:type="spellStart"/>
      <w:r w:rsidRPr="009208EA">
        <w:rPr>
          <w:rFonts w:ascii="Calibri" w:eastAsiaTheme="minorEastAsia" w:hAnsi="Calibri" w:cstheme="minorBidi"/>
          <w:sz w:val="22"/>
          <w:szCs w:val="22"/>
          <w:lang w:eastAsia="en-US"/>
        </w:rPr>
        <w:t>SignalHarbor</w:t>
      </w:r>
      <w:proofErr w:type="spellEnd"/>
      <w:r w:rsidRPr="009208EA">
        <w:rPr>
          <w:rFonts w:ascii="Calibri" w:eastAsiaTheme="minorEastAsia" w:hAnsi="Calibri" w:cstheme="minorBidi"/>
          <w:sz w:val="22"/>
          <w:szCs w:val="22"/>
          <w:lang w:eastAsia="en-US"/>
        </w:rPr>
        <w:t xml:space="preserve"> is therefore positioned as a fund comparison and portfolio allocation tool rather than a return-chasing crypto product or a pure sentiment-timing strategy. It helps financially literate retail investors compare return, risk, drawdown and implementation burden before allocating capital.</w:t>
      </w:r>
    </w:p>
    <w:p w14:paraId="7047476A" w14:textId="77777777" w:rsidR="00117D1C" w:rsidRPr="00880C38" w:rsidRDefault="00117D1C" w:rsidP="007725F7">
      <w:pPr>
        <w:pStyle w:val="af2"/>
        <w:spacing w:before="0" w:after="80" w:afterAutospacing="0"/>
        <w:jc w:val="both"/>
        <w:rPr>
          <w:rFonts w:ascii="Calibri" w:eastAsiaTheme="minorEastAsia" w:hAnsi="Calibri" w:cstheme="minorBidi"/>
          <w:sz w:val="22"/>
          <w:szCs w:val="22"/>
          <w:lang w:eastAsia="en-US"/>
        </w:rPr>
      </w:pPr>
      <w:r w:rsidRPr="00880C38">
        <w:rPr>
          <w:rFonts w:ascii="Calibri" w:eastAsiaTheme="minorEastAsia" w:hAnsi="Calibri" w:cstheme="minorBidi"/>
          <w:sz w:val="22"/>
          <w:szCs w:val="22"/>
          <w:lang w:eastAsia="en-US"/>
        </w:rPr>
        <w:t>The main extension in this report</w:t>
      </w:r>
      <w:r w:rsidRPr="00880C38">
        <w:rPr>
          <w:rFonts w:ascii="Calibri" w:eastAsiaTheme="minorEastAsia" w:hAnsi="Calibri" w:cstheme="minorBidi" w:hint="eastAsia"/>
          <w:sz w:val="22"/>
          <w:szCs w:val="22"/>
        </w:rPr>
        <w:t xml:space="preserve"> </w:t>
      </w:r>
      <w:r w:rsidRPr="00880C38">
        <w:rPr>
          <w:rFonts w:ascii="Calibri" w:eastAsiaTheme="minorEastAsia" w:hAnsi="Calibri" w:cstheme="minorBidi"/>
          <w:sz w:val="22"/>
          <w:szCs w:val="22"/>
          <w:lang w:eastAsia="en-US"/>
        </w:rPr>
        <w:t>is a coverage-aware sector sentiment signal. Specifically, I first use finance-augmented VADER to score equity news headlines, so that the sentiment scores better reflect market language. I then adjust the lagged sector sentiment z-score using the previous day’s news coverage ratio. The logic is that if a sector sentiment signal is based on news from only a small number of stocks, it should not receive too much weight. If news coverage is broader, the signal is more credible. The out-of-sample test does not support using this signal directly as a trading engine. The sentiment overlay changed portfolio weights and increased turnover, but it did not improve the Sharpe ratio or downside protection. Therefore, the value of this extension is not that it proves sentiment is already a mature alpha source. Its value is that it provides an explainable, look-ahead-safe and out-of-sample-tested research signal, and presents that signal transparently in the app.</w:t>
      </w:r>
    </w:p>
    <w:p w14:paraId="798BA1B8" w14:textId="77777777" w:rsidR="00D0169D" w:rsidRPr="007725F7" w:rsidRDefault="00000000" w:rsidP="004A3550">
      <w:pPr>
        <w:pStyle w:val="1"/>
        <w:spacing w:before="120" w:after="80" w:line="240" w:lineRule="auto"/>
        <w:rPr>
          <w:sz w:val="28"/>
          <w:lang w:eastAsia="zh-CN"/>
        </w:rPr>
      </w:pPr>
      <w:r w:rsidRPr="007725F7">
        <w:rPr>
          <w:sz w:val="28"/>
        </w:rPr>
        <w:t xml:space="preserve">Funds and </w:t>
      </w:r>
      <w:proofErr w:type="spellStart"/>
      <w:r w:rsidRPr="007725F7">
        <w:rPr>
          <w:sz w:val="28"/>
        </w:rPr>
        <w:t>Backtest</w:t>
      </w:r>
      <w:proofErr w:type="spellEnd"/>
      <w:r w:rsidRPr="007725F7">
        <w:rPr>
          <w:sz w:val="28"/>
        </w:rPr>
        <w:t xml:space="preserve"> Design</w:t>
      </w:r>
    </w:p>
    <w:p w14:paraId="7CC8058D" w14:textId="685FBB27" w:rsidR="00117D1C" w:rsidRDefault="00117D1C" w:rsidP="00117D1C">
      <w:pPr>
        <w:pStyle w:val="pdq2pgselectionanchorcontainer"/>
        <w:spacing w:before="0" w:after="80"/>
        <w:jc w:val="both"/>
        <w:rPr>
          <w:rFonts w:ascii="Calibri" w:eastAsiaTheme="minorEastAsia" w:hAnsi="Calibri" w:cstheme="minorBidi"/>
          <w:sz w:val="22"/>
          <w:szCs w:val="22"/>
          <w:lang w:eastAsia="en-US"/>
        </w:rPr>
      </w:pPr>
      <w:proofErr w:type="spellStart"/>
      <w:r w:rsidRPr="00117D1C">
        <w:rPr>
          <w:rFonts w:ascii="Calibri" w:eastAsiaTheme="minorEastAsia" w:hAnsi="Calibri" w:cstheme="minorBidi"/>
          <w:sz w:val="22"/>
          <w:szCs w:val="22"/>
          <w:lang w:eastAsia="en-US"/>
        </w:rPr>
        <w:t>SignalHarbor</w:t>
      </w:r>
      <w:proofErr w:type="spellEnd"/>
      <w:r w:rsidRPr="00117D1C">
        <w:rPr>
          <w:rFonts w:ascii="Calibri" w:eastAsiaTheme="minorEastAsia" w:hAnsi="Calibri" w:cstheme="minorBidi"/>
          <w:sz w:val="22"/>
          <w:szCs w:val="22"/>
          <w:lang w:eastAsia="en-US"/>
        </w:rPr>
        <w:t xml:space="preserve"> builds 12 funds by combining three asset universes with four portfolio-construction methods. The equity universe uses 50 listed US stocks, the crypto universe uses 10 cryptocurrencies, and the combined universe puts both groups into one tradable multi-asset setting. Each universe-method pair is treated as a separate fund. This means, for example, that Combined Risk Parity, Crypto Equal Weight and Equity Tangency are different products, but they can still be judged using the same out-of-sample performance framework.</w:t>
      </w:r>
    </w:p>
    <w:p w14:paraId="208A0037" w14:textId="1FC698D5" w:rsidR="00011515" w:rsidRPr="001F5BEA" w:rsidRDefault="00011515" w:rsidP="00C16C8C">
      <w:pPr>
        <w:pStyle w:val="pdq2pgselectionanchorcontainer"/>
        <w:spacing w:before="0" w:after="80"/>
        <w:jc w:val="both"/>
        <w:rPr>
          <w:rFonts w:ascii="Calibri" w:eastAsiaTheme="minorEastAsia" w:hAnsi="Calibri" w:cstheme="minorBidi"/>
          <w:sz w:val="22"/>
          <w:szCs w:val="22"/>
          <w:lang w:eastAsia="en-US"/>
        </w:rPr>
      </w:pPr>
      <w:r w:rsidRPr="001F5BEA">
        <w:rPr>
          <w:rFonts w:ascii="Calibri" w:eastAsiaTheme="minorEastAsia" w:hAnsi="Calibri" w:cstheme="minorBidi"/>
          <w:sz w:val="22"/>
          <w:szCs w:val="22"/>
          <w:lang w:eastAsia="en-US"/>
        </w:rPr>
        <w:lastRenderedPageBreak/>
        <w:t>The four methods were chosen because they make different trade-offs between simplicity, risk control and forecasting</w:t>
      </w:r>
      <w:r w:rsidR="00790945">
        <w:rPr>
          <w:rFonts w:ascii="Calibri" w:eastAsiaTheme="minorEastAsia" w:hAnsi="Calibri" w:cstheme="minorBidi" w:hint="eastAsia"/>
          <w:sz w:val="22"/>
          <w:szCs w:val="22"/>
        </w:rPr>
        <w:t xml:space="preserve"> </w:t>
      </w:r>
      <w:r w:rsidRPr="001F5BEA">
        <w:rPr>
          <w:rFonts w:ascii="Calibri" w:eastAsiaTheme="minorEastAsia" w:hAnsi="Calibri" w:cstheme="minorBidi"/>
          <w:sz w:val="22"/>
          <w:szCs w:val="22"/>
          <w:lang w:eastAsia="en-US"/>
        </w:rPr>
        <w:t>(Markowitz, 1952). Equal Weight is the clearest benchmark because it spreads capital evenly and makes very few forecasts (DeMiguel et al., 2009). It gives up the chance to use estimated expected returns, while also avoiding the damage caused by poor estimates. Minimum Variance uses the covariance matrix to target lower volatility, so it is more model-based but still avoids expected-return forecasts. Tangency is the most forecast-dependent method because it uses estimated returns and covariances to target the highest expected excess return per unit of risk. This makes it theoretically attractive, but also fragile when expected returns are noisy in short samples. Risk Parity also uses covariance information, although its focus is risk balance rather than return prediction (Maillard et al., 2010). This setup lets the report test whether extra optimisation improves out-of-sample investor outcomes, or whether simpler diversification produces a more robust fund.</w:t>
      </w:r>
    </w:p>
    <w:p w14:paraId="7D105935" w14:textId="56963FE4" w:rsidR="00D0169D" w:rsidRPr="007824A7" w:rsidRDefault="007824A7" w:rsidP="00C16C8C">
      <w:pPr>
        <w:pStyle w:val="af2"/>
        <w:jc w:val="both"/>
      </w:pPr>
      <w:r w:rsidRPr="007824A7">
        <w:rPr>
          <w:rFonts w:ascii="Calibri" w:eastAsiaTheme="minorEastAsia" w:hAnsi="Calibri" w:cstheme="minorBidi"/>
          <w:sz w:val="22"/>
          <w:szCs w:val="22"/>
          <w:lang w:eastAsia="en-US"/>
        </w:rPr>
        <w:t xml:space="preserve">The comparison therefore tests whether additional optimisation complexity improves realised investor outcomes after considering weight stability, turnover and drawdown. Performance is measured with a walk-forward OOS backtest. The initial estimation window is calendar year 2020. At each monthly rebalance, weights are estimated using only information available before the live month, and those weights are then applied to the following month of returns. This expanding-window design reduces look-ahead bias. The first live date is 4 January 2021 for Equity and Combined funds, which use equity trading days, and 1 January 2021 for Crypto funds, which use calendar days. </w:t>
      </w:r>
      <w:r w:rsidR="004E3839" w:rsidRPr="004E3839">
        <w:rPr>
          <w:rFonts w:ascii="Calibri" w:eastAsiaTheme="minorEastAsia" w:hAnsi="Calibri" w:cstheme="minorBidi"/>
          <w:sz w:val="22"/>
          <w:szCs w:val="22"/>
          <w:lang w:eastAsia="en-US"/>
        </w:rPr>
        <w:t>For the Combined universe, crypto returns are first computed on the crypto calendar and then aligned to equity trading dates, so weekend-only crypto returns are not rolled into Monday.</w:t>
      </w:r>
      <w:r w:rsidR="004E3839">
        <w:t xml:space="preserve"> </w:t>
      </w:r>
      <w:r w:rsidRPr="007824A7">
        <w:rPr>
          <w:rFonts w:ascii="Calibri" w:eastAsiaTheme="minorEastAsia" w:hAnsi="Calibri" w:cstheme="minorBidi"/>
          <w:sz w:val="22"/>
          <w:szCs w:val="22"/>
          <w:lang w:eastAsia="en-US"/>
        </w:rPr>
        <w:t>Each fund completed 36 monthly rebalances during the 2021–2023 OOS period. Equity and Combined funds were annualised using 252 trading days, while Crypto funds were annualised using 365 calendar days.</w:t>
      </w:r>
    </w:p>
    <w:p w14:paraId="2764DBE9" w14:textId="7EA89CF8" w:rsidR="00EF04C4" w:rsidRDefault="00000000" w:rsidP="004A3550">
      <w:pPr>
        <w:pStyle w:val="pdq2pgselectionanchorcontainer"/>
        <w:spacing w:before="0" w:after="80"/>
        <w:jc w:val="both"/>
        <w:rPr>
          <w:rFonts w:ascii="Calibri" w:eastAsiaTheme="minorEastAsia" w:hAnsi="Calibri" w:cstheme="minorBidi"/>
          <w:sz w:val="22"/>
          <w:szCs w:val="22"/>
        </w:rPr>
      </w:pPr>
      <w:r w:rsidRPr="004A3550">
        <w:rPr>
          <w:rFonts w:ascii="Calibri" w:eastAsiaTheme="minorEastAsia" w:hAnsi="Calibri" w:cstheme="minorBidi"/>
          <w:sz w:val="22"/>
          <w:szCs w:val="22"/>
          <w:lang w:eastAsia="en-US"/>
        </w:rPr>
        <w:t>All portfolios are long-only and fully invested, so weights are non-negative and sum to one. The baseline risk-free rate is 0%. Equity and Combined results are annualised using 252 trading days, while Crypto results use 365 calendar days because crypto trades continuously.</w:t>
      </w:r>
      <w:r w:rsidR="00EF04C4" w:rsidRPr="00EF04C4">
        <w:rPr>
          <w:rFonts w:ascii="Calibri" w:eastAsiaTheme="minorEastAsia" w:hAnsi="Calibri" w:cstheme="minorBidi"/>
          <w:sz w:val="22"/>
          <w:szCs w:val="22"/>
          <w:lang w:eastAsia="en-US"/>
        </w:rPr>
        <w:t xml:space="preserve"> The Sharpe ratio is calculated from the mean daily excess return divided by daily return volatility, multiplied by the square root of the relevant </w:t>
      </w:r>
      <w:proofErr w:type="spellStart"/>
      <w:r w:rsidR="00EF04C4" w:rsidRPr="00EF04C4">
        <w:rPr>
          <w:rFonts w:ascii="Calibri" w:eastAsiaTheme="minorEastAsia" w:hAnsi="Calibri" w:cstheme="minorBidi"/>
          <w:sz w:val="22"/>
          <w:szCs w:val="22"/>
          <w:lang w:eastAsia="en-US"/>
        </w:rPr>
        <w:t>annualisation</w:t>
      </w:r>
      <w:proofErr w:type="spellEnd"/>
      <w:r w:rsidR="00EF04C4" w:rsidRPr="00EF04C4">
        <w:rPr>
          <w:rFonts w:ascii="Calibri" w:eastAsiaTheme="minorEastAsia" w:hAnsi="Calibri" w:cstheme="minorBidi"/>
          <w:sz w:val="22"/>
          <w:szCs w:val="22"/>
          <w:lang w:eastAsia="en-US"/>
        </w:rPr>
        <w:t xml:space="preserve"> factor. CAGR is reported separately as </w:t>
      </w:r>
      <w:proofErr w:type="spellStart"/>
      <w:r w:rsidR="00EF04C4" w:rsidRPr="00EF04C4">
        <w:rPr>
          <w:rFonts w:ascii="Calibri" w:eastAsiaTheme="minorEastAsia" w:hAnsi="Calibri" w:cstheme="minorBidi"/>
          <w:sz w:val="22"/>
          <w:szCs w:val="22"/>
          <w:lang w:eastAsia="en-US"/>
        </w:rPr>
        <w:t>annualised</w:t>
      </w:r>
      <w:proofErr w:type="spellEnd"/>
      <w:r w:rsidR="00EF04C4" w:rsidRPr="00EF04C4">
        <w:rPr>
          <w:rFonts w:ascii="Calibri" w:eastAsiaTheme="minorEastAsia" w:hAnsi="Calibri" w:cstheme="minorBidi"/>
          <w:sz w:val="22"/>
          <w:szCs w:val="22"/>
          <w:lang w:eastAsia="en-US"/>
        </w:rPr>
        <w:t xml:space="preserve"> return and is not used as the Sharpe numerator.</w:t>
      </w:r>
    </w:p>
    <w:p w14:paraId="773B2EED" w14:textId="17CC4493" w:rsidR="00712742" w:rsidRPr="00712742" w:rsidRDefault="004E3839" w:rsidP="004A3550">
      <w:pPr>
        <w:pStyle w:val="pdq2pgselectionanchorcontainer"/>
        <w:spacing w:before="0" w:after="80"/>
        <w:jc w:val="both"/>
        <w:rPr>
          <w:rFonts w:ascii="Calibri" w:eastAsiaTheme="minorEastAsia" w:hAnsi="Calibri" w:cstheme="minorBidi"/>
          <w:sz w:val="22"/>
          <w:szCs w:val="22"/>
          <w:lang w:eastAsia="en-US"/>
        </w:rPr>
      </w:pPr>
      <w:r w:rsidRPr="004E3839">
        <w:rPr>
          <w:rFonts w:ascii="Calibri" w:eastAsiaTheme="minorEastAsia" w:hAnsi="Calibri" w:cstheme="minorBidi"/>
          <w:sz w:val="22"/>
          <w:szCs w:val="22"/>
          <w:lang w:eastAsia="en-US"/>
        </w:rPr>
        <w:t>Turnover is measured from the drifted pre-rebalance weights to the new target weights.</w:t>
      </w:r>
      <w:r>
        <w:rPr>
          <w:rFonts w:ascii="Calibri" w:eastAsiaTheme="minorEastAsia" w:hAnsi="Calibri" w:cstheme="minorBidi" w:hint="eastAsia"/>
          <w:sz w:val="22"/>
          <w:szCs w:val="22"/>
        </w:rPr>
        <w:t xml:space="preserve"> </w:t>
      </w:r>
      <w:r w:rsidR="00712742" w:rsidRPr="00712742">
        <w:rPr>
          <w:rFonts w:ascii="Calibri" w:eastAsiaTheme="minorEastAsia" w:hAnsi="Calibri" w:cstheme="minorBidi"/>
          <w:sz w:val="22"/>
          <w:szCs w:val="22"/>
          <w:lang w:eastAsia="en-US"/>
        </w:rPr>
        <w:t>Transaction costs and management fees are set to zero in the baseline results. Turnover is reported separately to show trading intensity and implementation burden. News sentiment is used only in the equity overlay experiment and is lagged before trading.</w:t>
      </w:r>
      <w:r w:rsidR="00712742" w:rsidRPr="004A3550">
        <w:rPr>
          <w:rFonts w:ascii="Calibri" w:eastAsiaTheme="minorEastAsia" w:hAnsi="Calibri" w:cstheme="minorBidi"/>
          <w:sz w:val="22"/>
          <w:szCs w:val="22"/>
          <w:lang w:eastAsia="en-US"/>
        </w:rPr>
        <w:t xml:space="preserve"> </w:t>
      </w:r>
      <w:r w:rsidR="00712742" w:rsidRPr="00712742">
        <w:rPr>
          <w:rFonts w:ascii="Calibri" w:eastAsiaTheme="minorEastAsia" w:hAnsi="Calibri" w:cstheme="minorBidi"/>
          <w:sz w:val="22"/>
          <w:szCs w:val="22"/>
          <w:lang w:eastAsia="en-US"/>
        </w:rPr>
        <w:t xml:space="preserve">Equal Weight uses </w:t>
      </w:r>
      <w:bookmarkStart w:id="0" w:name="OLE_LINK3"/>
      <m:oMath>
        <m:sSub>
          <m:sSubPr>
            <m:ctrlPr>
              <w:rPr>
                <w:rFonts w:ascii="Cambria Math" w:eastAsiaTheme="minorEastAsia" w:hAnsi="Cambria Math" w:cstheme="minorBidi"/>
                <w:i/>
                <w:sz w:val="22"/>
                <w:szCs w:val="22"/>
                <w:lang w:eastAsia="en-US"/>
              </w:rPr>
            </m:ctrlPr>
          </m:sSubPr>
          <m:e>
            <m:r>
              <w:rPr>
                <w:rFonts w:ascii="Cambria Math" w:eastAsiaTheme="minorEastAsia" w:hAnsi="Cambria Math" w:cstheme="minorBidi"/>
                <w:sz w:val="22"/>
                <w:szCs w:val="22"/>
                <w:lang w:eastAsia="en-US"/>
              </w:rPr>
              <m:t>w</m:t>
            </m:r>
          </m:e>
          <m:sub>
            <m:r>
              <w:rPr>
                <w:rFonts w:ascii="Cambria Math" w:eastAsiaTheme="minorEastAsia" w:hAnsi="Cambria Math" w:cstheme="minorBidi"/>
                <w:sz w:val="22"/>
                <w:szCs w:val="22"/>
                <w:lang w:eastAsia="en-US"/>
              </w:rPr>
              <m:t>i</m:t>
            </m:r>
          </m:sub>
        </m:sSub>
      </m:oMath>
      <w:bookmarkEnd w:id="0"/>
      <w:r w:rsidR="00712742" w:rsidRPr="004A3550">
        <w:rPr>
          <w:rFonts w:ascii="Calibri" w:eastAsiaTheme="minorEastAsia" w:hAnsi="Calibri" w:cstheme="minorBidi"/>
          <w:sz w:val="22"/>
          <w:szCs w:val="22"/>
          <w:lang w:eastAsia="en-US"/>
        </w:rPr>
        <w:t>= 1/N</w:t>
      </w:r>
      <w:r w:rsidR="00712742" w:rsidRPr="00712742">
        <w:rPr>
          <w:rFonts w:ascii="Calibri" w:eastAsiaTheme="minorEastAsia" w:hAnsi="Calibri" w:cstheme="minorBidi"/>
          <w:sz w:val="22"/>
          <w:szCs w:val="22"/>
          <w:lang w:eastAsia="en-US"/>
        </w:rPr>
        <w:t xml:space="preserve">. Minimum Variance minimizes </w:t>
      </w:r>
      <m:oMath>
        <m:r>
          <w:rPr>
            <w:rFonts w:ascii="Cambria Math" w:eastAsiaTheme="minorEastAsia" w:hAnsi="Cambria Math" w:cstheme="minorBidi"/>
            <w:sz w:val="22"/>
            <w:szCs w:val="22"/>
            <w:lang w:eastAsia="en-US"/>
          </w:rPr>
          <m:t>w</m:t>
        </m:r>
        <m:r>
          <m:rPr>
            <m:sty m:val="p"/>
          </m:rPr>
          <w:rPr>
            <w:rFonts w:ascii="Cambria Math" w:eastAsiaTheme="minorEastAsia" w:hAnsi="Cambria Math" w:cstheme="minorBidi"/>
            <w:sz w:val="22"/>
            <w:szCs w:val="22"/>
            <w:lang w:eastAsia="en-US"/>
          </w:rPr>
          <m:t>'</m:t>
        </m:r>
        <m:r>
          <m:rPr>
            <m:sty m:val="p"/>
          </m:rPr>
          <w:rPr>
            <w:rFonts w:ascii="Cambria Math" w:eastAsiaTheme="minorEastAsia" w:hAnsi="Cambria Math" w:cstheme="minorBidi" w:hint="eastAsia"/>
            <w:sz w:val="22"/>
            <w:szCs w:val="22"/>
            <w:lang w:eastAsia="en-US"/>
          </w:rPr>
          <m:t>Σ</m:t>
        </m:r>
        <m:r>
          <w:rPr>
            <w:rFonts w:ascii="Cambria Math" w:eastAsiaTheme="minorEastAsia" w:hAnsi="Cambria Math" w:cstheme="minorBidi" w:hint="eastAsia"/>
            <w:sz w:val="22"/>
            <w:szCs w:val="22"/>
            <w:lang w:eastAsia="en-US"/>
          </w:rPr>
          <m:t>w</m:t>
        </m:r>
      </m:oMath>
      <w:r w:rsidR="00712742" w:rsidRPr="00712742">
        <w:rPr>
          <w:rFonts w:ascii="Calibri" w:eastAsiaTheme="minorEastAsia" w:hAnsi="Calibri" w:cstheme="minorBidi"/>
          <w:sz w:val="22"/>
          <w:szCs w:val="22"/>
          <w:lang w:eastAsia="en-US"/>
        </w:rPr>
        <w:t>. Tangency maximises expected excess return per unit of portfolio volatility. Risk Parity aims to equalise each asset’s contribution to total portfolio risk.</w:t>
      </w:r>
    </w:p>
    <w:p w14:paraId="348430DC" w14:textId="77777777" w:rsidR="00D0169D" w:rsidRPr="007725F7" w:rsidRDefault="00000000">
      <w:pPr>
        <w:pStyle w:val="af2"/>
        <w:keepNext/>
        <w:spacing w:before="40" w:after="60"/>
        <w:jc w:val="both"/>
        <w:rPr>
          <w:rFonts w:asciiTheme="majorHAnsi" w:hAnsiTheme="majorHAnsi" w:cstheme="majorHAnsi"/>
          <w:color w:val="000000" w:themeColor="text1"/>
        </w:rPr>
      </w:pPr>
      <w:r w:rsidRPr="007725F7">
        <w:rPr>
          <w:rFonts w:asciiTheme="majorHAnsi" w:hAnsiTheme="majorHAnsi" w:cstheme="majorHAnsi"/>
          <w:sz w:val="19"/>
        </w:rPr>
        <w:t xml:space="preserve">Table 1. Fund construction and </w:t>
      </w:r>
      <w:proofErr w:type="spellStart"/>
      <w:r w:rsidRPr="007725F7">
        <w:rPr>
          <w:rFonts w:asciiTheme="majorHAnsi" w:hAnsiTheme="majorHAnsi" w:cstheme="majorHAnsi"/>
          <w:sz w:val="19"/>
        </w:rPr>
        <w:t>backtest</w:t>
      </w:r>
      <w:proofErr w:type="spellEnd"/>
      <w:r w:rsidRPr="007725F7">
        <w:rPr>
          <w:rFonts w:asciiTheme="majorHAnsi" w:hAnsiTheme="majorHAnsi" w:cstheme="majorHAnsi"/>
          <w:sz w:val="19"/>
        </w:rPr>
        <w:t xml:space="preserve"> design</w:t>
      </w:r>
    </w:p>
    <w:tbl>
      <w:tblPr>
        <w:tblStyle w:val="af5"/>
        <w:tblW w:w="0" w:type="auto"/>
        <w:tblInd w:w="108" w:type="dxa"/>
        <w:tblLayout w:type="fixed"/>
        <w:tblLook w:val="04A0" w:firstRow="1" w:lastRow="0" w:firstColumn="1" w:lastColumn="0" w:noHBand="0" w:noVBand="1"/>
      </w:tblPr>
      <w:tblGrid>
        <w:gridCol w:w="2234"/>
        <w:gridCol w:w="6741"/>
      </w:tblGrid>
      <w:tr w:rsidR="00D0169D" w:rsidRPr="008D384D" w14:paraId="227C7773" w14:textId="77777777" w:rsidTr="009B2E8F">
        <w:trPr>
          <w:cantSplit/>
          <w:trHeight w:val="297"/>
        </w:trPr>
        <w:tc>
          <w:tcPr>
            <w:tcW w:w="2234" w:type="dxa"/>
            <w:tcBorders>
              <w:top w:val="single" w:sz="4" w:space="0" w:color="auto"/>
              <w:left w:val="single" w:sz="4" w:space="0" w:color="auto"/>
              <w:bottom w:val="single" w:sz="4" w:space="0" w:color="auto"/>
              <w:right w:val="single" w:sz="4" w:space="0" w:color="auto"/>
            </w:tcBorders>
          </w:tcPr>
          <w:p w14:paraId="4E533E04" w14:textId="77777777" w:rsidR="00D0169D" w:rsidRPr="00F1611B" w:rsidRDefault="00000000">
            <w:pPr>
              <w:spacing w:after="0"/>
              <w:rPr>
                <w:rFonts w:asciiTheme="majorHAnsi" w:hAnsiTheme="majorHAnsi" w:cstheme="majorHAnsi"/>
                <w:sz w:val="18"/>
                <w:szCs w:val="18"/>
              </w:rPr>
            </w:pPr>
            <w:r w:rsidRPr="00F1611B">
              <w:rPr>
                <w:rFonts w:asciiTheme="majorHAnsi" w:hAnsiTheme="majorHAnsi" w:cstheme="majorHAnsi"/>
                <w:sz w:val="18"/>
                <w:szCs w:val="18"/>
              </w:rPr>
              <w:t>Design choice</w:t>
            </w:r>
          </w:p>
        </w:tc>
        <w:tc>
          <w:tcPr>
            <w:tcW w:w="6741" w:type="dxa"/>
            <w:tcBorders>
              <w:top w:val="single" w:sz="4" w:space="0" w:color="auto"/>
              <w:left w:val="single" w:sz="4" w:space="0" w:color="auto"/>
              <w:bottom w:val="single" w:sz="4" w:space="0" w:color="auto"/>
              <w:right w:val="single" w:sz="4" w:space="0" w:color="auto"/>
            </w:tcBorders>
          </w:tcPr>
          <w:p w14:paraId="6A7EEDFA" w14:textId="77777777" w:rsidR="00D0169D" w:rsidRPr="00F1611B" w:rsidRDefault="00000000">
            <w:pPr>
              <w:spacing w:after="0"/>
              <w:rPr>
                <w:rFonts w:asciiTheme="majorHAnsi" w:hAnsiTheme="majorHAnsi" w:cstheme="majorHAnsi"/>
                <w:sz w:val="18"/>
                <w:szCs w:val="18"/>
              </w:rPr>
            </w:pPr>
            <w:proofErr w:type="spellStart"/>
            <w:r w:rsidRPr="00F1611B">
              <w:rPr>
                <w:rFonts w:asciiTheme="majorHAnsi" w:hAnsiTheme="majorHAnsi" w:cstheme="majorHAnsi"/>
                <w:sz w:val="18"/>
                <w:szCs w:val="18"/>
              </w:rPr>
              <w:t>SignalHarbor</w:t>
            </w:r>
            <w:proofErr w:type="spellEnd"/>
            <w:r w:rsidRPr="00F1611B">
              <w:rPr>
                <w:rFonts w:asciiTheme="majorHAnsi" w:hAnsiTheme="majorHAnsi" w:cstheme="majorHAnsi"/>
                <w:sz w:val="18"/>
                <w:szCs w:val="18"/>
              </w:rPr>
              <w:t xml:space="preserve"> setting</w:t>
            </w:r>
          </w:p>
        </w:tc>
      </w:tr>
      <w:tr w:rsidR="00D0169D" w:rsidRPr="008D384D" w14:paraId="164BF936" w14:textId="77777777" w:rsidTr="009B2E8F">
        <w:trPr>
          <w:cantSplit/>
          <w:trHeight w:val="297"/>
        </w:trPr>
        <w:tc>
          <w:tcPr>
            <w:tcW w:w="2234" w:type="dxa"/>
            <w:tcBorders>
              <w:top w:val="single" w:sz="4" w:space="0" w:color="auto"/>
              <w:left w:val="single" w:sz="4" w:space="0" w:color="auto"/>
              <w:bottom w:val="single" w:sz="4" w:space="0" w:color="auto"/>
              <w:right w:val="single" w:sz="4" w:space="0" w:color="auto"/>
            </w:tcBorders>
          </w:tcPr>
          <w:p w14:paraId="1BFF3246" w14:textId="77777777" w:rsidR="00D0169D" w:rsidRPr="00F1611B" w:rsidRDefault="00000000">
            <w:pPr>
              <w:spacing w:after="0"/>
              <w:rPr>
                <w:rFonts w:asciiTheme="majorHAnsi" w:hAnsiTheme="majorHAnsi" w:cstheme="majorHAnsi"/>
                <w:sz w:val="18"/>
                <w:szCs w:val="18"/>
              </w:rPr>
            </w:pPr>
            <w:r w:rsidRPr="00F1611B">
              <w:rPr>
                <w:rFonts w:asciiTheme="majorHAnsi" w:hAnsiTheme="majorHAnsi" w:cstheme="majorHAnsi"/>
                <w:sz w:val="18"/>
                <w:szCs w:val="18"/>
              </w:rPr>
              <w:t>Universes</w:t>
            </w:r>
          </w:p>
        </w:tc>
        <w:tc>
          <w:tcPr>
            <w:tcW w:w="6741" w:type="dxa"/>
            <w:tcBorders>
              <w:top w:val="single" w:sz="4" w:space="0" w:color="auto"/>
              <w:left w:val="single" w:sz="4" w:space="0" w:color="auto"/>
              <w:bottom w:val="single" w:sz="4" w:space="0" w:color="auto"/>
              <w:right w:val="single" w:sz="4" w:space="0" w:color="auto"/>
            </w:tcBorders>
          </w:tcPr>
          <w:p w14:paraId="28386373" w14:textId="77777777" w:rsidR="00D0169D" w:rsidRPr="00F1611B" w:rsidRDefault="00000000">
            <w:pPr>
              <w:spacing w:after="0"/>
              <w:rPr>
                <w:rFonts w:asciiTheme="majorHAnsi" w:hAnsiTheme="majorHAnsi" w:cstheme="majorHAnsi"/>
                <w:sz w:val="18"/>
                <w:szCs w:val="18"/>
              </w:rPr>
            </w:pPr>
            <w:r w:rsidRPr="00F1611B">
              <w:rPr>
                <w:rFonts w:asciiTheme="majorHAnsi" w:hAnsiTheme="majorHAnsi" w:cstheme="majorHAnsi"/>
                <w:sz w:val="18"/>
                <w:szCs w:val="18"/>
              </w:rPr>
              <w:t>Equity-only, Crypto-only, Combined</w:t>
            </w:r>
          </w:p>
        </w:tc>
      </w:tr>
      <w:tr w:rsidR="00D0169D" w:rsidRPr="008D384D" w14:paraId="2789C62C" w14:textId="77777777" w:rsidTr="009B2E8F">
        <w:trPr>
          <w:cantSplit/>
          <w:trHeight w:val="297"/>
        </w:trPr>
        <w:tc>
          <w:tcPr>
            <w:tcW w:w="2234" w:type="dxa"/>
            <w:tcBorders>
              <w:top w:val="single" w:sz="4" w:space="0" w:color="auto"/>
              <w:left w:val="single" w:sz="4" w:space="0" w:color="auto"/>
              <w:bottom w:val="single" w:sz="4" w:space="0" w:color="auto"/>
              <w:right w:val="single" w:sz="4" w:space="0" w:color="auto"/>
            </w:tcBorders>
          </w:tcPr>
          <w:p w14:paraId="7BA45C90" w14:textId="77777777" w:rsidR="00D0169D" w:rsidRPr="00F1611B" w:rsidRDefault="00000000">
            <w:pPr>
              <w:spacing w:after="0"/>
              <w:rPr>
                <w:rFonts w:asciiTheme="majorHAnsi" w:hAnsiTheme="majorHAnsi" w:cstheme="majorHAnsi"/>
                <w:sz w:val="18"/>
                <w:szCs w:val="18"/>
              </w:rPr>
            </w:pPr>
            <w:r w:rsidRPr="00F1611B">
              <w:rPr>
                <w:rFonts w:asciiTheme="majorHAnsi" w:hAnsiTheme="majorHAnsi" w:cstheme="majorHAnsi"/>
                <w:sz w:val="18"/>
                <w:szCs w:val="18"/>
              </w:rPr>
              <w:t>Methods</w:t>
            </w:r>
          </w:p>
        </w:tc>
        <w:tc>
          <w:tcPr>
            <w:tcW w:w="6741" w:type="dxa"/>
            <w:tcBorders>
              <w:top w:val="single" w:sz="4" w:space="0" w:color="auto"/>
              <w:left w:val="single" w:sz="4" w:space="0" w:color="auto"/>
              <w:bottom w:val="single" w:sz="4" w:space="0" w:color="auto"/>
              <w:right w:val="single" w:sz="4" w:space="0" w:color="auto"/>
            </w:tcBorders>
          </w:tcPr>
          <w:p w14:paraId="6B7FF93F" w14:textId="77777777" w:rsidR="00D0169D" w:rsidRPr="00F1611B" w:rsidRDefault="00000000">
            <w:pPr>
              <w:spacing w:after="0"/>
              <w:rPr>
                <w:rFonts w:asciiTheme="majorHAnsi" w:hAnsiTheme="majorHAnsi" w:cstheme="majorHAnsi"/>
                <w:sz w:val="18"/>
                <w:szCs w:val="18"/>
              </w:rPr>
            </w:pPr>
            <w:r w:rsidRPr="00F1611B">
              <w:rPr>
                <w:rFonts w:asciiTheme="majorHAnsi" w:hAnsiTheme="majorHAnsi" w:cstheme="majorHAnsi"/>
                <w:sz w:val="18"/>
                <w:szCs w:val="18"/>
              </w:rPr>
              <w:t>Equal Weight, Minimum Variance, Tangency, Risk Parity</w:t>
            </w:r>
          </w:p>
        </w:tc>
      </w:tr>
      <w:tr w:rsidR="00D0169D" w:rsidRPr="008D384D" w14:paraId="01DEA591" w14:textId="77777777" w:rsidTr="009B2E8F">
        <w:trPr>
          <w:cantSplit/>
          <w:trHeight w:val="297"/>
        </w:trPr>
        <w:tc>
          <w:tcPr>
            <w:tcW w:w="2234" w:type="dxa"/>
            <w:tcBorders>
              <w:top w:val="single" w:sz="4" w:space="0" w:color="auto"/>
              <w:left w:val="single" w:sz="4" w:space="0" w:color="auto"/>
              <w:bottom w:val="single" w:sz="4" w:space="0" w:color="auto"/>
              <w:right w:val="single" w:sz="4" w:space="0" w:color="auto"/>
            </w:tcBorders>
          </w:tcPr>
          <w:p w14:paraId="6B844931" w14:textId="77777777" w:rsidR="00D0169D" w:rsidRPr="00F1611B" w:rsidRDefault="00000000">
            <w:pPr>
              <w:spacing w:after="0"/>
              <w:rPr>
                <w:rFonts w:asciiTheme="majorHAnsi" w:hAnsiTheme="majorHAnsi" w:cstheme="majorHAnsi"/>
                <w:sz w:val="18"/>
                <w:szCs w:val="18"/>
              </w:rPr>
            </w:pPr>
            <w:r w:rsidRPr="00F1611B">
              <w:rPr>
                <w:rFonts w:asciiTheme="majorHAnsi" w:hAnsiTheme="majorHAnsi" w:cstheme="majorHAnsi"/>
                <w:sz w:val="18"/>
                <w:szCs w:val="18"/>
              </w:rPr>
              <w:t>Constraint</w:t>
            </w:r>
          </w:p>
        </w:tc>
        <w:tc>
          <w:tcPr>
            <w:tcW w:w="6741" w:type="dxa"/>
            <w:tcBorders>
              <w:top w:val="single" w:sz="4" w:space="0" w:color="auto"/>
              <w:left w:val="single" w:sz="4" w:space="0" w:color="auto"/>
              <w:bottom w:val="single" w:sz="4" w:space="0" w:color="auto"/>
              <w:right w:val="single" w:sz="4" w:space="0" w:color="auto"/>
            </w:tcBorders>
          </w:tcPr>
          <w:p w14:paraId="4CF8DA61" w14:textId="77777777" w:rsidR="00D0169D" w:rsidRPr="00F1611B" w:rsidRDefault="00000000">
            <w:pPr>
              <w:spacing w:after="0"/>
              <w:rPr>
                <w:rFonts w:asciiTheme="majorHAnsi" w:hAnsiTheme="majorHAnsi" w:cstheme="majorHAnsi"/>
                <w:sz w:val="18"/>
                <w:szCs w:val="18"/>
                <w:lang w:val="en-AU"/>
              </w:rPr>
            </w:pPr>
            <w:r w:rsidRPr="00F1611B">
              <w:rPr>
                <w:rFonts w:asciiTheme="majorHAnsi" w:hAnsiTheme="majorHAnsi" w:cstheme="majorHAnsi"/>
                <w:sz w:val="18"/>
                <w:szCs w:val="18"/>
              </w:rPr>
              <w:t>Long-only</w:t>
            </w:r>
            <w:r w:rsidR="00404E82" w:rsidRPr="00F1611B">
              <w:rPr>
                <w:rFonts w:asciiTheme="majorHAnsi" w:hAnsiTheme="majorHAnsi" w:cstheme="majorHAnsi"/>
                <w:sz w:val="18"/>
                <w:szCs w:val="18"/>
                <w:lang w:eastAsia="zh-CN"/>
              </w:rPr>
              <w:t xml:space="preserve"> and </w:t>
            </w:r>
            <w:r w:rsidRPr="00F1611B">
              <w:rPr>
                <w:rFonts w:asciiTheme="majorHAnsi" w:hAnsiTheme="majorHAnsi" w:cstheme="majorHAnsi"/>
                <w:sz w:val="18"/>
                <w:szCs w:val="18"/>
              </w:rPr>
              <w:t xml:space="preserve">fully invested: </w:t>
            </w:r>
            <m:oMath>
              <m:sSub>
                <m:sSubPr>
                  <m:ctrlPr>
                    <w:rPr>
                      <w:rFonts w:ascii="Cambria Math" w:hAnsi="Cambria Math" w:cstheme="majorHAnsi"/>
                      <w:i/>
                      <w:sz w:val="18"/>
                      <w:szCs w:val="18"/>
                    </w:rPr>
                  </m:ctrlPr>
                </m:sSubPr>
                <m:e>
                  <m:r>
                    <w:rPr>
                      <w:rFonts w:ascii="Cambria Math" w:hAnsi="Cambria Math" w:cstheme="majorHAnsi"/>
                      <w:sz w:val="18"/>
                      <w:szCs w:val="18"/>
                    </w:rPr>
                    <m:t>w</m:t>
                  </m:r>
                </m:e>
                <m:sub>
                  <m:r>
                    <w:rPr>
                      <w:rFonts w:ascii="Cambria Math" w:hAnsi="Cambria Math" w:cstheme="majorHAnsi"/>
                      <w:sz w:val="18"/>
                      <w:szCs w:val="18"/>
                    </w:rPr>
                    <m:t>i</m:t>
                  </m:r>
                </m:sub>
              </m:sSub>
              <m:r>
                <w:rPr>
                  <w:rFonts w:ascii="Cambria Math" w:hAnsi="Cambria Math" w:cstheme="majorHAnsi"/>
                  <w:sz w:val="18"/>
                  <w:szCs w:val="18"/>
                </w:rPr>
                <m:t>≥</m:t>
              </m:r>
            </m:oMath>
            <w:r w:rsidRPr="00F1611B">
              <w:rPr>
                <w:rFonts w:asciiTheme="majorHAnsi" w:hAnsiTheme="majorHAnsi" w:cstheme="majorHAnsi"/>
                <w:sz w:val="18"/>
                <w:szCs w:val="18"/>
              </w:rPr>
              <w:t xml:space="preserve">0 and </w:t>
            </w:r>
            <m:oMath>
              <m:sSub>
                <m:sSubPr>
                  <m:ctrlPr>
                    <w:rPr>
                      <w:rFonts w:ascii="Cambria Math" w:hAnsi="Cambria Math" w:cstheme="majorHAnsi"/>
                      <w:i/>
                      <w:sz w:val="18"/>
                      <w:szCs w:val="18"/>
                      <w:lang w:val="en-AU"/>
                    </w:rPr>
                  </m:ctrlPr>
                </m:sSubPr>
                <m:e>
                  <m:r>
                    <m:rPr>
                      <m:sty m:val="p"/>
                    </m:rPr>
                    <w:rPr>
                      <w:rFonts w:ascii="Cambria Math" w:hAnsi="Cambria Math" w:cstheme="majorHAnsi"/>
                      <w:sz w:val="18"/>
                      <w:szCs w:val="18"/>
                    </w:rPr>
                    <m:t>Σ</m:t>
                  </m:r>
                  <m:ctrlPr>
                    <w:rPr>
                      <w:rFonts w:ascii="Cambria Math" w:hAnsi="Cambria Math" w:cstheme="majorHAnsi"/>
                      <w:sz w:val="18"/>
                      <w:szCs w:val="18"/>
                    </w:rPr>
                  </m:ctrlPr>
                </m:e>
                <m:sub>
                  <m:r>
                    <w:rPr>
                      <w:rFonts w:ascii="Cambria Math" w:hAnsi="Cambria Math" w:cstheme="majorHAnsi"/>
                      <w:sz w:val="18"/>
                      <w:szCs w:val="18"/>
                      <w:lang w:val="en-AU"/>
                    </w:rPr>
                    <m:t>i</m:t>
                  </m:r>
                </m:sub>
              </m:sSub>
              <m:sSub>
                <m:sSubPr>
                  <m:ctrlPr>
                    <w:rPr>
                      <w:rFonts w:ascii="Cambria Math" w:hAnsi="Cambria Math" w:cstheme="majorHAnsi"/>
                      <w:i/>
                      <w:sz w:val="18"/>
                      <w:szCs w:val="18"/>
                      <w:lang w:val="en-AU"/>
                    </w:rPr>
                  </m:ctrlPr>
                </m:sSubPr>
                <m:e>
                  <m:r>
                    <w:rPr>
                      <w:rFonts w:ascii="Cambria Math" w:hAnsi="Cambria Math" w:cstheme="majorHAnsi"/>
                      <w:sz w:val="18"/>
                      <w:szCs w:val="18"/>
                      <w:lang w:val="en-AU"/>
                    </w:rPr>
                    <m:t>w</m:t>
                  </m:r>
                </m:e>
                <m:sub>
                  <m:r>
                    <w:rPr>
                      <w:rFonts w:ascii="Cambria Math" w:hAnsi="Cambria Math" w:cstheme="majorHAnsi"/>
                      <w:sz w:val="18"/>
                      <w:szCs w:val="18"/>
                      <w:lang w:val="en-AU"/>
                    </w:rPr>
                    <m:t>i</m:t>
                  </m:r>
                </m:sub>
              </m:sSub>
            </m:oMath>
            <w:r w:rsidRPr="00F1611B">
              <w:rPr>
                <w:rFonts w:asciiTheme="majorHAnsi" w:hAnsiTheme="majorHAnsi" w:cstheme="majorHAnsi"/>
                <w:sz w:val="18"/>
                <w:szCs w:val="18"/>
              </w:rPr>
              <w:t>= 1</w:t>
            </w:r>
          </w:p>
        </w:tc>
      </w:tr>
      <w:tr w:rsidR="00D0169D" w:rsidRPr="008D384D" w14:paraId="690EC89A" w14:textId="77777777" w:rsidTr="009B2E8F">
        <w:trPr>
          <w:cantSplit/>
          <w:trHeight w:val="297"/>
        </w:trPr>
        <w:tc>
          <w:tcPr>
            <w:tcW w:w="2234" w:type="dxa"/>
            <w:tcBorders>
              <w:top w:val="single" w:sz="4" w:space="0" w:color="auto"/>
              <w:left w:val="single" w:sz="4" w:space="0" w:color="auto"/>
              <w:bottom w:val="single" w:sz="4" w:space="0" w:color="auto"/>
              <w:right w:val="single" w:sz="4" w:space="0" w:color="auto"/>
            </w:tcBorders>
          </w:tcPr>
          <w:p w14:paraId="5582557C" w14:textId="77777777" w:rsidR="00D0169D" w:rsidRPr="00F1611B" w:rsidRDefault="00000000">
            <w:pPr>
              <w:spacing w:after="0"/>
              <w:rPr>
                <w:rFonts w:asciiTheme="majorHAnsi" w:hAnsiTheme="majorHAnsi" w:cstheme="majorHAnsi"/>
                <w:sz w:val="18"/>
                <w:szCs w:val="18"/>
              </w:rPr>
            </w:pPr>
            <w:r w:rsidRPr="00F1611B">
              <w:rPr>
                <w:rFonts w:asciiTheme="majorHAnsi" w:hAnsiTheme="majorHAnsi" w:cstheme="majorHAnsi"/>
                <w:sz w:val="18"/>
                <w:szCs w:val="18"/>
              </w:rPr>
              <w:t>Rebalancing</w:t>
            </w:r>
          </w:p>
        </w:tc>
        <w:tc>
          <w:tcPr>
            <w:tcW w:w="6741" w:type="dxa"/>
            <w:tcBorders>
              <w:top w:val="single" w:sz="4" w:space="0" w:color="auto"/>
              <w:left w:val="single" w:sz="4" w:space="0" w:color="auto"/>
              <w:bottom w:val="single" w:sz="4" w:space="0" w:color="auto"/>
              <w:right w:val="single" w:sz="4" w:space="0" w:color="auto"/>
            </w:tcBorders>
          </w:tcPr>
          <w:p w14:paraId="04165D87" w14:textId="77777777" w:rsidR="00D0169D" w:rsidRPr="00F1611B" w:rsidRDefault="00000000">
            <w:pPr>
              <w:spacing w:after="0"/>
              <w:rPr>
                <w:rFonts w:asciiTheme="majorHAnsi" w:hAnsiTheme="majorHAnsi" w:cstheme="majorHAnsi"/>
                <w:sz w:val="18"/>
                <w:szCs w:val="18"/>
              </w:rPr>
            </w:pPr>
            <w:r w:rsidRPr="00F1611B">
              <w:rPr>
                <w:rFonts w:asciiTheme="majorHAnsi" w:hAnsiTheme="majorHAnsi" w:cstheme="majorHAnsi"/>
                <w:sz w:val="18"/>
                <w:szCs w:val="18"/>
              </w:rPr>
              <w:t>Monthly</w:t>
            </w:r>
          </w:p>
        </w:tc>
      </w:tr>
      <w:tr w:rsidR="00D0169D" w:rsidRPr="008D384D" w14:paraId="516D2781" w14:textId="77777777" w:rsidTr="009B2E8F">
        <w:trPr>
          <w:cantSplit/>
          <w:trHeight w:val="297"/>
        </w:trPr>
        <w:tc>
          <w:tcPr>
            <w:tcW w:w="2234" w:type="dxa"/>
            <w:tcBorders>
              <w:top w:val="single" w:sz="4" w:space="0" w:color="auto"/>
              <w:left w:val="single" w:sz="4" w:space="0" w:color="auto"/>
              <w:bottom w:val="single" w:sz="4" w:space="0" w:color="auto"/>
              <w:right w:val="single" w:sz="4" w:space="0" w:color="auto"/>
            </w:tcBorders>
          </w:tcPr>
          <w:p w14:paraId="77329D80" w14:textId="77777777" w:rsidR="00D0169D" w:rsidRPr="00F1611B" w:rsidRDefault="00000000">
            <w:pPr>
              <w:spacing w:after="0"/>
              <w:rPr>
                <w:rFonts w:asciiTheme="majorHAnsi" w:hAnsiTheme="majorHAnsi" w:cstheme="majorHAnsi"/>
                <w:sz w:val="18"/>
                <w:szCs w:val="18"/>
              </w:rPr>
            </w:pPr>
            <w:proofErr w:type="spellStart"/>
            <w:r w:rsidRPr="00F1611B">
              <w:rPr>
                <w:rFonts w:asciiTheme="majorHAnsi" w:hAnsiTheme="majorHAnsi" w:cstheme="majorHAnsi"/>
                <w:sz w:val="18"/>
                <w:szCs w:val="18"/>
              </w:rPr>
              <w:t>Backtest</w:t>
            </w:r>
            <w:proofErr w:type="spellEnd"/>
          </w:p>
        </w:tc>
        <w:tc>
          <w:tcPr>
            <w:tcW w:w="6741" w:type="dxa"/>
            <w:tcBorders>
              <w:top w:val="single" w:sz="4" w:space="0" w:color="auto"/>
              <w:left w:val="single" w:sz="4" w:space="0" w:color="auto"/>
              <w:bottom w:val="single" w:sz="4" w:space="0" w:color="auto"/>
              <w:right w:val="single" w:sz="4" w:space="0" w:color="auto"/>
            </w:tcBorders>
          </w:tcPr>
          <w:p w14:paraId="6BD1245E" w14:textId="77777777" w:rsidR="00D0169D" w:rsidRPr="00F1611B" w:rsidRDefault="00000000">
            <w:pPr>
              <w:spacing w:after="0"/>
              <w:rPr>
                <w:rFonts w:asciiTheme="majorHAnsi" w:hAnsiTheme="majorHAnsi" w:cstheme="majorHAnsi"/>
                <w:sz w:val="18"/>
                <w:szCs w:val="18"/>
              </w:rPr>
            </w:pPr>
            <w:r w:rsidRPr="00F1611B">
              <w:rPr>
                <w:rFonts w:asciiTheme="majorHAnsi" w:hAnsiTheme="majorHAnsi" w:cstheme="majorHAnsi"/>
                <w:sz w:val="18"/>
                <w:szCs w:val="18"/>
              </w:rPr>
              <w:t>Walk-forward out-of-sample, 2021-2023</w:t>
            </w:r>
          </w:p>
        </w:tc>
      </w:tr>
      <w:tr w:rsidR="00D0169D" w:rsidRPr="008D384D" w14:paraId="4785E18B" w14:textId="77777777" w:rsidTr="009B2E8F">
        <w:trPr>
          <w:cantSplit/>
          <w:trHeight w:val="297"/>
        </w:trPr>
        <w:tc>
          <w:tcPr>
            <w:tcW w:w="2234" w:type="dxa"/>
            <w:tcBorders>
              <w:top w:val="single" w:sz="4" w:space="0" w:color="auto"/>
              <w:left w:val="single" w:sz="4" w:space="0" w:color="auto"/>
              <w:bottom w:val="single" w:sz="4" w:space="0" w:color="auto"/>
              <w:right w:val="single" w:sz="4" w:space="0" w:color="auto"/>
            </w:tcBorders>
          </w:tcPr>
          <w:p w14:paraId="6391555B" w14:textId="77777777" w:rsidR="00D0169D" w:rsidRPr="00F1611B" w:rsidRDefault="00000000">
            <w:pPr>
              <w:spacing w:after="0"/>
              <w:rPr>
                <w:rFonts w:asciiTheme="majorHAnsi" w:hAnsiTheme="majorHAnsi" w:cstheme="majorHAnsi"/>
                <w:sz w:val="18"/>
                <w:szCs w:val="18"/>
              </w:rPr>
            </w:pPr>
            <w:r w:rsidRPr="00F1611B">
              <w:rPr>
                <w:rFonts w:asciiTheme="majorHAnsi" w:hAnsiTheme="majorHAnsi" w:cstheme="majorHAnsi"/>
                <w:sz w:val="18"/>
                <w:szCs w:val="18"/>
              </w:rPr>
              <w:t>Estimation</w:t>
            </w:r>
          </w:p>
        </w:tc>
        <w:tc>
          <w:tcPr>
            <w:tcW w:w="6741" w:type="dxa"/>
            <w:tcBorders>
              <w:top w:val="single" w:sz="4" w:space="0" w:color="auto"/>
              <w:left w:val="single" w:sz="4" w:space="0" w:color="auto"/>
              <w:bottom w:val="single" w:sz="4" w:space="0" w:color="auto"/>
              <w:right w:val="single" w:sz="4" w:space="0" w:color="auto"/>
            </w:tcBorders>
          </w:tcPr>
          <w:p w14:paraId="59846790" w14:textId="77777777" w:rsidR="00D0169D" w:rsidRPr="00F1611B" w:rsidRDefault="00000000">
            <w:pPr>
              <w:spacing w:after="0"/>
              <w:rPr>
                <w:rFonts w:asciiTheme="majorHAnsi" w:hAnsiTheme="majorHAnsi" w:cstheme="majorHAnsi"/>
                <w:sz w:val="18"/>
                <w:szCs w:val="18"/>
              </w:rPr>
            </w:pPr>
            <w:r w:rsidRPr="00F1611B">
              <w:rPr>
                <w:rFonts w:asciiTheme="majorHAnsi" w:hAnsiTheme="majorHAnsi" w:cstheme="majorHAnsi"/>
                <w:sz w:val="18"/>
                <w:szCs w:val="18"/>
              </w:rPr>
              <w:t>Expanding window</w:t>
            </w:r>
            <w:r w:rsidR="00404E82" w:rsidRPr="00F1611B">
              <w:rPr>
                <w:rFonts w:asciiTheme="majorHAnsi" w:hAnsiTheme="majorHAnsi" w:cstheme="majorHAnsi"/>
                <w:sz w:val="18"/>
                <w:szCs w:val="18"/>
                <w:lang w:eastAsia="zh-CN"/>
              </w:rPr>
              <w:t xml:space="preserve">, </w:t>
            </w:r>
            <w:r w:rsidRPr="00F1611B">
              <w:rPr>
                <w:rFonts w:asciiTheme="majorHAnsi" w:hAnsiTheme="majorHAnsi" w:cstheme="majorHAnsi"/>
                <w:sz w:val="18"/>
                <w:szCs w:val="18"/>
              </w:rPr>
              <w:t>2020 initial estimation period</w:t>
            </w:r>
            <w:r w:rsidR="00404E82" w:rsidRPr="00F1611B">
              <w:rPr>
                <w:rFonts w:asciiTheme="majorHAnsi" w:hAnsiTheme="majorHAnsi" w:cstheme="majorHAnsi"/>
                <w:sz w:val="18"/>
                <w:szCs w:val="18"/>
              </w:rPr>
              <w:t>,</w:t>
            </w:r>
            <w:r w:rsidRPr="00F1611B">
              <w:rPr>
                <w:rFonts w:asciiTheme="majorHAnsi" w:hAnsiTheme="majorHAnsi" w:cstheme="majorHAnsi"/>
                <w:sz w:val="18"/>
                <w:szCs w:val="18"/>
              </w:rPr>
              <w:t xml:space="preserve"> past data only</w:t>
            </w:r>
          </w:p>
        </w:tc>
      </w:tr>
      <w:tr w:rsidR="00D0169D" w:rsidRPr="008D384D" w14:paraId="0DF90826" w14:textId="77777777" w:rsidTr="009B2E8F">
        <w:trPr>
          <w:cantSplit/>
          <w:trHeight w:val="297"/>
        </w:trPr>
        <w:tc>
          <w:tcPr>
            <w:tcW w:w="2234" w:type="dxa"/>
            <w:tcBorders>
              <w:top w:val="single" w:sz="4" w:space="0" w:color="auto"/>
              <w:left w:val="single" w:sz="4" w:space="0" w:color="auto"/>
              <w:bottom w:val="single" w:sz="4" w:space="0" w:color="auto"/>
              <w:right w:val="single" w:sz="4" w:space="0" w:color="auto"/>
            </w:tcBorders>
          </w:tcPr>
          <w:p w14:paraId="762A705A" w14:textId="77777777" w:rsidR="00D0169D" w:rsidRPr="00F1611B" w:rsidRDefault="00000000">
            <w:pPr>
              <w:spacing w:after="0"/>
              <w:rPr>
                <w:rFonts w:asciiTheme="majorHAnsi" w:hAnsiTheme="majorHAnsi" w:cstheme="majorHAnsi"/>
                <w:sz w:val="18"/>
                <w:szCs w:val="18"/>
              </w:rPr>
            </w:pPr>
            <w:r w:rsidRPr="00F1611B">
              <w:rPr>
                <w:rFonts w:asciiTheme="majorHAnsi" w:hAnsiTheme="majorHAnsi" w:cstheme="majorHAnsi"/>
                <w:sz w:val="18"/>
                <w:szCs w:val="18"/>
              </w:rPr>
              <w:t>Risk-free rate</w:t>
            </w:r>
          </w:p>
        </w:tc>
        <w:tc>
          <w:tcPr>
            <w:tcW w:w="6741" w:type="dxa"/>
            <w:tcBorders>
              <w:top w:val="single" w:sz="4" w:space="0" w:color="auto"/>
              <w:left w:val="single" w:sz="4" w:space="0" w:color="auto"/>
              <w:bottom w:val="single" w:sz="4" w:space="0" w:color="auto"/>
              <w:right w:val="single" w:sz="4" w:space="0" w:color="auto"/>
            </w:tcBorders>
          </w:tcPr>
          <w:p w14:paraId="55252B40" w14:textId="77777777" w:rsidR="00D0169D" w:rsidRPr="00F1611B" w:rsidRDefault="00000000">
            <w:pPr>
              <w:spacing w:after="0"/>
              <w:rPr>
                <w:rFonts w:asciiTheme="majorHAnsi" w:hAnsiTheme="majorHAnsi" w:cstheme="majorHAnsi"/>
                <w:sz w:val="18"/>
                <w:szCs w:val="18"/>
              </w:rPr>
            </w:pPr>
            <w:r w:rsidRPr="00F1611B">
              <w:rPr>
                <w:rFonts w:asciiTheme="majorHAnsi" w:hAnsiTheme="majorHAnsi" w:cstheme="majorHAnsi"/>
                <w:sz w:val="18"/>
                <w:szCs w:val="18"/>
              </w:rPr>
              <w:t>0%</w:t>
            </w:r>
          </w:p>
        </w:tc>
      </w:tr>
      <w:tr w:rsidR="00D0169D" w:rsidRPr="008D384D" w14:paraId="29F84E8F" w14:textId="77777777" w:rsidTr="009B2E8F">
        <w:trPr>
          <w:cantSplit/>
          <w:trHeight w:val="297"/>
        </w:trPr>
        <w:tc>
          <w:tcPr>
            <w:tcW w:w="2234" w:type="dxa"/>
            <w:tcBorders>
              <w:top w:val="single" w:sz="4" w:space="0" w:color="auto"/>
              <w:left w:val="single" w:sz="4" w:space="0" w:color="auto"/>
              <w:bottom w:val="single" w:sz="4" w:space="0" w:color="auto"/>
              <w:right w:val="single" w:sz="4" w:space="0" w:color="auto"/>
            </w:tcBorders>
          </w:tcPr>
          <w:p w14:paraId="25BA61BD" w14:textId="77777777" w:rsidR="00D0169D" w:rsidRPr="00F1611B" w:rsidRDefault="00000000">
            <w:pPr>
              <w:spacing w:after="0"/>
              <w:rPr>
                <w:rFonts w:asciiTheme="majorHAnsi" w:hAnsiTheme="majorHAnsi" w:cstheme="majorHAnsi"/>
                <w:sz w:val="18"/>
                <w:szCs w:val="18"/>
              </w:rPr>
            </w:pPr>
            <w:r w:rsidRPr="00F1611B">
              <w:rPr>
                <w:rFonts w:asciiTheme="majorHAnsi" w:hAnsiTheme="majorHAnsi" w:cstheme="majorHAnsi"/>
                <w:sz w:val="18"/>
                <w:szCs w:val="18"/>
              </w:rPr>
              <w:t>Transaction costs</w:t>
            </w:r>
          </w:p>
        </w:tc>
        <w:tc>
          <w:tcPr>
            <w:tcW w:w="6741" w:type="dxa"/>
            <w:tcBorders>
              <w:top w:val="single" w:sz="4" w:space="0" w:color="auto"/>
              <w:left w:val="single" w:sz="4" w:space="0" w:color="auto"/>
              <w:bottom w:val="single" w:sz="4" w:space="0" w:color="auto"/>
              <w:right w:val="single" w:sz="4" w:space="0" w:color="auto"/>
            </w:tcBorders>
          </w:tcPr>
          <w:p w14:paraId="7A445185" w14:textId="77777777" w:rsidR="00D0169D" w:rsidRPr="00F1611B" w:rsidRDefault="00000000">
            <w:pPr>
              <w:spacing w:after="0"/>
              <w:rPr>
                <w:rFonts w:asciiTheme="majorHAnsi" w:hAnsiTheme="majorHAnsi" w:cstheme="majorHAnsi"/>
                <w:sz w:val="18"/>
                <w:szCs w:val="18"/>
              </w:rPr>
            </w:pPr>
            <w:r w:rsidRPr="00F1611B">
              <w:rPr>
                <w:rFonts w:asciiTheme="majorHAnsi" w:hAnsiTheme="majorHAnsi" w:cstheme="majorHAnsi"/>
                <w:sz w:val="18"/>
                <w:szCs w:val="18"/>
              </w:rPr>
              <w:t>0% baseline</w:t>
            </w:r>
            <w:r w:rsidR="00404E82" w:rsidRPr="00F1611B">
              <w:rPr>
                <w:rFonts w:asciiTheme="majorHAnsi" w:hAnsiTheme="majorHAnsi" w:cstheme="majorHAnsi"/>
                <w:sz w:val="18"/>
                <w:szCs w:val="18"/>
              </w:rPr>
              <w:t>,</w:t>
            </w:r>
            <w:r w:rsidRPr="00F1611B">
              <w:rPr>
                <w:rFonts w:asciiTheme="majorHAnsi" w:hAnsiTheme="majorHAnsi" w:cstheme="majorHAnsi"/>
                <w:sz w:val="18"/>
                <w:szCs w:val="18"/>
              </w:rPr>
              <w:t xml:space="preserve"> turnover reported separately</w:t>
            </w:r>
          </w:p>
        </w:tc>
      </w:tr>
      <w:tr w:rsidR="00D0169D" w:rsidRPr="008D384D" w14:paraId="1F93BA1F" w14:textId="77777777" w:rsidTr="009B2E8F">
        <w:trPr>
          <w:cantSplit/>
          <w:trHeight w:val="297"/>
        </w:trPr>
        <w:tc>
          <w:tcPr>
            <w:tcW w:w="2234" w:type="dxa"/>
            <w:tcBorders>
              <w:top w:val="single" w:sz="4" w:space="0" w:color="auto"/>
              <w:left w:val="single" w:sz="4" w:space="0" w:color="auto"/>
              <w:bottom w:val="single" w:sz="4" w:space="0" w:color="auto"/>
              <w:right w:val="single" w:sz="4" w:space="0" w:color="auto"/>
            </w:tcBorders>
          </w:tcPr>
          <w:p w14:paraId="35EA855D" w14:textId="77777777" w:rsidR="00D0169D" w:rsidRPr="00F1611B" w:rsidRDefault="00712742">
            <w:pPr>
              <w:spacing w:after="0"/>
              <w:rPr>
                <w:rFonts w:asciiTheme="majorHAnsi" w:hAnsiTheme="majorHAnsi" w:cstheme="majorHAnsi"/>
                <w:sz w:val="18"/>
                <w:szCs w:val="18"/>
              </w:rPr>
            </w:pPr>
            <w:proofErr w:type="spellStart"/>
            <w:r w:rsidRPr="00F1611B">
              <w:rPr>
                <w:rFonts w:asciiTheme="majorHAnsi" w:hAnsiTheme="majorHAnsi" w:cstheme="majorHAnsi"/>
                <w:sz w:val="18"/>
                <w:szCs w:val="18"/>
              </w:rPr>
              <w:lastRenderedPageBreak/>
              <w:t>Annuali</w:t>
            </w:r>
            <w:r w:rsidR="00404E82" w:rsidRPr="00F1611B">
              <w:rPr>
                <w:rFonts w:asciiTheme="majorHAnsi" w:hAnsiTheme="majorHAnsi" w:cstheme="majorHAnsi"/>
                <w:sz w:val="18"/>
                <w:szCs w:val="18"/>
                <w:lang w:eastAsia="zh-CN"/>
              </w:rPr>
              <w:t>s</w:t>
            </w:r>
            <w:r w:rsidRPr="00F1611B">
              <w:rPr>
                <w:rFonts w:asciiTheme="majorHAnsi" w:hAnsiTheme="majorHAnsi" w:cstheme="majorHAnsi"/>
                <w:sz w:val="18"/>
                <w:szCs w:val="18"/>
              </w:rPr>
              <w:t>ation</w:t>
            </w:r>
            <w:proofErr w:type="spellEnd"/>
          </w:p>
        </w:tc>
        <w:tc>
          <w:tcPr>
            <w:tcW w:w="6741" w:type="dxa"/>
            <w:tcBorders>
              <w:top w:val="single" w:sz="4" w:space="0" w:color="auto"/>
              <w:left w:val="single" w:sz="4" w:space="0" w:color="auto"/>
              <w:bottom w:val="single" w:sz="4" w:space="0" w:color="auto"/>
              <w:right w:val="single" w:sz="4" w:space="0" w:color="auto"/>
            </w:tcBorders>
          </w:tcPr>
          <w:p w14:paraId="010B0A38" w14:textId="77777777" w:rsidR="00D0169D" w:rsidRPr="00F1611B" w:rsidRDefault="00000000">
            <w:pPr>
              <w:spacing w:after="0"/>
              <w:rPr>
                <w:rFonts w:asciiTheme="majorHAnsi" w:hAnsiTheme="majorHAnsi" w:cstheme="majorHAnsi"/>
                <w:sz w:val="18"/>
                <w:szCs w:val="18"/>
              </w:rPr>
            </w:pPr>
            <w:r w:rsidRPr="00F1611B">
              <w:rPr>
                <w:rFonts w:asciiTheme="majorHAnsi" w:hAnsiTheme="majorHAnsi" w:cstheme="majorHAnsi"/>
                <w:sz w:val="18"/>
                <w:szCs w:val="18"/>
              </w:rPr>
              <w:t>Equity</w:t>
            </w:r>
            <w:r w:rsidR="00404E82" w:rsidRPr="00F1611B">
              <w:rPr>
                <w:rFonts w:asciiTheme="majorHAnsi" w:hAnsiTheme="majorHAnsi" w:cstheme="majorHAnsi"/>
                <w:sz w:val="18"/>
                <w:szCs w:val="18"/>
              </w:rPr>
              <w:t>/</w:t>
            </w:r>
            <w:r w:rsidRPr="00F1611B">
              <w:rPr>
                <w:rFonts w:asciiTheme="majorHAnsi" w:hAnsiTheme="majorHAnsi" w:cstheme="majorHAnsi"/>
                <w:sz w:val="18"/>
                <w:szCs w:val="18"/>
              </w:rPr>
              <w:t>Combined: 252 trading days; Crypto: 365 calendar days</w:t>
            </w:r>
          </w:p>
        </w:tc>
      </w:tr>
      <w:tr w:rsidR="00D0169D" w:rsidRPr="008D384D" w14:paraId="6C3C69A9" w14:textId="77777777" w:rsidTr="009B2E8F">
        <w:trPr>
          <w:cantSplit/>
          <w:trHeight w:val="297"/>
        </w:trPr>
        <w:tc>
          <w:tcPr>
            <w:tcW w:w="2234" w:type="dxa"/>
            <w:tcBorders>
              <w:top w:val="single" w:sz="4" w:space="0" w:color="auto"/>
              <w:left w:val="single" w:sz="4" w:space="0" w:color="auto"/>
              <w:bottom w:val="single" w:sz="4" w:space="0" w:color="auto"/>
              <w:right w:val="single" w:sz="4" w:space="0" w:color="auto"/>
            </w:tcBorders>
          </w:tcPr>
          <w:p w14:paraId="0157FE73" w14:textId="77777777" w:rsidR="00D0169D" w:rsidRPr="00F1611B" w:rsidRDefault="00000000">
            <w:pPr>
              <w:spacing w:after="0"/>
              <w:rPr>
                <w:rFonts w:asciiTheme="majorHAnsi" w:hAnsiTheme="majorHAnsi" w:cstheme="majorHAnsi"/>
                <w:sz w:val="18"/>
                <w:szCs w:val="18"/>
              </w:rPr>
            </w:pPr>
            <w:r w:rsidRPr="00F1611B">
              <w:rPr>
                <w:rFonts w:asciiTheme="majorHAnsi" w:hAnsiTheme="majorHAnsi" w:cstheme="majorHAnsi"/>
                <w:sz w:val="18"/>
                <w:szCs w:val="18"/>
              </w:rPr>
              <w:t>Sentiment use</w:t>
            </w:r>
          </w:p>
        </w:tc>
        <w:tc>
          <w:tcPr>
            <w:tcW w:w="6741" w:type="dxa"/>
            <w:tcBorders>
              <w:top w:val="single" w:sz="4" w:space="0" w:color="auto"/>
              <w:left w:val="single" w:sz="4" w:space="0" w:color="auto"/>
              <w:bottom w:val="single" w:sz="4" w:space="0" w:color="auto"/>
              <w:right w:val="single" w:sz="4" w:space="0" w:color="auto"/>
            </w:tcBorders>
          </w:tcPr>
          <w:p w14:paraId="27C92FD3" w14:textId="77777777" w:rsidR="00D0169D" w:rsidRPr="00F1611B" w:rsidRDefault="00000000">
            <w:pPr>
              <w:spacing w:after="0"/>
              <w:rPr>
                <w:rFonts w:asciiTheme="majorHAnsi" w:hAnsiTheme="majorHAnsi" w:cstheme="majorHAnsi"/>
                <w:sz w:val="18"/>
                <w:szCs w:val="18"/>
              </w:rPr>
            </w:pPr>
            <w:r w:rsidRPr="00F1611B">
              <w:rPr>
                <w:rFonts w:asciiTheme="majorHAnsi" w:hAnsiTheme="majorHAnsi" w:cstheme="majorHAnsi"/>
                <w:sz w:val="18"/>
                <w:szCs w:val="18"/>
              </w:rPr>
              <w:t>Equity overlay only</w:t>
            </w:r>
            <w:r w:rsidR="00404E82" w:rsidRPr="00F1611B">
              <w:rPr>
                <w:rFonts w:asciiTheme="majorHAnsi" w:hAnsiTheme="majorHAnsi" w:cstheme="majorHAnsi"/>
                <w:sz w:val="18"/>
                <w:szCs w:val="18"/>
              </w:rPr>
              <w:t>,</w:t>
            </w:r>
            <w:r w:rsidRPr="00F1611B">
              <w:rPr>
                <w:rFonts w:asciiTheme="majorHAnsi" w:hAnsiTheme="majorHAnsi" w:cstheme="majorHAnsi"/>
                <w:sz w:val="18"/>
                <w:szCs w:val="18"/>
              </w:rPr>
              <w:t xml:space="preserve"> one-day lag before trading</w:t>
            </w:r>
          </w:p>
        </w:tc>
      </w:tr>
    </w:tbl>
    <w:p w14:paraId="64AE6856" w14:textId="77777777" w:rsidR="00D0169D" w:rsidRPr="008D384D" w:rsidRDefault="00000000">
      <w:pPr>
        <w:spacing w:before="20" w:after="60" w:line="240" w:lineRule="auto"/>
        <w:rPr>
          <w:rFonts w:ascii="Arial" w:hAnsi="Arial" w:cs="Arial"/>
          <w:lang w:val="en-AU" w:eastAsia="zh-CN"/>
        </w:rPr>
      </w:pPr>
      <w:r w:rsidRPr="008D384D">
        <w:rPr>
          <w:rFonts w:ascii="Arial" w:hAnsi="Arial" w:cs="Arial"/>
          <w:i/>
          <w:color w:val="607086"/>
          <w:sz w:val="17"/>
          <w:szCs w:val="18"/>
        </w:rPr>
        <w:t xml:space="preserve">Source: </w:t>
      </w:r>
      <w:proofErr w:type="spellStart"/>
      <w:r w:rsidRPr="008D384D">
        <w:rPr>
          <w:rFonts w:ascii="Arial" w:hAnsi="Arial" w:cs="Arial"/>
          <w:i/>
          <w:color w:val="607086"/>
          <w:sz w:val="17"/>
          <w:szCs w:val="18"/>
        </w:rPr>
        <w:t>SignalHarbor</w:t>
      </w:r>
      <w:proofErr w:type="spellEnd"/>
      <w:r w:rsidRPr="008D384D">
        <w:rPr>
          <w:rFonts w:ascii="Arial" w:hAnsi="Arial" w:cs="Arial"/>
          <w:i/>
          <w:color w:val="607086"/>
          <w:sz w:val="17"/>
          <w:szCs w:val="18"/>
        </w:rPr>
        <w:t xml:space="preserve"> design settings and results/tables/backtest_audit.csv.</w:t>
      </w:r>
    </w:p>
    <w:p w14:paraId="54AEA273" w14:textId="76FA384E" w:rsidR="007824A7" w:rsidRDefault="007824A7" w:rsidP="00A06749">
      <w:pPr>
        <w:pStyle w:val="af2"/>
        <w:spacing w:before="0" w:after="0" w:afterAutospacing="0"/>
        <w:jc w:val="both"/>
        <w:rPr>
          <w:rFonts w:ascii="Calibri" w:eastAsiaTheme="minorEastAsia" w:hAnsi="Calibri" w:cstheme="minorBidi"/>
          <w:sz w:val="22"/>
          <w:szCs w:val="22"/>
          <w:lang w:eastAsia="en-US"/>
        </w:rPr>
      </w:pPr>
      <w:r w:rsidRPr="007824A7">
        <w:rPr>
          <w:rFonts w:ascii="Calibri" w:eastAsiaTheme="minorEastAsia" w:hAnsi="Calibri" w:cstheme="minorBidi"/>
          <w:sz w:val="22"/>
          <w:szCs w:val="22"/>
          <w:lang w:eastAsia="en-US"/>
        </w:rPr>
        <w:t xml:space="preserve">This design measures the performance that an investor could plausibly have earned under fixed rules, monthly rebalancing and past data only weight formation. </w:t>
      </w:r>
      <w:r w:rsidR="005D6B15" w:rsidRPr="005D6B15">
        <w:rPr>
          <w:rFonts w:ascii="Calibri" w:eastAsiaTheme="minorEastAsia" w:hAnsi="Calibri" w:cstheme="minorBidi"/>
          <w:sz w:val="22"/>
          <w:szCs w:val="22"/>
          <w:lang w:eastAsia="en-US"/>
        </w:rPr>
        <w:t>This design keeps the 2021 to 2023 evaluation genuinely out of sample because portfolio weights are formed without using future returns.</w:t>
      </w:r>
      <w:r w:rsidR="005D6B15" w:rsidRPr="007824A7">
        <w:rPr>
          <w:rFonts w:ascii="Calibri" w:eastAsiaTheme="minorEastAsia" w:hAnsi="Calibri" w:cstheme="minorBidi"/>
          <w:sz w:val="22"/>
          <w:szCs w:val="22"/>
          <w:lang w:eastAsia="en-US"/>
        </w:rPr>
        <w:t xml:space="preserve"> The</w:t>
      </w:r>
      <w:r w:rsidRPr="007824A7">
        <w:rPr>
          <w:rFonts w:ascii="Calibri" w:eastAsiaTheme="minorEastAsia" w:hAnsi="Calibri" w:cstheme="minorBidi"/>
          <w:sz w:val="22"/>
          <w:szCs w:val="22"/>
          <w:lang w:eastAsia="en-US"/>
        </w:rPr>
        <w:t xml:space="preserve"> report therefore evaluates not only portfolio performance, but also drawdown, turnover and holdings to assess whether each fund is practical for investors.</w:t>
      </w:r>
    </w:p>
    <w:p w14:paraId="78FC0FEC" w14:textId="006A2447" w:rsidR="00802087" w:rsidRDefault="00802087" w:rsidP="00A06749">
      <w:pPr>
        <w:pStyle w:val="af2"/>
        <w:spacing w:before="0" w:after="0" w:afterAutospacing="0"/>
        <w:jc w:val="both"/>
        <w:rPr>
          <w:rFonts w:ascii="Calibri" w:eastAsiaTheme="minorEastAsia" w:hAnsi="Calibri" w:cstheme="minorBidi"/>
          <w:sz w:val="22"/>
          <w:szCs w:val="22"/>
          <w:lang w:eastAsia="en-US"/>
        </w:rPr>
      </w:pPr>
      <w:r w:rsidRPr="00802087">
        <w:rPr>
          <w:rFonts w:ascii="Calibri" w:eastAsiaTheme="minorEastAsia" w:hAnsi="Calibri" w:cstheme="minorBidi"/>
          <w:sz w:val="22"/>
          <w:szCs w:val="22"/>
          <w:lang w:eastAsia="en-US"/>
        </w:rPr>
        <w:t xml:space="preserve">The calendar treatment is also product relevant. Equity and Combined portfolios use trading days and 252-day </w:t>
      </w:r>
      <w:proofErr w:type="spellStart"/>
      <w:r w:rsidRPr="00802087">
        <w:rPr>
          <w:rFonts w:ascii="Calibri" w:eastAsiaTheme="minorEastAsia" w:hAnsi="Calibri" w:cstheme="minorBidi"/>
          <w:sz w:val="22"/>
          <w:szCs w:val="22"/>
          <w:lang w:eastAsia="en-US"/>
        </w:rPr>
        <w:t>annualisation</w:t>
      </w:r>
      <w:proofErr w:type="spellEnd"/>
      <w:r w:rsidRPr="00802087">
        <w:rPr>
          <w:rFonts w:ascii="Calibri" w:eastAsiaTheme="minorEastAsia" w:hAnsi="Calibri" w:cstheme="minorBidi"/>
          <w:sz w:val="22"/>
          <w:szCs w:val="22"/>
          <w:lang w:eastAsia="en-US"/>
        </w:rPr>
        <w:t xml:space="preserve">, while Crypto portfolios use calendar days and 365-day </w:t>
      </w:r>
      <w:proofErr w:type="spellStart"/>
      <w:r w:rsidRPr="00802087">
        <w:rPr>
          <w:rFonts w:ascii="Calibri" w:eastAsiaTheme="minorEastAsia" w:hAnsi="Calibri" w:cstheme="minorBidi"/>
          <w:sz w:val="22"/>
          <w:szCs w:val="22"/>
          <w:lang w:eastAsia="en-US"/>
        </w:rPr>
        <w:t>annualisation</w:t>
      </w:r>
      <w:proofErr w:type="spellEnd"/>
      <w:r w:rsidRPr="00802087">
        <w:rPr>
          <w:rFonts w:ascii="Calibri" w:eastAsiaTheme="minorEastAsia" w:hAnsi="Calibri" w:cstheme="minorBidi"/>
          <w:sz w:val="22"/>
          <w:szCs w:val="22"/>
          <w:lang w:eastAsia="en-US"/>
        </w:rPr>
        <w:t xml:space="preserve">. This preserves the different trading schedules and </w:t>
      </w:r>
      <w:proofErr w:type="spellStart"/>
      <w:r w:rsidRPr="00802087">
        <w:rPr>
          <w:rFonts w:ascii="Calibri" w:eastAsiaTheme="minorEastAsia" w:hAnsi="Calibri" w:cstheme="minorBidi"/>
          <w:sz w:val="22"/>
          <w:szCs w:val="22"/>
          <w:lang w:eastAsia="en-US"/>
        </w:rPr>
        <w:t>annualisation</w:t>
      </w:r>
      <w:proofErr w:type="spellEnd"/>
      <w:r w:rsidRPr="00802087">
        <w:rPr>
          <w:rFonts w:ascii="Calibri" w:eastAsiaTheme="minorEastAsia" w:hAnsi="Calibri" w:cstheme="minorBidi"/>
          <w:sz w:val="22"/>
          <w:szCs w:val="22"/>
          <w:lang w:eastAsia="en-US"/>
        </w:rPr>
        <w:t xml:space="preserve"> conventions of the two asset classes.</w:t>
      </w:r>
    </w:p>
    <w:p w14:paraId="1E93C38A" w14:textId="77777777" w:rsidR="00D0169D" w:rsidRPr="007725F7" w:rsidRDefault="00000000" w:rsidP="00A06749">
      <w:pPr>
        <w:pStyle w:val="1"/>
        <w:spacing w:before="120" w:line="240" w:lineRule="auto"/>
        <w:rPr>
          <w:rFonts w:ascii="Arial" w:hAnsi="Arial" w:cs="Arial"/>
          <w:sz w:val="28"/>
          <w:lang w:eastAsia="zh-CN"/>
        </w:rPr>
      </w:pPr>
      <w:r w:rsidRPr="007725F7">
        <w:rPr>
          <w:rFonts w:ascii="Arial" w:hAnsi="Arial" w:cs="Arial"/>
          <w:sz w:val="28"/>
        </w:rPr>
        <w:t>Out-of-Sample Results and Fact Sheets</w:t>
      </w:r>
    </w:p>
    <w:p w14:paraId="25C13FF4" w14:textId="77777777" w:rsidR="00404E82" w:rsidRPr="00880C38" w:rsidRDefault="00404E82" w:rsidP="00A06749">
      <w:pPr>
        <w:keepNext/>
        <w:spacing w:before="40" w:after="0" w:line="240" w:lineRule="auto"/>
        <w:jc w:val="both"/>
        <w:rPr>
          <w:sz w:val="22"/>
        </w:rPr>
      </w:pPr>
      <w:r w:rsidRPr="00880C38">
        <w:rPr>
          <w:sz w:val="22"/>
        </w:rPr>
        <w:t>Table 2 in Appendix A shows that the highest-return funds are not necessarily the most suitable products. Crypto Risk Parity and Crypto Equal Weight produced the strongest annualised returns, at 35.8% and 34.2%, but both came with volatility above 78% and maximum drawdowns above 80%. These figures make them difficult to recommend as stand-alone core holdings, even though their returns are attractive. Within the Combined universe, Risk Parity had the strongest Sharpe ratio at 0.79, while Equal Weight had the highest annualised return at 15.0%. This split is useful for product design. Equal Weight is the transparent return-building benchmark, while Risk Parity is the more balanced combined-fund candidate after risk is considered.</w:t>
      </w:r>
    </w:p>
    <w:p w14:paraId="01BF3DAD" w14:textId="77777777" w:rsidR="00404E82" w:rsidRPr="00880C38" w:rsidRDefault="00404E82" w:rsidP="00A06749">
      <w:pPr>
        <w:pStyle w:val="af2"/>
        <w:spacing w:before="0" w:after="0" w:afterAutospacing="0"/>
        <w:jc w:val="both"/>
        <w:rPr>
          <w:rFonts w:ascii="Calibri" w:eastAsiaTheme="minorEastAsia" w:hAnsi="Calibri" w:cstheme="minorBidi"/>
          <w:sz w:val="22"/>
          <w:szCs w:val="22"/>
          <w:lang w:eastAsia="en-US"/>
        </w:rPr>
      </w:pPr>
      <w:r w:rsidRPr="00880C38">
        <w:rPr>
          <w:rFonts w:ascii="Calibri" w:eastAsiaTheme="minorEastAsia" w:hAnsi="Calibri" w:cstheme="minorBidi"/>
          <w:sz w:val="22"/>
          <w:szCs w:val="22"/>
          <w:lang w:eastAsia="en-US"/>
        </w:rPr>
        <w:t xml:space="preserve">A key interpretation is that the same return number can have different product quality depending on how it is earned. A high-return fund with an 80% drawdown requires investors to tolerate losses large enough to change </w:t>
      </w:r>
      <w:proofErr w:type="spellStart"/>
      <w:r w:rsidRPr="00880C38">
        <w:rPr>
          <w:rFonts w:ascii="Calibri" w:eastAsiaTheme="minorEastAsia" w:hAnsi="Calibri" w:cstheme="minorBidi"/>
          <w:sz w:val="22"/>
          <w:szCs w:val="22"/>
          <w:lang w:eastAsia="en-US"/>
        </w:rPr>
        <w:t>behaviour</w:t>
      </w:r>
      <w:proofErr w:type="spellEnd"/>
      <w:r w:rsidRPr="00880C38">
        <w:rPr>
          <w:rFonts w:ascii="Calibri" w:eastAsiaTheme="minorEastAsia" w:hAnsi="Calibri" w:cstheme="minorBidi"/>
          <w:sz w:val="22"/>
          <w:szCs w:val="22"/>
          <w:lang w:eastAsia="en-US"/>
        </w:rPr>
        <w:t xml:space="preserve">, force liquidation or destroy confidence in the strategy. This is why maximum drawdown is not just a risk statistic. It is also a </w:t>
      </w:r>
      <w:proofErr w:type="spellStart"/>
      <w:r w:rsidRPr="00880C38">
        <w:rPr>
          <w:rFonts w:ascii="Calibri" w:eastAsiaTheme="minorEastAsia" w:hAnsi="Calibri" w:cstheme="minorBidi"/>
          <w:sz w:val="22"/>
          <w:szCs w:val="22"/>
          <w:lang w:eastAsia="en-US"/>
        </w:rPr>
        <w:t>behavioural</w:t>
      </w:r>
      <w:proofErr w:type="spellEnd"/>
      <w:r w:rsidRPr="00880C38">
        <w:rPr>
          <w:rFonts w:ascii="Calibri" w:eastAsiaTheme="minorEastAsia" w:hAnsi="Calibri" w:cstheme="minorBidi"/>
          <w:sz w:val="22"/>
          <w:szCs w:val="22"/>
          <w:lang w:eastAsia="en-US"/>
        </w:rPr>
        <w:t xml:space="preserve"> and commercial constraint. A fund can report a high </w:t>
      </w:r>
      <w:proofErr w:type="spellStart"/>
      <w:r w:rsidRPr="00880C38">
        <w:rPr>
          <w:rFonts w:ascii="Calibri" w:eastAsiaTheme="minorEastAsia" w:hAnsi="Calibri" w:cstheme="minorBidi"/>
          <w:sz w:val="22"/>
          <w:szCs w:val="22"/>
          <w:lang w:eastAsia="en-US"/>
        </w:rPr>
        <w:t>annualised</w:t>
      </w:r>
      <w:proofErr w:type="spellEnd"/>
      <w:r w:rsidRPr="00880C38">
        <w:rPr>
          <w:rFonts w:ascii="Calibri" w:eastAsiaTheme="minorEastAsia" w:hAnsi="Calibri" w:cstheme="minorBidi"/>
          <w:sz w:val="22"/>
          <w:szCs w:val="22"/>
          <w:lang w:eastAsia="en-US"/>
        </w:rPr>
        <w:t xml:space="preserve"> return, but if many investors would abandon it during the drawdown, the </w:t>
      </w:r>
      <w:proofErr w:type="spellStart"/>
      <w:r w:rsidRPr="00880C38">
        <w:rPr>
          <w:rFonts w:ascii="Calibri" w:eastAsiaTheme="minorEastAsia" w:hAnsi="Calibri" w:cstheme="minorBidi"/>
          <w:sz w:val="22"/>
          <w:szCs w:val="22"/>
          <w:lang w:eastAsia="en-US"/>
        </w:rPr>
        <w:t>backtest</w:t>
      </w:r>
      <w:proofErr w:type="spellEnd"/>
      <w:r w:rsidRPr="00880C38">
        <w:rPr>
          <w:rFonts w:ascii="Calibri" w:eastAsiaTheme="minorEastAsia" w:hAnsi="Calibri" w:cstheme="minorBidi"/>
          <w:sz w:val="22"/>
          <w:szCs w:val="22"/>
          <w:lang w:eastAsia="en-US"/>
        </w:rPr>
        <w:t xml:space="preserve"> overstates the practical value of the strategy.</w:t>
      </w:r>
    </w:p>
    <w:p w14:paraId="20ADB4A5" w14:textId="77777777" w:rsidR="00404E82" w:rsidRPr="00880C38" w:rsidRDefault="00404E82" w:rsidP="00A06749">
      <w:pPr>
        <w:pStyle w:val="af2"/>
        <w:spacing w:before="0" w:after="0" w:afterAutospacing="0"/>
        <w:jc w:val="both"/>
        <w:rPr>
          <w:rFonts w:ascii="Calibri" w:eastAsiaTheme="minorEastAsia" w:hAnsi="Calibri" w:cstheme="minorBidi"/>
          <w:sz w:val="22"/>
          <w:szCs w:val="22"/>
        </w:rPr>
      </w:pPr>
      <w:r w:rsidRPr="00880C38">
        <w:rPr>
          <w:rFonts w:ascii="Calibri" w:eastAsiaTheme="minorEastAsia" w:hAnsi="Calibri" w:cstheme="minorBidi"/>
          <w:sz w:val="22"/>
          <w:szCs w:val="22"/>
          <w:lang w:eastAsia="en-US"/>
        </w:rPr>
        <w:t>Turnover gives a second implementation lens. The baseline metrics assume zero transaction costs, so turnover is the main warning sign for costs that are not yet charged in the headline results. Combined Tangency’s 15.5% average monthly turnover is therefore a weakness even before explicit costs are added. In a live fund, trading creates bid-ask costs, market impact, tax effects and operational complexity. Lower-turnover funds such as Equity Equal Weight, Equity Risk Parity and Combined Risk Parity are more believable products because their results depend less on frictionless implementation.</w:t>
      </w:r>
    </w:p>
    <w:p w14:paraId="42F7EA85" w14:textId="77777777" w:rsidR="00DB5D39" w:rsidRDefault="00000000" w:rsidP="00DB5D39">
      <w:pPr>
        <w:pStyle w:val="pdq2pgselectionanchorcontainer"/>
        <w:spacing w:before="0" w:after="80"/>
        <w:jc w:val="center"/>
        <w:rPr>
          <w:rFonts w:ascii="Calibri" w:eastAsiaTheme="minorEastAsia" w:hAnsi="Calibri" w:cstheme="minorBidi"/>
          <w:sz w:val="22"/>
          <w:szCs w:val="22"/>
        </w:rPr>
      </w:pPr>
      <w:r w:rsidRPr="000B4B81">
        <w:rPr>
          <w:rFonts w:ascii="Calibri" w:eastAsiaTheme="minorEastAsia" w:hAnsi="Calibri" w:cstheme="minorBidi"/>
          <w:noProof/>
          <w:sz w:val="22"/>
          <w:szCs w:val="22"/>
          <w:lang w:eastAsia="en-US"/>
        </w:rPr>
        <w:lastRenderedPageBreak/>
        <w:drawing>
          <wp:inline distT="0" distB="0" distL="0" distR="0" wp14:anchorId="4A5BBE98" wp14:editId="6FDB6992">
            <wp:extent cx="4624705" cy="2582090"/>
            <wp:effectExtent l="0" t="0" r="0" b="0"/>
            <wp:docPr id="1934053034" name="图片 1" descr="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053034" name="图片 1" descr="直方图&#10;&#10;AI 生成的内容可能不正确。"/>
                    <pic:cNvPicPr>
                      <a:picLocks noChangeAspect="1"/>
                    </pic:cNvPicPr>
                  </pic:nvPicPr>
                  <pic:blipFill>
                    <a:blip r:embed="rId8"/>
                    <a:stretch>
                      <a:fillRect/>
                    </a:stretch>
                  </pic:blipFill>
                  <pic:spPr>
                    <a:xfrm>
                      <a:off x="0" y="0"/>
                      <a:ext cx="4907950" cy="2740233"/>
                    </a:xfrm>
                    <a:prstGeom prst="rect">
                      <a:avLst/>
                    </a:prstGeom>
                  </pic:spPr>
                </pic:pic>
              </a:graphicData>
            </a:graphic>
          </wp:inline>
        </w:drawing>
      </w:r>
    </w:p>
    <w:p w14:paraId="3BECD339" w14:textId="77777777" w:rsidR="00DB5D39" w:rsidRPr="00333A81" w:rsidRDefault="00000000" w:rsidP="00DB5D39">
      <w:pPr>
        <w:pStyle w:val="pdq2pgselectionanchorcontainer"/>
        <w:spacing w:before="40"/>
        <w:jc w:val="center"/>
        <w:rPr>
          <w:rFonts w:ascii="Calibri" w:eastAsiaTheme="minorEastAsia" w:hAnsi="Calibri" w:cstheme="minorBidi"/>
          <w:b/>
          <w:bCs/>
          <w:sz w:val="22"/>
          <w:szCs w:val="22"/>
        </w:rPr>
      </w:pPr>
      <w:r w:rsidRPr="00333A81">
        <w:rPr>
          <w:rFonts w:ascii="Calibri" w:eastAsiaTheme="minorEastAsia" w:hAnsi="Calibri" w:cstheme="minorBidi"/>
          <w:b/>
          <w:bCs/>
          <w:sz w:val="19"/>
          <w:lang w:eastAsia="en-US"/>
        </w:rPr>
        <w:t>Figure 1. Growth of $1 by fund universe, 2021-2023</w:t>
      </w:r>
    </w:p>
    <w:p w14:paraId="0770028F" w14:textId="77777777" w:rsidR="007725F7" w:rsidRPr="00880C38" w:rsidRDefault="007725F7" w:rsidP="007725F7">
      <w:pPr>
        <w:pStyle w:val="af2"/>
        <w:spacing w:before="40"/>
        <w:jc w:val="both"/>
        <w:rPr>
          <w:rFonts w:ascii="Calibri" w:eastAsiaTheme="minorEastAsia" w:hAnsi="Calibri" w:cstheme="minorBidi"/>
          <w:sz w:val="22"/>
          <w:szCs w:val="22"/>
        </w:rPr>
      </w:pPr>
      <w:r w:rsidRPr="00880C38">
        <w:rPr>
          <w:rFonts w:ascii="Calibri" w:eastAsiaTheme="minorEastAsia" w:hAnsi="Calibri" w:cstheme="minorBidi"/>
          <w:sz w:val="22"/>
          <w:szCs w:val="22"/>
          <w:lang w:eastAsia="en-US"/>
        </w:rPr>
        <w:t>Figure 1 adds path information to the static performance metrics in Table 2. In the equity universe, Tangency finished at $1.46, only slightly above Equal Weight at $1.43, so its higher terminal value does not show persistent dominance. Minimum Variance ended at $1.16, which is consistent with a defensive design that reduced volatility but sacrificed return. The combined universe shows a different ordering. Combined Equal Weight finished highest at $1.52, followed by Combined Risk Parity at $1.43. The important point is that no method dominates in every universe, so the app should help users compare trade-offs rather than present a single universal winner.</w:t>
      </w:r>
    </w:p>
    <w:p w14:paraId="6F1EDB0C" w14:textId="77777777" w:rsidR="00DB5D39" w:rsidRPr="00880C38" w:rsidRDefault="00DB5D39" w:rsidP="00790945">
      <w:pPr>
        <w:pStyle w:val="pdq2pgselectionanchorcontainer"/>
        <w:spacing w:before="0" w:after="0" w:afterAutospacing="0"/>
        <w:jc w:val="both"/>
        <w:rPr>
          <w:rFonts w:ascii="Calibri" w:eastAsiaTheme="minorEastAsia" w:hAnsi="Calibri" w:cstheme="minorBidi"/>
          <w:sz w:val="22"/>
          <w:szCs w:val="22"/>
        </w:rPr>
      </w:pPr>
      <w:r w:rsidRPr="00880C38">
        <w:rPr>
          <w:rFonts w:ascii="Calibri" w:eastAsiaTheme="minorEastAsia" w:hAnsi="Calibri" w:cstheme="minorBidi"/>
          <w:sz w:val="22"/>
          <w:szCs w:val="22"/>
          <w:lang w:eastAsia="en-US"/>
        </w:rPr>
        <w:t xml:space="preserve">The crypto panel shows why terminal wealth alone is insufficient. Crypto Risk Parity and Crypto Equal Weight ended much higher, at $2.50 and $2.42, but those gains were earned through a far more unstable path, including the 2021 crypto boom and the large 2022 reversal. This supports treating crypto as a separate risk regime rather than simply another equity-like sector. For </w:t>
      </w:r>
      <w:proofErr w:type="spellStart"/>
      <w:r w:rsidRPr="00880C38">
        <w:rPr>
          <w:rFonts w:ascii="Calibri" w:eastAsiaTheme="minorEastAsia" w:hAnsi="Calibri" w:cstheme="minorBidi"/>
          <w:sz w:val="22"/>
          <w:szCs w:val="22"/>
          <w:lang w:eastAsia="en-US"/>
        </w:rPr>
        <w:t>SignalHarbor</w:t>
      </w:r>
      <w:proofErr w:type="spellEnd"/>
      <w:r w:rsidRPr="00880C38">
        <w:rPr>
          <w:rFonts w:ascii="Calibri" w:eastAsiaTheme="minorEastAsia" w:hAnsi="Calibri" w:cstheme="minorBidi"/>
          <w:sz w:val="22"/>
          <w:szCs w:val="22"/>
          <w:lang w:eastAsia="en-US"/>
        </w:rPr>
        <w:t xml:space="preserve"> users, crypto exposure is therefore better understood as a high-risk return sleeve. It may improve upside in some regimes, but the path instability and drawdown evidence mean it should be sized deliberately rather than treated as a default core allocation. Figure 1 does not directly measure the severity of interim losses, so Figure 2 examines the same trade-off through drawdown.</w:t>
      </w:r>
    </w:p>
    <w:p w14:paraId="0DC656EB" w14:textId="270386F4" w:rsidR="00D0169D" w:rsidRPr="000B4B81" w:rsidRDefault="00761F35" w:rsidP="007725F7">
      <w:pPr>
        <w:pStyle w:val="pdq2pgselectionanchorcontainer"/>
        <w:spacing w:before="0" w:after="80"/>
        <w:jc w:val="center"/>
        <w:rPr>
          <w:rFonts w:ascii="Calibri" w:eastAsiaTheme="minorEastAsia" w:hAnsi="Calibri" w:cstheme="minorBidi"/>
          <w:sz w:val="22"/>
          <w:szCs w:val="22"/>
          <w:lang w:eastAsia="en-US"/>
        </w:rPr>
      </w:pPr>
      <w:r w:rsidRPr="00761F35">
        <w:rPr>
          <w:rFonts w:ascii="Calibri" w:eastAsiaTheme="minorEastAsia" w:hAnsi="Calibri" w:cstheme="minorBidi"/>
          <w:noProof/>
          <w:sz w:val="22"/>
          <w:szCs w:val="22"/>
          <w:lang w:eastAsia="en-US"/>
        </w:rPr>
        <w:drawing>
          <wp:inline distT="0" distB="0" distL="0" distR="0" wp14:anchorId="4D5CF929" wp14:editId="1558E88E">
            <wp:extent cx="4730910" cy="2384612"/>
            <wp:effectExtent l="0" t="0" r="0" b="3175"/>
            <wp:docPr id="1198477257" name="图片 1" descr="图片包含 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477257" name="图片 1" descr="图片包含 图表&#10;&#10;AI 生成的内容可能不正确。"/>
                    <pic:cNvPicPr/>
                  </pic:nvPicPr>
                  <pic:blipFill>
                    <a:blip r:embed="rId9"/>
                    <a:stretch>
                      <a:fillRect/>
                    </a:stretch>
                  </pic:blipFill>
                  <pic:spPr>
                    <a:xfrm>
                      <a:off x="0" y="0"/>
                      <a:ext cx="4730910" cy="2384612"/>
                    </a:xfrm>
                    <a:prstGeom prst="rect">
                      <a:avLst/>
                    </a:prstGeom>
                  </pic:spPr>
                </pic:pic>
              </a:graphicData>
            </a:graphic>
          </wp:inline>
        </w:drawing>
      </w:r>
    </w:p>
    <w:p w14:paraId="0D013D15" w14:textId="77777777" w:rsidR="00D0169D" w:rsidRPr="00333A81" w:rsidRDefault="00000000" w:rsidP="000B4B81">
      <w:pPr>
        <w:pStyle w:val="pdq2pgselectionanchorcontainer"/>
        <w:spacing w:before="40"/>
        <w:jc w:val="center"/>
        <w:rPr>
          <w:rFonts w:ascii="Calibri" w:eastAsiaTheme="minorEastAsia" w:hAnsi="Calibri" w:cstheme="minorBidi"/>
          <w:b/>
          <w:bCs/>
          <w:lang w:eastAsia="en-US"/>
        </w:rPr>
      </w:pPr>
      <w:r w:rsidRPr="00333A81">
        <w:rPr>
          <w:rFonts w:ascii="Calibri" w:eastAsiaTheme="minorEastAsia" w:hAnsi="Calibri" w:cstheme="minorBidi"/>
          <w:b/>
          <w:bCs/>
          <w:sz w:val="19"/>
          <w:lang w:eastAsia="en-US"/>
        </w:rPr>
        <w:lastRenderedPageBreak/>
        <w:t>Figure 2. Selected equity and combined drawdown paths; crypto-only funds are excluded</w:t>
      </w:r>
    </w:p>
    <w:p w14:paraId="0390FB97" w14:textId="77777777" w:rsidR="007725F7" w:rsidRPr="00880C38" w:rsidRDefault="007725F7" w:rsidP="007725F7">
      <w:pPr>
        <w:pStyle w:val="pdq2pgselectionanchorcontainer"/>
        <w:keepNext/>
        <w:spacing w:before="40" w:after="60"/>
        <w:jc w:val="both"/>
        <w:rPr>
          <w:rFonts w:ascii="Calibri" w:eastAsiaTheme="minorEastAsia" w:hAnsi="Calibri" w:cstheme="minorBidi"/>
          <w:sz w:val="22"/>
          <w:szCs w:val="22"/>
        </w:rPr>
      </w:pPr>
      <w:r w:rsidRPr="00880C38">
        <w:rPr>
          <w:rFonts w:ascii="Calibri" w:eastAsiaTheme="minorEastAsia" w:hAnsi="Calibri" w:cstheme="minorBidi"/>
          <w:sz w:val="22"/>
          <w:szCs w:val="22"/>
          <w:lang w:eastAsia="en-US"/>
        </w:rPr>
        <w:t xml:space="preserve">Table 2 in Appendix A and Figure 2 together show clear differences in downside losses across portfolio methods. Equity Tangency reached a 38.2% maximum drawdown, almost twice the 20.3% drawdown of Equity Equal Weight. The combined result is more severe. Combined Tangency fell 52.7% from its previous peak, compared with 28.7% for Combined Equal Weight and 22.9% for Combined Risk Parity. The chart also shows persistence, because Combined Tangency remained well below its earlier peak for much of the later </w:t>
      </w:r>
      <w:proofErr w:type="gramStart"/>
      <w:r w:rsidRPr="00880C38">
        <w:rPr>
          <w:rFonts w:ascii="Calibri" w:eastAsiaTheme="minorEastAsia" w:hAnsi="Calibri" w:cstheme="minorBidi"/>
          <w:sz w:val="22"/>
          <w:szCs w:val="22"/>
          <w:lang w:eastAsia="en-US"/>
        </w:rPr>
        <w:t>OOS</w:t>
      </w:r>
      <w:proofErr w:type="gramEnd"/>
      <w:r w:rsidRPr="00880C38">
        <w:rPr>
          <w:rFonts w:ascii="Calibri" w:eastAsiaTheme="minorEastAsia" w:hAnsi="Calibri" w:cstheme="minorBidi"/>
          <w:sz w:val="22"/>
          <w:szCs w:val="22"/>
          <w:lang w:eastAsia="en-US"/>
        </w:rPr>
        <w:t xml:space="preserve"> period. For an investor, this is not a small cosmetic difference. A fund that compounds strongly but spends long periods far below its previous peak may be difficult to hold through market stress.</w:t>
      </w:r>
    </w:p>
    <w:p w14:paraId="6C1082BB" w14:textId="77777777" w:rsidR="005444AF" w:rsidRPr="00880C38" w:rsidRDefault="005444AF" w:rsidP="005444AF">
      <w:pPr>
        <w:pStyle w:val="af2"/>
        <w:spacing w:before="0" w:after="80"/>
        <w:jc w:val="both"/>
        <w:rPr>
          <w:rFonts w:ascii="Calibri" w:eastAsiaTheme="minorEastAsia" w:hAnsi="Calibri" w:cstheme="minorBidi"/>
          <w:sz w:val="22"/>
          <w:szCs w:val="22"/>
          <w:lang w:eastAsia="en-US"/>
        </w:rPr>
      </w:pPr>
      <w:r w:rsidRPr="00880C38">
        <w:rPr>
          <w:rFonts w:ascii="Calibri" w:eastAsiaTheme="minorEastAsia" w:hAnsi="Calibri" w:cstheme="minorBidi"/>
          <w:sz w:val="22"/>
          <w:szCs w:val="22"/>
          <w:lang w:eastAsia="en-US"/>
        </w:rPr>
        <w:t xml:space="preserve">This matters because drawdown measures the loss an investor must tolerate after a fund has already accumulated wealth. Tangency is designed to </w:t>
      </w:r>
      <w:r w:rsidR="004E5857" w:rsidRPr="00880C38">
        <w:rPr>
          <w:rFonts w:ascii="Calibri" w:eastAsiaTheme="minorEastAsia" w:hAnsi="Calibri" w:cstheme="minorBidi"/>
          <w:sz w:val="22"/>
          <w:szCs w:val="22"/>
          <w:lang w:eastAsia="en-US"/>
        </w:rPr>
        <w:t>maximize</w:t>
      </w:r>
      <w:r w:rsidRPr="00880C38">
        <w:rPr>
          <w:rFonts w:ascii="Calibri" w:eastAsiaTheme="minorEastAsia" w:hAnsi="Calibri" w:cstheme="minorBidi"/>
          <w:sz w:val="22"/>
          <w:szCs w:val="22"/>
          <w:lang w:eastAsia="en-US"/>
        </w:rPr>
        <w:t xml:space="preserve"> expected excess return per unit of risk, but it relies heavily on estimated expected returns, which are difficult to estimate from short daily samples. In this project, that estimation risk appears in the OOS results through deeper drawdowns and higher turnover. Combined Tangency had both the worst drawdown in Table 2 and the highest average monthly turnover at 15.5%. Extra </w:t>
      </w:r>
      <w:proofErr w:type="spellStart"/>
      <w:r w:rsidRPr="00880C38">
        <w:rPr>
          <w:rFonts w:ascii="Calibri" w:eastAsiaTheme="minorEastAsia" w:hAnsi="Calibri" w:cstheme="minorBidi"/>
          <w:sz w:val="22"/>
          <w:szCs w:val="22"/>
          <w:lang w:eastAsia="en-US"/>
        </w:rPr>
        <w:t>optimisation</w:t>
      </w:r>
      <w:proofErr w:type="spellEnd"/>
      <w:r w:rsidRPr="00880C38">
        <w:rPr>
          <w:rFonts w:ascii="Calibri" w:eastAsiaTheme="minorEastAsia" w:hAnsi="Calibri" w:cstheme="minorBidi"/>
          <w:sz w:val="22"/>
          <w:szCs w:val="22"/>
          <w:lang w:eastAsia="en-US"/>
        </w:rPr>
        <w:t xml:space="preserve"> complexity therefore did not translate into a more usable product during 2021 to 2023.</w:t>
      </w:r>
    </w:p>
    <w:p w14:paraId="50742696" w14:textId="77777777" w:rsidR="005444AF" w:rsidRPr="00880C38" w:rsidRDefault="005444AF" w:rsidP="005444AF">
      <w:pPr>
        <w:pStyle w:val="af2"/>
        <w:spacing w:before="0" w:after="80"/>
        <w:jc w:val="both"/>
        <w:rPr>
          <w:rFonts w:ascii="Calibri" w:eastAsiaTheme="minorEastAsia" w:hAnsi="Calibri" w:cstheme="minorBidi"/>
          <w:sz w:val="22"/>
          <w:szCs w:val="22"/>
          <w:lang w:eastAsia="en-US"/>
        </w:rPr>
      </w:pPr>
      <w:r w:rsidRPr="00880C38">
        <w:rPr>
          <w:rFonts w:ascii="Calibri" w:eastAsiaTheme="minorEastAsia" w:hAnsi="Calibri" w:cstheme="minorBidi"/>
          <w:sz w:val="22"/>
          <w:szCs w:val="22"/>
          <w:lang w:eastAsia="en-US"/>
        </w:rPr>
        <w:t xml:space="preserve">Tangency’s weak OOS performance is one of the useful findings in the report. In theory, Tangency should target the highest expected Sharpe ratio. In practice, small differences in estimated expected returns can lead to large differences in weights. When the estimated return of one asset or group of assets is temporarily high, the </w:t>
      </w:r>
      <w:proofErr w:type="spellStart"/>
      <w:r w:rsidRPr="00880C38">
        <w:rPr>
          <w:rFonts w:ascii="Calibri" w:eastAsiaTheme="minorEastAsia" w:hAnsi="Calibri" w:cstheme="minorBidi"/>
          <w:sz w:val="22"/>
          <w:szCs w:val="22"/>
          <w:lang w:eastAsia="en-US"/>
        </w:rPr>
        <w:t>optimiser</w:t>
      </w:r>
      <w:proofErr w:type="spellEnd"/>
      <w:r w:rsidRPr="00880C38">
        <w:rPr>
          <w:rFonts w:ascii="Calibri" w:eastAsiaTheme="minorEastAsia" w:hAnsi="Calibri" w:cstheme="minorBidi"/>
          <w:sz w:val="22"/>
          <w:szCs w:val="22"/>
          <w:lang w:eastAsia="en-US"/>
        </w:rPr>
        <w:t xml:space="preserve"> may concentrate exposure in a way that looks reasonable in the estimation window but fragile in the live month. This is the gap between theory and implementation that a systematic fund product needs to address.</w:t>
      </w:r>
    </w:p>
    <w:p w14:paraId="12F91C7D" w14:textId="77777777" w:rsidR="005444AF" w:rsidRPr="00880C38" w:rsidRDefault="005444AF" w:rsidP="005444AF">
      <w:pPr>
        <w:pStyle w:val="af2"/>
        <w:spacing w:before="0" w:after="80"/>
        <w:jc w:val="both"/>
        <w:rPr>
          <w:rFonts w:ascii="Calibri" w:eastAsiaTheme="minorEastAsia" w:hAnsi="Calibri" w:cstheme="minorBidi"/>
          <w:sz w:val="22"/>
          <w:szCs w:val="22"/>
          <w:lang w:eastAsia="en-US"/>
        </w:rPr>
      </w:pPr>
      <w:r w:rsidRPr="00880C38">
        <w:rPr>
          <w:rFonts w:ascii="Calibri" w:eastAsiaTheme="minorEastAsia" w:hAnsi="Calibri" w:cstheme="minorBidi"/>
          <w:sz w:val="22"/>
          <w:szCs w:val="22"/>
          <w:lang w:eastAsia="en-US"/>
        </w:rPr>
        <w:t xml:space="preserve">The stronger performance of Equal Weight and Risk Parity helps explain why simpler strategies remain competitive. Equal Weight benefits from broad diversification without </w:t>
      </w:r>
      <w:proofErr w:type="gramStart"/>
      <w:r w:rsidRPr="00880C38">
        <w:rPr>
          <w:rFonts w:ascii="Calibri" w:eastAsiaTheme="minorEastAsia" w:hAnsi="Calibri" w:cstheme="minorBidi"/>
          <w:sz w:val="22"/>
          <w:szCs w:val="22"/>
          <w:lang w:eastAsia="en-US"/>
        </w:rPr>
        <w:t>return</w:t>
      </w:r>
      <w:proofErr w:type="gramEnd"/>
      <w:r w:rsidRPr="00880C38">
        <w:rPr>
          <w:rFonts w:ascii="Calibri" w:eastAsiaTheme="minorEastAsia" w:hAnsi="Calibri" w:cstheme="minorBidi"/>
          <w:sz w:val="22"/>
          <w:szCs w:val="22"/>
          <w:lang w:eastAsia="en-US"/>
        </w:rPr>
        <w:t xml:space="preserve"> forecasting. Risk Parity still uses estimated risk and covariance, but these inputs are usually more stable than expected returns. The evidence in this project is consistent with that hierarchy. Methods that relied less on expected-return prediction produced more investable OOS profiles.</w:t>
      </w:r>
    </w:p>
    <w:p w14:paraId="79C6B2A3" w14:textId="77777777" w:rsidR="00D81744" w:rsidRPr="00880C38" w:rsidRDefault="00D81744" w:rsidP="008B78A3">
      <w:pPr>
        <w:pStyle w:val="af2"/>
        <w:spacing w:before="40"/>
        <w:jc w:val="both"/>
        <w:rPr>
          <w:rFonts w:ascii="Calibri" w:eastAsiaTheme="minorEastAsia" w:hAnsi="Calibri" w:cstheme="minorBidi"/>
          <w:sz w:val="22"/>
          <w:szCs w:val="22"/>
          <w:lang w:eastAsia="en-US"/>
        </w:rPr>
      </w:pPr>
      <w:r w:rsidRPr="00880C38">
        <w:rPr>
          <w:rFonts w:ascii="Calibri" w:eastAsiaTheme="minorEastAsia" w:hAnsi="Calibri" w:cstheme="minorBidi"/>
          <w:sz w:val="22"/>
          <w:szCs w:val="22"/>
          <w:lang w:eastAsia="en-US"/>
        </w:rPr>
        <w:t>Figure 3 in Appendix A shows that the strongest out-of-sample Sharpe ratios came from simpler or risk-balanced methods. Equity Equal Weight ranked first with a Sharpe ratio of 0.82. Crypto Risk Parity and Combined Risk Parity were close behind at 0.79, while Crypto Equal Weight and Combined Equal Weight also stayed above the median fund. By contrast, all three Tangency funds ranked below the median Sharpe ratio of 0.69. This is important because Tangency is the method most directly designed to improve risk-adjusted return. If it still falls below the median fund out of sample, then the issue is not only that Tangency failed to rank first. The deeper issue is that its optimisation objective did not translate into reliable realised performance.</w:t>
      </w:r>
    </w:p>
    <w:p w14:paraId="56BFFF24" w14:textId="100B745D" w:rsidR="00D81744" w:rsidRPr="00880C38" w:rsidRDefault="00D81744" w:rsidP="00D81744">
      <w:pPr>
        <w:pStyle w:val="af2"/>
        <w:spacing w:before="0" w:after="80"/>
        <w:jc w:val="both"/>
        <w:rPr>
          <w:rFonts w:ascii="Calibri" w:eastAsiaTheme="minorEastAsia" w:hAnsi="Calibri" w:cstheme="minorBidi"/>
          <w:sz w:val="22"/>
          <w:szCs w:val="22"/>
          <w:lang w:eastAsia="en-US"/>
        </w:rPr>
      </w:pPr>
      <w:r w:rsidRPr="00880C38">
        <w:rPr>
          <w:rFonts w:ascii="Calibri" w:eastAsiaTheme="minorEastAsia" w:hAnsi="Calibri" w:cstheme="minorBidi"/>
          <w:sz w:val="22"/>
          <w:szCs w:val="22"/>
          <w:lang w:eastAsia="en-US"/>
        </w:rPr>
        <w:t xml:space="preserve">This result suggests that </w:t>
      </w:r>
      <w:proofErr w:type="spellStart"/>
      <w:r w:rsidRPr="00880C38">
        <w:rPr>
          <w:rFonts w:ascii="Calibri" w:eastAsiaTheme="minorEastAsia" w:hAnsi="Calibri" w:cstheme="minorBidi"/>
          <w:sz w:val="22"/>
          <w:szCs w:val="22"/>
          <w:lang w:eastAsia="en-US"/>
        </w:rPr>
        <w:t>optimisation</w:t>
      </w:r>
      <w:proofErr w:type="spellEnd"/>
      <w:r w:rsidRPr="00880C38">
        <w:rPr>
          <w:rFonts w:ascii="Calibri" w:eastAsiaTheme="minorEastAsia" w:hAnsi="Calibri" w:cstheme="minorBidi"/>
          <w:sz w:val="22"/>
          <w:szCs w:val="22"/>
          <w:lang w:eastAsia="en-US"/>
        </w:rPr>
        <w:t xml:space="preserve"> only helps when the inputs are reliable. Tangency depends heavily on estimated expected returns, and those estimates can be noisy in a short sample. Combined Tangency had a Sharpe ratio of only 0.40, which was well below the median, and Equity Tangency was also below the median at 0.65. Equal Weight and Risk Parity were more robust </w:t>
      </w:r>
      <w:r w:rsidR="005D6B15" w:rsidRPr="005D6B15">
        <w:rPr>
          <w:rFonts w:ascii="Calibri" w:eastAsiaTheme="minorEastAsia" w:hAnsi="Calibri" w:cstheme="minorBidi"/>
          <w:sz w:val="22"/>
          <w:szCs w:val="22"/>
          <w:lang w:eastAsia="en-US"/>
        </w:rPr>
        <w:t>and rely less on expected-return forecasts.</w:t>
      </w:r>
      <w:r w:rsidR="005D6B15" w:rsidRPr="00880C38">
        <w:rPr>
          <w:rFonts w:ascii="Calibri" w:eastAsiaTheme="minorEastAsia" w:hAnsi="Calibri" w:cstheme="minorBidi"/>
          <w:sz w:val="22"/>
          <w:szCs w:val="22"/>
          <w:lang w:eastAsia="en-US"/>
        </w:rPr>
        <w:t xml:space="preserve"> Equal</w:t>
      </w:r>
      <w:r w:rsidRPr="00880C38">
        <w:rPr>
          <w:rFonts w:ascii="Calibri" w:eastAsiaTheme="minorEastAsia" w:hAnsi="Calibri" w:cstheme="minorBidi"/>
          <w:sz w:val="22"/>
          <w:szCs w:val="22"/>
          <w:lang w:eastAsia="en-US"/>
        </w:rPr>
        <w:t xml:space="preserve"> Weight gets diversification without forecasting returns. Risk Parity still uses estimated volatility and covariance, but those inputs are usually more stable than expected returns. In this sample, the methods that relied less on return prediction produced more investable out-of-sample profiles.</w:t>
      </w:r>
    </w:p>
    <w:p w14:paraId="1EABDF86" w14:textId="77777777" w:rsidR="00B11EF3" w:rsidRPr="00880C38" w:rsidRDefault="00D81744" w:rsidP="00D81744">
      <w:pPr>
        <w:pStyle w:val="af2"/>
        <w:spacing w:before="0" w:after="80"/>
        <w:jc w:val="both"/>
        <w:rPr>
          <w:rFonts w:ascii="Calibri" w:eastAsiaTheme="minorEastAsia" w:hAnsi="Calibri" w:cstheme="minorBidi"/>
          <w:sz w:val="22"/>
          <w:szCs w:val="22"/>
        </w:rPr>
      </w:pPr>
      <w:r w:rsidRPr="00880C38">
        <w:rPr>
          <w:rFonts w:ascii="Calibri" w:eastAsiaTheme="minorEastAsia" w:hAnsi="Calibri" w:cstheme="minorBidi"/>
          <w:sz w:val="22"/>
          <w:szCs w:val="22"/>
          <w:lang w:eastAsia="en-US"/>
        </w:rPr>
        <w:t xml:space="preserve">For the app, this means the fund ranking should not be shown as a simple leaderboard with one winner. A conservative investor may prefer Equity Equal Weight because it had the best Sharpe ratio and a relatively shallow drawdown. A balanced investor may prefer Combined Risk Parity because it includes crypto exposure </w:t>
      </w:r>
      <w:r w:rsidRPr="00880C38">
        <w:rPr>
          <w:rFonts w:ascii="Calibri" w:eastAsiaTheme="minorEastAsia" w:hAnsi="Calibri" w:cstheme="minorBidi"/>
          <w:sz w:val="22"/>
          <w:szCs w:val="22"/>
          <w:lang w:eastAsia="en-US"/>
        </w:rPr>
        <w:lastRenderedPageBreak/>
        <w:t>without letting crypto dominate total risk. An aggressive investor may still inspect Crypto Risk Parity as a satellite sleeve, but the app should make the drawdown cost clear. This is why the fact sheet design matters. The same fund can look attractive in a return table and much less attractive once the user sees the drawdown path.</w:t>
      </w:r>
    </w:p>
    <w:p w14:paraId="42AACA2E" w14:textId="33115C10" w:rsidR="0063264E" w:rsidRPr="00880C38" w:rsidRDefault="0063264E" w:rsidP="008B78A3">
      <w:pPr>
        <w:pStyle w:val="af2"/>
        <w:spacing w:before="40"/>
        <w:jc w:val="both"/>
        <w:rPr>
          <w:rFonts w:ascii="Calibri" w:eastAsiaTheme="minorEastAsia" w:hAnsi="Calibri" w:cstheme="minorBidi"/>
          <w:sz w:val="22"/>
          <w:szCs w:val="22"/>
          <w:lang w:eastAsia="en-US"/>
        </w:rPr>
      </w:pPr>
      <w:r w:rsidRPr="00880C38">
        <w:rPr>
          <w:rFonts w:ascii="Calibri" w:eastAsiaTheme="minorEastAsia" w:hAnsi="Calibri" w:cstheme="minorBidi"/>
          <w:sz w:val="22"/>
          <w:szCs w:val="22"/>
          <w:lang w:eastAsia="en-US"/>
        </w:rPr>
        <w:t xml:space="preserve">Figure 4 in Appendix A explains how portfolio construction translated into exposures inside the same Combined universe. Equal Weight is mechanically stable, holding the crypto sleeve at 16.7% and distributing the remaining capital broadly across equity sectors. Minimum Variance is more defensive. By the final rebalance, its crypto exposure is only 0.3%, and the largest sector exposures are Healthcare, Communication and Utilities. Tangency is the least stable allocation. Its crypto sleeve ranges from 12.6% to 76.4% during the OOS period, and Table 2 reports the highest Combined-fund average monthly turnover at 15.5%. Risk Parity is more balanced, keeping crypto between 8.4% and 11.8% and avoiding the extreme sector shifts seen in Tangency. The mechanism is therefore visible. </w:t>
      </w:r>
      <w:r w:rsidR="00DA27DE" w:rsidRPr="00DA27DE">
        <w:rPr>
          <w:rFonts w:ascii="Calibri" w:eastAsiaTheme="minorEastAsia" w:hAnsi="Calibri" w:cstheme="minorBidi"/>
          <w:sz w:val="22"/>
          <w:szCs w:val="22"/>
          <w:lang w:eastAsia="en-US"/>
        </w:rPr>
        <w:t>Tangency's unstable sector and crypto weights are consistent with its higher turnover and weaker OOS downside profile, while Risk Parity maintained a more stable allocation.</w:t>
      </w:r>
    </w:p>
    <w:p w14:paraId="2D1B30E3" w14:textId="77777777" w:rsidR="00D0169D" w:rsidRPr="007725F7" w:rsidRDefault="00000000" w:rsidP="004A3550">
      <w:pPr>
        <w:pStyle w:val="1"/>
        <w:spacing w:before="120" w:after="80" w:line="240" w:lineRule="auto"/>
        <w:rPr>
          <w:rFonts w:ascii="Arial" w:hAnsi="Arial" w:cs="Arial"/>
          <w:sz w:val="28"/>
        </w:rPr>
      </w:pPr>
      <w:r w:rsidRPr="007725F7">
        <w:rPr>
          <w:rFonts w:ascii="Arial" w:hAnsi="Arial" w:cs="Arial"/>
          <w:sz w:val="28"/>
        </w:rPr>
        <w:t>Sentiment Index and Coverage-Aware Signal</w:t>
      </w:r>
    </w:p>
    <w:p w14:paraId="072F36B5" w14:textId="17662DEB" w:rsidR="00375994" w:rsidRPr="00880C38" w:rsidRDefault="00317FF1" w:rsidP="005900DD">
      <w:pPr>
        <w:pStyle w:val="pdq2pgselectionanchorcontainer"/>
        <w:spacing w:before="0" w:after="80"/>
        <w:jc w:val="both"/>
        <w:rPr>
          <w:rFonts w:ascii="Calibri" w:eastAsiaTheme="minorEastAsia" w:hAnsi="Calibri" w:cstheme="minorBidi"/>
          <w:sz w:val="22"/>
          <w:szCs w:val="22"/>
          <w:lang w:eastAsia="en-US"/>
        </w:rPr>
      </w:pPr>
      <w:r w:rsidRPr="00317FF1">
        <w:rPr>
          <w:rFonts w:ascii="Calibri" w:eastAsiaTheme="minorEastAsia" w:hAnsi="Calibri" w:cstheme="minorBidi"/>
          <w:sz w:val="22"/>
          <w:szCs w:val="22"/>
          <w:lang w:eastAsia="en-US"/>
        </w:rPr>
        <w:t>I retained the original headline wording, including casing and punctuation, because VADER uses linguistic cues such as emphasis and punctuation when interpreting sentiment (Hutto and Gilbert, 2014). The sentiment component is designed as an explainable extension, not as a black-box return forecast. The project uses headlines rather than full articles, so sentiment is an imperfect proxy for information. A zero sentiment score may reflect neutral wording, a lexicon miss or finance-specific language that standard VADER does not understand, while a day with no observed headline is treated as missing rather than neutral. To reduce this problem, I use a finance-augmented VADER lexicon as a transparent adjustment for financial language. Market terms such as downgrades, impairments, buybacks, guidance changes and bankruptcy receive more appropriate treatment. The adjusted sentiment scores then provide the input for the coverage-aware sector signal used in the portfolio experiment. I do not claim that every headline score is correct. The value is that the scoring process remains transparent, auditable and easy to explain inside the app.</w:t>
      </w:r>
    </w:p>
    <w:p w14:paraId="395260BF" w14:textId="77777777" w:rsidR="00D0169D" w:rsidRPr="00880C38" w:rsidRDefault="00000000" w:rsidP="005900DD">
      <w:pPr>
        <w:pStyle w:val="pdq2pgselectionanchorcontainer"/>
        <w:spacing w:before="0" w:after="80"/>
        <w:jc w:val="both"/>
        <w:rPr>
          <w:rFonts w:ascii="Calibri" w:eastAsiaTheme="minorEastAsia" w:hAnsi="Calibri" w:cstheme="minorBidi"/>
          <w:sz w:val="22"/>
          <w:szCs w:val="22"/>
        </w:rPr>
      </w:pPr>
      <w:r w:rsidRPr="00880C38">
        <w:rPr>
          <w:rFonts w:ascii="Calibri" w:eastAsiaTheme="minorEastAsia" w:hAnsi="Calibri" w:cstheme="minorBidi"/>
          <w:sz w:val="22"/>
          <w:szCs w:val="22"/>
          <w:lang w:eastAsia="en-US"/>
        </w:rPr>
        <w:t>The signal is built from raw headlines to an investable sector input. Headline scores are averaged to ticker-day sentiment, and sector-day sentiment is then calculated as an equal-weight average across news-active tickers in the same sector. I do not force no-news ticker-days to zero or blindly carry them forward. Instead, no-news observations affect a separate coverage measure, which records how much of the sector had observable headline information. This distinction matters because zero sentiment and missing sentiment are not the same economic object. A quiet day with no relevant news should not be treated as strongly neutral evidence in the same way as a broad set of genuinely neutral headlines.</w:t>
      </w:r>
    </w:p>
    <w:p w14:paraId="2856528F" w14:textId="20E1D8A8" w:rsidR="00F3634D" w:rsidRPr="00880C38" w:rsidRDefault="00000000" w:rsidP="00761F35">
      <w:pPr>
        <w:spacing w:line="240" w:lineRule="auto"/>
        <w:jc w:val="both"/>
        <w:rPr>
          <w:sz w:val="22"/>
        </w:rPr>
      </w:pPr>
      <w:r w:rsidRPr="00880C38">
        <w:rPr>
          <w:sz w:val="22"/>
        </w:rPr>
        <w:t>The underlying research hypothesis is deliberately modest. If sector news sentiment captures changes in investor attention, risk appetite or perceived fundamentals, then a lagged sector sentiment tilt may improve the OOS risk-adjusted performance of an equity portfolio (Tetlock, 2007). The hypothesis does not assume that every headline contains tradable information. It only assumes that aggregated sector tone may contain a small timing signal after lagging and coverage controls.</w:t>
      </w:r>
    </w:p>
    <w:p w14:paraId="12AA0341" w14:textId="77777777" w:rsidR="00F3634D" w:rsidRPr="00880C38" w:rsidRDefault="00000000" w:rsidP="005900DD">
      <w:pPr>
        <w:spacing w:after="80" w:line="240" w:lineRule="auto"/>
        <w:jc w:val="both"/>
        <w:rPr>
          <w:sz w:val="22"/>
        </w:rPr>
      </w:pPr>
      <w:r w:rsidRPr="00880C38">
        <w:rPr>
          <w:sz w:val="22"/>
        </w:rPr>
        <w:t>This is why the project avoids treating sentiment as a magic score. Text data are messy: headlines are short, sometimes promotional, sometimes delayed, and often written for attention rather than precise valuation. A lexicon model such as VADER is useful because it is transparent and auditable, but it cannot fully understand sarcasm, context, earnings expectations or whether good news is already priced. The financial question is therefore not whether the sentiment score is perfect; it is whether a simple, explainable signal survives an OOS portfolio test.</w:t>
      </w:r>
    </w:p>
    <w:p w14:paraId="1F4B9D25" w14:textId="2D31945A" w:rsidR="00FE5F67" w:rsidRPr="00880C38" w:rsidRDefault="00EF04C4" w:rsidP="00EF04C4">
      <w:pPr>
        <w:pStyle w:val="af2"/>
        <w:rPr>
          <w:rFonts w:ascii="Calibri" w:eastAsiaTheme="minorEastAsia" w:hAnsi="Calibri" w:cstheme="minorBidi"/>
          <w:sz w:val="22"/>
          <w:szCs w:val="22"/>
          <w:lang w:eastAsia="en-US"/>
        </w:rPr>
      </w:pPr>
      <w:r w:rsidRPr="00EF04C4">
        <w:rPr>
          <w:rFonts w:ascii="Calibri" w:eastAsiaTheme="minorEastAsia" w:hAnsi="Calibri" w:cstheme="minorBidi"/>
          <w:sz w:val="22"/>
          <w:szCs w:val="22"/>
          <w:lang w:eastAsia="en-US"/>
        </w:rPr>
        <w:lastRenderedPageBreak/>
        <w:t>The main original extension beyond the baseline is the coverage-aware lagged sector sentiment signal.</w:t>
      </w:r>
      <w:r w:rsidRPr="00880C38">
        <w:rPr>
          <w:rFonts w:ascii="Calibri" w:eastAsiaTheme="minorEastAsia" w:hAnsi="Calibri" w:cstheme="minorBidi"/>
          <w:sz w:val="22"/>
          <w:szCs w:val="22"/>
          <w:lang w:eastAsia="en-US"/>
        </w:rPr>
        <w:t xml:space="preserve"> A</w:t>
      </w:r>
      <w:r w:rsidR="00FE5F67" w:rsidRPr="00880C38">
        <w:rPr>
          <w:rFonts w:ascii="Calibri" w:eastAsiaTheme="minorEastAsia" w:hAnsi="Calibri" w:cstheme="minorBidi"/>
          <w:sz w:val="22"/>
          <w:szCs w:val="22"/>
          <w:lang w:eastAsia="en-US"/>
        </w:rPr>
        <w:t xml:space="preserve"> raw sector score can be misleading when it is driven by only one or two news-active stocks. To reduce this problem, I scale the lagged sector sentiment z-score by the previous day’s news coverage ratio.</w:t>
      </w:r>
    </w:p>
    <w:p w14:paraId="32D867B0" w14:textId="77777777" w:rsidR="00880C38" w:rsidRDefault="00FE5F67" w:rsidP="00880C38">
      <w:pPr>
        <w:pStyle w:val="pdq2pgselectionanchorcontainer"/>
        <w:spacing w:before="0" w:after="0" w:afterAutospacing="0"/>
        <w:jc w:val="both"/>
        <w:rPr>
          <w:rFonts w:ascii="Calibri" w:eastAsiaTheme="minorEastAsia" w:hAnsi="Calibri" w:cstheme="minorBidi"/>
          <w:sz w:val="22"/>
          <w:szCs w:val="22"/>
        </w:rPr>
      </w:pPr>
      <w:r w:rsidRPr="00880C38">
        <w:rPr>
          <w:rFonts w:ascii="Calibri" w:eastAsiaTheme="minorEastAsia" w:hAnsi="Calibri" w:cstheme="minorBidi"/>
          <w:sz w:val="22"/>
          <w:szCs w:val="22"/>
          <w:lang w:eastAsia="en-US"/>
        </w:rPr>
        <w:t xml:space="preserve">The coverage-aware sentiment signal used for trading is: </w:t>
      </w:r>
      <w:r w:rsidR="00880C38">
        <w:rPr>
          <w:rFonts w:ascii="Calibri" w:eastAsiaTheme="minorEastAsia" w:hAnsi="Calibri" w:cstheme="minorBidi" w:hint="eastAsia"/>
          <w:sz w:val="22"/>
          <w:szCs w:val="22"/>
        </w:rPr>
        <w:t xml:space="preserve"> </w:t>
      </w:r>
    </w:p>
    <w:p w14:paraId="330E9D36" w14:textId="77777777" w:rsidR="00F93237" w:rsidRPr="00FE5F67" w:rsidRDefault="00000000" w:rsidP="00880C38">
      <w:pPr>
        <w:pStyle w:val="pdq2pgselectionanchorcontainer"/>
        <w:spacing w:before="0" w:after="0" w:afterAutospacing="0"/>
        <w:jc w:val="both"/>
        <w:rPr>
          <w:rFonts w:ascii="Calibri" w:eastAsiaTheme="minorEastAsia" w:hAnsi="Calibri" w:cstheme="minorBidi"/>
          <w:sz w:val="22"/>
          <w:szCs w:val="22"/>
        </w:rPr>
      </w:pPr>
      <m:oMathPara>
        <m:oMath>
          <m:sSubSup>
            <m:sSubSupPr>
              <m:ctrlPr>
                <w:rPr>
                  <w:rFonts w:ascii="Cambria Math" w:eastAsiaTheme="minorEastAsia" w:hAnsi="Cambria Math" w:cstheme="minorBidi"/>
                  <w:sz w:val="22"/>
                  <w:szCs w:val="22"/>
                  <w:lang w:eastAsia="en-US"/>
                </w:rPr>
              </m:ctrlPr>
            </m:sSubSupPr>
            <m:e>
              <m:r>
                <w:rPr>
                  <w:rFonts w:ascii="Cambria Math" w:eastAsiaTheme="minorEastAsia" w:hAnsi="Cambria Math" w:cstheme="minorBidi"/>
                  <w:sz w:val="22"/>
                  <w:szCs w:val="22"/>
                  <w:lang w:eastAsia="en-US"/>
                </w:rPr>
                <m:t>S</m:t>
              </m:r>
            </m:e>
            <m:sub>
              <m:r>
                <w:rPr>
                  <w:rFonts w:ascii="Cambria Math" w:eastAsiaTheme="minorEastAsia" w:hAnsi="Cambria Math" w:cstheme="minorBidi"/>
                  <w:sz w:val="22"/>
                  <w:szCs w:val="22"/>
                  <w:lang w:eastAsia="en-US"/>
                </w:rPr>
                <m:t>s</m:t>
              </m:r>
              <m:r>
                <m:rPr>
                  <m:sty m:val="p"/>
                </m:rPr>
                <w:rPr>
                  <w:rFonts w:ascii="Cambria Math" w:eastAsiaTheme="minorEastAsia" w:hAnsi="Cambria Math" w:cstheme="minorBidi"/>
                  <w:sz w:val="22"/>
                  <w:szCs w:val="22"/>
                  <w:lang w:eastAsia="en-US"/>
                </w:rPr>
                <m:t>,</m:t>
              </m:r>
              <m:r>
                <w:rPr>
                  <w:rFonts w:ascii="Cambria Math" w:eastAsiaTheme="minorEastAsia" w:hAnsi="Cambria Math" w:cstheme="minorBidi"/>
                  <w:sz w:val="22"/>
                  <w:szCs w:val="22"/>
                  <w:lang w:eastAsia="en-US"/>
                </w:rPr>
                <m:t>t</m:t>
              </m:r>
            </m:sub>
            <m:sup>
              <m:r>
                <w:rPr>
                  <w:rFonts w:ascii="Cambria Math" w:eastAsiaTheme="minorEastAsia" w:hAnsi="Cambria Math" w:cstheme="minorBidi"/>
                  <w:sz w:val="22"/>
                  <w:szCs w:val="22"/>
                  <w:lang w:eastAsia="en-US"/>
                </w:rPr>
                <m:t>CA</m:t>
              </m:r>
            </m:sup>
          </m:sSubSup>
          <m:r>
            <m:rPr>
              <m:sty m:val="p"/>
            </m:rPr>
            <w:rPr>
              <w:rFonts w:ascii="Cambria Math" w:eastAsiaTheme="minorEastAsia" w:hAnsi="Cambria Math" w:cstheme="minorBidi"/>
              <w:sz w:val="22"/>
              <w:szCs w:val="22"/>
              <w:lang w:eastAsia="en-US"/>
            </w:rPr>
            <m:t>=</m:t>
          </m:r>
          <m:sSubSup>
            <m:sSubSupPr>
              <m:ctrlPr>
                <w:rPr>
                  <w:rFonts w:ascii="Cambria Math" w:eastAsiaTheme="minorEastAsia" w:hAnsi="Cambria Math" w:cstheme="minorBidi"/>
                  <w:sz w:val="22"/>
                  <w:szCs w:val="22"/>
                  <w:lang w:eastAsia="en-US"/>
                </w:rPr>
              </m:ctrlPr>
            </m:sSubSupPr>
            <m:e>
              <m:r>
                <w:rPr>
                  <w:rFonts w:ascii="Cambria Math" w:eastAsiaTheme="minorEastAsia" w:hAnsi="Cambria Math" w:cstheme="minorBidi"/>
                  <w:sz w:val="22"/>
                  <w:szCs w:val="22"/>
                  <w:lang w:eastAsia="en-US"/>
                </w:rPr>
                <m:t>z</m:t>
              </m:r>
            </m:e>
            <m:sub>
              <m:r>
                <w:rPr>
                  <w:rFonts w:ascii="Cambria Math" w:eastAsiaTheme="minorEastAsia" w:hAnsi="Cambria Math" w:cstheme="minorBidi"/>
                  <w:sz w:val="22"/>
                  <w:szCs w:val="22"/>
                  <w:lang w:eastAsia="en-US"/>
                </w:rPr>
                <m:t>s</m:t>
              </m:r>
              <m:r>
                <m:rPr>
                  <m:sty m:val="p"/>
                </m:rPr>
                <w:rPr>
                  <w:rFonts w:ascii="Cambria Math" w:eastAsiaTheme="minorEastAsia" w:hAnsi="Cambria Math" w:cstheme="minorBidi"/>
                  <w:sz w:val="22"/>
                  <w:szCs w:val="22"/>
                  <w:lang w:eastAsia="en-US"/>
                </w:rPr>
                <m:t>,</m:t>
              </m:r>
              <m:r>
                <w:rPr>
                  <w:rFonts w:ascii="Cambria Math" w:eastAsiaTheme="minorEastAsia" w:hAnsi="Cambria Math" w:cstheme="minorBidi"/>
                  <w:sz w:val="22"/>
                  <w:szCs w:val="22"/>
                  <w:lang w:eastAsia="en-US"/>
                </w:rPr>
                <m:t>t</m:t>
              </m:r>
              <m:r>
                <m:rPr>
                  <m:sty m:val="p"/>
                </m:rPr>
                <w:rPr>
                  <w:rFonts w:ascii="Cambria Math" w:eastAsiaTheme="minorEastAsia" w:hAnsi="Cambria Math" w:cstheme="minorBidi"/>
                  <w:sz w:val="22"/>
                  <w:szCs w:val="22"/>
                  <w:lang w:eastAsia="en-US"/>
                </w:rPr>
                <m:t>-1</m:t>
              </m:r>
            </m:sub>
            <m:sup>
              <m:r>
                <w:rPr>
                  <w:rFonts w:ascii="Cambria Math" w:eastAsiaTheme="minorEastAsia" w:hAnsi="Cambria Math" w:cstheme="minorBidi"/>
                  <w:sz w:val="22"/>
                  <w:szCs w:val="22"/>
                  <w:lang w:eastAsia="en-US"/>
                </w:rPr>
                <m:t>F</m:t>
              </m:r>
            </m:sup>
          </m:sSubSup>
          <m:r>
            <m:rPr>
              <m:sty m:val="p"/>
            </m:rPr>
            <w:rPr>
              <w:rFonts w:ascii="Cambria Math" w:eastAsiaTheme="minorEastAsia" w:hAnsi="Cambria Math" w:cstheme="minorBidi"/>
              <w:sz w:val="22"/>
              <w:szCs w:val="22"/>
              <w:lang w:eastAsia="en-US"/>
            </w:rPr>
            <m:t>×</m:t>
          </m:r>
          <m:sSub>
            <m:sSubPr>
              <m:ctrlPr>
                <w:rPr>
                  <w:rFonts w:ascii="Cambria Math" w:eastAsiaTheme="minorEastAsia" w:hAnsi="Cambria Math" w:cstheme="minorBidi"/>
                  <w:sz w:val="22"/>
                  <w:szCs w:val="22"/>
                  <w:lang w:eastAsia="en-US"/>
                </w:rPr>
              </m:ctrlPr>
            </m:sSubPr>
            <m:e>
              <m:r>
                <w:rPr>
                  <w:rFonts w:ascii="Cambria Math" w:eastAsiaTheme="minorEastAsia" w:hAnsi="Cambria Math" w:cstheme="minorBidi"/>
                  <w:sz w:val="22"/>
                  <w:szCs w:val="22"/>
                  <w:lang w:eastAsia="en-US"/>
                </w:rPr>
                <m:t>c</m:t>
              </m:r>
            </m:e>
            <m:sub>
              <m:r>
                <w:rPr>
                  <w:rFonts w:ascii="Cambria Math" w:eastAsiaTheme="minorEastAsia" w:hAnsi="Cambria Math" w:cstheme="minorBidi"/>
                  <w:sz w:val="22"/>
                  <w:szCs w:val="22"/>
                  <w:lang w:eastAsia="en-US"/>
                </w:rPr>
                <m:t>s</m:t>
              </m:r>
              <m:r>
                <m:rPr>
                  <m:sty m:val="p"/>
                </m:rPr>
                <w:rPr>
                  <w:rFonts w:ascii="Cambria Math" w:eastAsiaTheme="minorEastAsia" w:hAnsi="Cambria Math" w:cstheme="minorBidi"/>
                  <w:sz w:val="22"/>
                  <w:szCs w:val="22"/>
                  <w:lang w:eastAsia="en-US"/>
                </w:rPr>
                <m:t>,</m:t>
              </m:r>
              <m:r>
                <w:rPr>
                  <w:rFonts w:ascii="Cambria Math" w:eastAsiaTheme="minorEastAsia" w:hAnsi="Cambria Math" w:cstheme="minorBidi"/>
                  <w:sz w:val="22"/>
                  <w:szCs w:val="22"/>
                  <w:lang w:eastAsia="en-US"/>
                </w:rPr>
                <m:t>t</m:t>
              </m:r>
              <m:r>
                <m:rPr>
                  <m:sty m:val="p"/>
                </m:rPr>
                <w:rPr>
                  <w:rFonts w:ascii="Cambria Math" w:eastAsiaTheme="minorEastAsia" w:hAnsi="Cambria Math" w:cstheme="minorBidi"/>
                  <w:sz w:val="22"/>
                  <w:szCs w:val="22"/>
                  <w:lang w:eastAsia="en-US"/>
                </w:rPr>
                <m:t>-1</m:t>
              </m:r>
            </m:sub>
          </m:sSub>
        </m:oMath>
      </m:oMathPara>
    </w:p>
    <w:p w14:paraId="52B1E507" w14:textId="77777777" w:rsidR="00880C38" w:rsidRDefault="00FE5F67" w:rsidP="00880C38">
      <w:pPr>
        <w:pStyle w:val="pdq2pgselectionanchorcontainer"/>
        <w:spacing w:before="0" w:after="0" w:afterAutospacing="0"/>
        <w:jc w:val="both"/>
        <w:rPr>
          <w:rFonts w:ascii="Calibri" w:eastAsiaTheme="minorEastAsia" w:hAnsi="Calibri" w:cstheme="minorBidi"/>
          <w:sz w:val="22"/>
          <w:szCs w:val="22"/>
        </w:rPr>
      </w:pPr>
      <w:r w:rsidRPr="00FE5F67">
        <w:rPr>
          <w:rFonts w:ascii="Calibri" w:eastAsiaTheme="minorEastAsia" w:hAnsi="Calibri" w:cstheme="minorBidi"/>
          <w:sz w:val="22"/>
          <w:szCs w:val="22"/>
          <w:lang w:eastAsia="en-US"/>
        </w:rPr>
        <w:t>The coverage ratio is</w:t>
      </w:r>
      <w:r w:rsidRPr="00FE5F67">
        <w:rPr>
          <w:rFonts w:ascii="Calibri" w:eastAsiaTheme="minorEastAsia" w:hAnsi="Calibri" w:cstheme="minorBidi" w:hint="eastAsia"/>
          <w:sz w:val="22"/>
          <w:szCs w:val="22"/>
          <w:lang w:eastAsia="en-US"/>
        </w:rPr>
        <w:t>：</w:t>
      </w:r>
      <w:r w:rsidR="00880C38">
        <w:rPr>
          <w:rFonts w:ascii="Calibri" w:eastAsiaTheme="minorEastAsia" w:hAnsi="Calibri" w:cstheme="minorBidi" w:hint="eastAsia"/>
          <w:sz w:val="22"/>
          <w:szCs w:val="22"/>
        </w:rPr>
        <w:t xml:space="preserve">  </w:t>
      </w:r>
    </w:p>
    <w:p w14:paraId="0DAC112B" w14:textId="77777777" w:rsidR="008B78A3" w:rsidRDefault="00000000" w:rsidP="00880C38">
      <w:pPr>
        <w:pStyle w:val="pdq2pgselectionanchorcontainer"/>
        <w:spacing w:before="0" w:after="0" w:afterAutospacing="0"/>
        <w:jc w:val="center"/>
        <w:rPr>
          <w:rFonts w:ascii="Calibri" w:eastAsiaTheme="minorEastAsia" w:hAnsi="Calibri" w:cstheme="minorBidi"/>
          <w:sz w:val="22"/>
          <w:szCs w:val="22"/>
        </w:rPr>
      </w:pPr>
      <m:oMathPara>
        <m:oMath>
          <m:sSub>
            <m:sSubPr>
              <m:ctrlPr>
                <w:rPr>
                  <w:rFonts w:ascii="Cambria Math" w:eastAsiaTheme="minorEastAsia" w:hAnsi="Cambria Math" w:cstheme="minorBidi"/>
                  <w:sz w:val="22"/>
                  <w:szCs w:val="22"/>
                  <w:lang w:eastAsia="en-US"/>
                </w:rPr>
              </m:ctrlPr>
            </m:sSubPr>
            <m:e>
              <m:r>
                <m:rPr>
                  <m:sty m:val="p"/>
                </m:rPr>
                <w:rPr>
                  <w:rFonts w:ascii="Cambria Math" w:eastAsiaTheme="minorEastAsia" w:hAnsi="Cambria Math" w:cstheme="minorBidi"/>
                  <w:sz w:val="22"/>
                  <w:szCs w:val="22"/>
                  <w:lang w:eastAsia="en-US"/>
                </w:rPr>
                <m:t>c</m:t>
              </m:r>
            </m:e>
            <m:sub>
              <m:r>
                <m:rPr>
                  <m:sty m:val="p"/>
                </m:rPr>
                <w:rPr>
                  <w:rFonts w:ascii="Cambria Math" w:eastAsiaTheme="minorEastAsia" w:hAnsi="Cambria Math" w:cstheme="minorBidi"/>
                  <w:sz w:val="22"/>
                  <w:szCs w:val="22"/>
                  <w:lang w:eastAsia="en-US"/>
                </w:rPr>
                <m:t>s,t-1</m:t>
              </m:r>
            </m:sub>
          </m:sSub>
          <m:r>
            <m:rPr>
              <m:sty m:val="p"/>
            </m:rPr>
            <w:rPr>
              <w:rFonts w:ascii="Cambria Math" w:eastAsiaTheme="minorEastAsia" w:hAnsi="Cambria Math" w:cstheme="minorBidi"/>
              <w:sz w:val="22"/>
              <w:szCs w:val="22"/>
              <w:lang w:eastAsia="en-US"/>
            </w:rPr>
            <m:t>=</m:t>
          </m:r>
          <m:f>
            <m:fPr>
              <m:ctrlPr>
                <w:rPr>
                  <w:rFonts w:ascii="Cambria Math" w:eastAsiaTheme="minorEastAsia" w:hAnsi="Cambria Math" w:cstheme="minorBidi"/>
                  <w:sz w:val="22"/>
                  <w:szCs w:val="22"/>
                  <w:lang w:eastAsia="en-US"/>
                </w:rPr>
              </m:ctrlPr>
            </m:fPr>
            <m:num>
              <m:sSubSup>
                <m:sSubSupPr>
                  <m:ctrlPr>
                    <w:rPr>
                      <w:rFonts w:ascii="Cambria Math" w:eastAsiaTheme="minorEastAsia" w:hAnsi="Cambria Math" w:cstheme="minorBidi"/>
                      <w:sz w:val="22"/>
                      <w:szCs w:val="22"/>
                      <w:lang w:eastAsia="en-US"/>
                    </w:rPr>
                  </m:ctrlPr>
                </m:sSubSupPr>
                <m:e>
                  <m:r>
                    <w:rPr>
                      <w:rFonts w:ascii="Cambria Math" w:eastAsiaTheme="minorEastAsia" w:hAnsi="Cambria Math" w:cstheme="minorBidi"/>
                      <w:sz w:val="22"/>
                      <w:szCs w:val="22"/>
                      <w:lang w:eastAsia="en-US"/>
                    </w:rPr>
                    <m:t>n</m:t>
                  </m:r>
                </m:e>
                <m:sub>
                  <m:r>
                    <w:rPr>
                      <w:rFonts w:ascii="Cambria Math" w:eastAsiaTheme="minorEastAsia" w:hAnsi="Cambria Math" w:cstheme="minorBidi"/>
                      <w:sz w:val="22"/>
                      <w:szCs w:val="22"/>
                      <w:lang w:eastAsia="en-US"/>
                    </w:rPr>
                    <m:t>s</m:t>
                  </m:r>
                  <m:r>
                    <m:rPr>
                      <m:sty m:val="p"/>
                    </m:rPr>
                    <w:rPr>
                      <w:rFonts w:ascii="Cambria Math" w:eastAsiaTheme="minorEastAsia" w:hAnsi="Cambria Math" w:cstheme="minorBidi"/>
                      <w:sz w:val="22"/>
                      <w:szCs w:val="22"/>
                      <w:lang w:eastAsia="en-US"/>
                    </w:rPr>
                    <m:t>,</m:t>
                  </m:r>
                  <m:r>
                    <w:rPr>
                      <w:rFonts w:ascii="Cambria Math" w:eastAsiaTheme="minorEastAsia" w:hAnsi="Cambria Math" w:cstheme="minorBidi"/>
                      <w:sz w:val="22"/>
                      <w:szCs w:val="22"/>
                      <w:lang w:eastAsia="en-US"/>
                    </w:rPr>
                    <m:t>t</m:t>
                  </m:r>
                  <m:r>
                    <m:rPr>
                      <m:sty m:val="p"/>
                    </m:rPr>
                    <w:rPr>
                      <w:rFonts w:ascii="Cambria Math" w:eastAsiaTheme="minorEastAsia" w:hAnsi="Cambria Math" w:cstheme="minorBidi"/>
                      <w:sz w:val="22"/>
                      <w:szCs w:val="22"/>
                      <w:lang w:eastAsia="en-US"/>
                    </w:rPr>
                    <m:t>-1</m:t>
                  </m:r>
                </m:sub>
                <m:sup>
                  <m:r>
                    <w:rPr>
                      <w:rFonts w:ascii="Cambria Math" w:eastAsiaTheme="minorEastAsia" w:hAnsi="Cambria Math" w:cstheme="minorBidi"/>
                      <w:sz w:val="22"/>
                      <w:szCs w:val="22"/>
                      <w:lang w:eastAsia="en-US"/>
                    </w:rPr>
                    <m:t>news</m:t>
                  </m:r>
                </m:sup>
              </m:sSubSup>
            </m:num>
            <m:den>
              <m:sSub>
                <m:sSubPr>
                  <m:ctrlPr>
                    <w:rPr>
                      <w:rFonts w:ascii="Cambria Math" w:eastAsiaTheme="minorEastAsia" w:hAnsi="Cambria Math" w:cstheme="minorBidi"/>
                      <w:sz w:val="22"/>
                      <w:szCs w:val="22"/>
                      <w:lang w:eastAsia="en-US"/>
                    </w:rPr>
                  </m:ctrlPr>
                </m:sSubPr>
                <m:e>
                  <m:r>
                    <w:rPr>
                      <w:rFonts w:ascii="Cambria Math" w:eastAsiaTheme="minorEastAsia" w:hAnsi="Cambria Math" w:cstheme="minorBidi"/>
                      <w:sz w:val="22"/>
                      <w:szCs w:val="22"/>
                      <w:lang w:eastAsia="en-US"/>
                    </w:rPr>
                    <m:t>N</m:t>
                  </m:r>
                </m:e>
                <m:sub>
                  <m:r>
                    <w:rPr>
                      <w:rFonts w:ascii="Cambria Math" w:eastAsiaTheme="minorEastAsia" w:hAnsi="Cambria Math" w:cstheme="minorBidi"/>
                      <w:sz w:val="22"/>
                      <w:szCs w:val="22"/>
                      <w:lang w:eastAsia="en-US"/>
                    </w:rPr>
                    <m:t>s</m:t>
                  </m:r>
                </m:sub>
              </m:sSub>
            </m:den>
          </m:f>
        </m:oMath>
      </m:oMathPara>
    </w:p>
    <w:p w14:paraId="1D1B4703" w14:textId="77777777" w:rsidR="00FE5F67" w:rsidRDefault="00FE5F67" w:rsidP="005900DD">
      <w:pPr>
        <w:pStyle w:val="pdq2pgselectionanchorcontainer"/>
        <w:spacing w:before="0" w:after="80"/>
        <w:jc w:val="both"/>
        <w:rPr>
          <w:rFonts w:ascii="Calibri" w:eastAsiaTheme="minorEastAsia" w:hAnsi="Calibri" w:cstheme="minorBidi"/>
          <w:sz w:val="22"/>
          <w:szCs w:val="22"/>
        </w:rPr>
      </w:pPr>
      <w:r w:rsidRPr="00880C38">
        <w:rPr>
          <w:rFonts w:ascii="Calibri" w:eastAsiaTheme="minorEastAsia" w:hAnsi="Calibri" w:cstheme="minorBidi"/>
          <w:sz w:val="22"/>
          <w:szCs w:val="22"/>
          <w:lang w:eastAsia="en-US"/>
        </w:rPr>
        <w:t xml:space="preserve">In these equations, </w:t>
      </w:r>
      <m:oMath>
        <m:sSubSup>
          <m:sSubSupPr>
            <m:ctrlPr>
              <w:rPr>
                <w:rFonts w:ascii="Cambria Math" w:eastAsiaTheme="minorEastAsia" w:hAnsi="Cambria Math" w:cstheme="minorBidi"/>
                <w:sz w:val="22"/>
                <w:szCs w:val="22"/>
                <w:lang w:eastAsia="en-US"/>
              </w:rPr>
            </m:ctrlPr>
          </m:sSubSupPr>
          <m:e>
            <m:r>
              <w:rPr>
                <w:rFonts w:ascii="Cambria Math" w:eastAsiaTheme="minorEastAsia" w:hAnsi="Cambria Math" w:cstheme="minorBidi"/>
                <w:sz w:val="22"/>
                <w:szCs w:val="22"/>
                <w:lang w:eastAsia="en-US"/>
              </w:rPr>
              <m:t>z</m:t>
            </m:r>
          </m:e>
          <m:sub>
            <m:r>
              <w:rPr>
                <w:rFonts w:ascii="Cambria Math" w:eastAsiaTheme="minorEastAsia" w:hAnsi="Cambria Math" w:cstheme="minorBidi"/>
                <w:sz w:val="22"/>
                <w:szCs w:val="22"/>
                <w:lang w:eastAsia="en-US"/>
              </w:rPr>
              <m:t>s</m:t>
            </m:r>
            <m:r>
              <m:rPr>
                <m:sty m:val="p"/>
              </m:rPr>
              <w:rPr>
                <w:rFonts w:ascii="Cambria Math" w:eastAsiaTheme="minorEastAsia" w:hAnsi="Cambria Math" w:cstheme="minorBidi"/>
                <w:sz w:val="22"/>
                <w:szCs w:val="22"/>
                <w:lang w:eastAsia="en-US"/>
              </w:rPr>
              <m:t>,</m:t>
            </m:r>
            <m:r>
              <w:rPr>
                <w:rFonts w:ascii="Cambria Math" w:eastAsiaTheme="minorEastAsia" w:hAnsi="Cambria Math" w:cstheme="minorBidi"/>
                <w:sz w:val="22"/>
                <w:szCs w:val="22"/>
                <w:lang w:eastAsia="en-US"/>
              </w:rPr>
              <m:t>t</m:t>
            </m:r>
            <m:r>
              <m:rPr>
                <m:sty m:val="p"/>
              </m:rPr>
              <w:rPr>
                <w:rFonts w:ascii="Cambria Math" w:eastAsiaTheme="minorEastAsia" w:hAnsi="Cambria Math" w:cstheme="minorBidi"/>
                <w:sz w:val="22"/>
                <w:szCs w:val="22"/>
                <w:lang w:eastAsia="en-US"/>
              </w:rPr>
              <m:t>-1</m:t>
            </m:r>
          </m:sub>
          <m:sup>
            <m:r>
              <w:rPr>
                <w:rFonts w:ascii="Cambria Math" w:eastAsiaTheme="minorEastAsia" w:hAnsi="Cambria Math" w:cstheme="minorBidi"/>
                <w:sz w:val="22"/>
                <w:szCs w:val="22"/>
                <w:lang w:eastAsia="en-US"/>
              </w:rPr>
              <m:t>F</m:t>
            </m:r>
          </m:sup>
        </m:sSubSup>
      </m:oMath>
      <w:r w:rsidRPr="00880C38">
        <w:rPr>
          <w:rFonts w:ascii="Calibri" w:eastAsiaTheme="minorEastAsia" w:hAnsi="Calibri" w:cstheme="minorBidi"/>
          <w:sz w:val="22"/>
          <w:szCs w:val="22"/>
          <w:lang w:eastAsia="en-US"/>
        </w:rPr>
        <w:t xml:space="preserve"> is the past-only expanding-window finance-augmented VADER z-score for sector</w:t>
      </w:r>
      <m:oMath>
        <m:r>
          <w:rPr>
            <w:rFonts w:ascii="Cambria Math" w:eastAsiaTheme="minorEastAsia" w:hAnsi="Cambria Math" w:cstheme="minorBidi" w:hint="eastAsia"/>
            <w:sz w:val="22"/>
            <w:szCs w:val="22"/>
            <w:lang w:eastAsia="en-US"/>
          </w:rPr>
          <m:t>s</m:t>
        </m:r>
      </m:oMath>
      <w:r w:rsidRPr="00880C38">
        <w:rPr>
          <w:rFonts w:ascii="Calibri" w:eastAsiaTheme="minorEastAsia" w:hAnsi="Calibri" w:cstheme="minorBidi"/>
          <w:sz w:val="22"/>
          <w:szCs w:val="22"/>
          <w:lang w:eastAsia="en-US"/>
        </w:rPr>
        <w:t xml:space="preserve"> , lagged by one trading day. </w:t>
      </w:r>
      <m:oMath>
        <m:sSub>
          <m:sSubPr>
            <m:ctrlPr>
              <w:rPr>
                <w:rFonts w:ascii="Cambria Math" w:eastAsiaTheme="minorEastAsia" w:hAnsi="Cambria Math" w:cstheme="minorBidi"/>
                <w:sz w:val="22"/>
                <w:szCs w:val="22"/>
                <w:lang w:eastAsia="en-US"/>
              </w:rPr>
            </m:ctrlPr>
          </m:sSubPr>
          <m:e>
            <m:r>
              <m:rPr>
                <m:sty m:val="p"/>
              </m:rPr>
              <w:rPr>
                <w:rFonts w:ascii="Cambria Math" w:eastAsiaTheme="minorEastAsia" w:hAnsi="Cambria Math" w:cstheme="minorBidi"/>
                <w:sz w:val="22"/>
                <w:szCs w:val="22"/>
                <w:lang w:eastAsia="en-US"/>
              </w:rPr>
              <m:t>C</m:t>
            </m:r>
          </m:e>
          <m:sub>
            <m:r>
              <m:rPr>
                <m:sty m:val="p"/>
              </m:rPr>
              <w:rPr>
                <w:rFonts w:ascii="Cambria Math" w:eastAsiaTheme="minorEastAsia" w:hAnsi="Cambria Math" w:cstheme="minorBidi"/>
                <w:sz w:val="22"/>
                <w:szCs w:val="22"/>
                <w:lang w:eastAsia="en-US"/>
              </w:rPr>
              <m:t>s,t-1</m:t>
            </m:r>
          </m:sub>
        </m:sSub>
        <m:r>
          <m:rPr>
            <m:sty m:val="p"/>
          </m:rPr>
          <w:rPr>
            <w:rFonts w:ascii="Cambria Math" w:eastAsiaTheme="minorEastAsia" w:hAnsi="Cambria Math" w:cstheme="minorBidi"/>
            <w:sz w:val="22"/>
            <w:szCs w:val="22"/>
            <w:lang w:eastAsia="en-US"/>
          </w:rPr>
          <m:t xml:space="preserve"> </m:t>
        </m:r>
      </m:oMath>
      <w:r w:rsidRPr="00880C38">
        <w:rPr>
          <w:rFonts w:ascii="Calibri" w:eastAsiaTheme="minorEastAsia" w:hAnsi="Calibri" w:cstheme="minorBidi"/>
          <w:sz w:val="22"/>
          <w:szCs w:val="22"/>
          <w:lang w:eastAsia="en-US"/>
        </w:rPr>
        <w:t xml:space="preserve">is the prior-day news coverage ratio. </w:t>
      </w:r>
      <m:oMath>
        <m:sSubSup>
          <m:sSubSupPr>
            <m:ctrlPr>
              <w:rPr>
                <w:rFonts w:ascii="Cambria Math" w:eastAsiaTheme="minorEastAsia" w:hAnsi="Cambria Math" w:cstheme="minorBidi"/>
                <w:sz w:val="22"/>
                <w:szCs w:val="22"/>
                <w:lang w:eastAsia="en-US"/>
              </w:rPr>
            </m:ctrlPr>
          </m:sSubSupPr>
          <m:e>
            <m:r>
              <w:rPr>
                <w:rFonts w:ascii="Cambria Math" w:eastAsiaTheme="minorEastAsia" w:hAnsi="Cambria Math" w:cstheme="minorBidi"/>
                <w:sz w:val="22"/>
                <w:szCs w:val="22"/>
                <w:lang w:eastAsia="en-US"/>
              </w:rPr>
              <m:t>n</m:t>
            </m:r>
          </m:e>
          <m:sub>
            <m:r>
              <w:rPr>
                <w:rFonts w:ascii="Cambria Math" w:eastAsiaTheme="minorEastAsia" w:hAnsi="Cambria Math" w:cstheme="minorBidi"/>
                <w:sz w:val="22"/>
                <w:szCs w:val="22"/>
                <w:lang w:eastAsia="en-US"/>
              </w:rPr>
              <m:t>s</m:t>
            </m:r>
            <m:r>
              <m:rPr>
                <m:sty m:val="p"/>
              </m:rPr>
              <w:rPr>
                <w:rFonts w:ascii="Cambria Math" w:eastAsiaTheme="minorEastAsia" w:hAnsi="Cambria Math" w:cstheme="minorBidi"/>
                <w:sz w:val="22"/>
                <w:szCs w:val="22"/>
                <w:lang w:eastAsia="en-US"/>
              </w:rPr>
              <m:t>,</m:t>
            </m:r>
            <m:r>
              <w:rPr>
                <w:rFonts w:ascii="Cambria Math" w:eastAsiaTheme="minorEastAsia" w:hAnsi="Cambria Math" w:cstheme="minorBidi"/>
                <w:sz w:val="22"/>
                <w:szCs w:val="22"/>
                <w:lang w:eastAsia="en-US"/>
              </w:rPr>
              <m:t>t</m:t>
            </m:r>
            <m:r>
              <m:rPr>
                <m:sty m:val="p"/>
              </m:rPr>
              <w:rPr>
                <w:rFonts w:ascii="Cambria Math" w:eastAsiaTheme="minorEastAsia" w:hAnsi="Cambria Math" w:cstheme="minorBidi"/>
                <w:sz w:val="22"/>
                <w:szCs w:val="22"/>
                <w:lang w:eastAsia="en-US"/>
              </w:rPr>
              <m:t>-1</m:t>
            </m:r>
          </m:sub>
          <m:sup>
            <m:r>
              <w:rPr>
                <w:rFonts w:ascii="Cambria Math" w:eastAsiaTheme="minorEastAsia" w:hAnsi="Cambria Math" w:cstheme="minorBidi"/>
                <w:sz w:val="22"/>
                <w:szCs w:val="22"/>
                <w:lang w:eastAsia="en-US"/>
              </w:rPr>
              <m:t>news</m:t>
            </m:r>
          </m:sup>
        </m:sSubSup>
      </m:oMath>
      <w:r w:rsidRPr="00880C38">
        <w:rPr>
          <w:rFonts w:ascii="Calibri" w:eastAsiaTheme="minorEastAsia" w:hAnsi="Calibri" w:cstheme="minorBidi" w:hint="eastAsia"/>
          <w:sz w:val="22"/>
          <w:szCs w:val="22"/>
          <w:lang w:eastAsia="en-US"/>
        </w:rPr>
        <w:t xml:space="preserve"> </w:t>
      </w:r>
      <w:r w:rsidRPr="00880C38">
        <w:rPr>
          <w:rFonts w:ascii="Calibri" w:eastAsiaTheme="minorEastAsia" w:hAnsi="Calibri" w:cstheme="minorBidi"/>
          <w:sz w:val="22"/>
          <w:szCs w:val="22"/>
          <w:lang w:eastAsia="en-US"/>
        </w:rPr>
        <w:t>is the number of stocks in sector with observed headlines on the prior trading day, and</w:t>
      </w:r>
      <w:r w:rsidRPr="00880C38">
        <w:rPr>
          <w:rFonts w:ascii="Calibri" w:eastAsiaTheme="minorEastAsia" w:hAnsi="Calibri" w:cstheme="minorBidi" w:hint="eastAsia"/>
          <w:sz w:val="22"/>
          <w:szCs w:val="22"/>
          <w:lang w:eastAsia="en-US"/>
        </w:rPr>
        <w:t xml:space="preserve"> </w:t>
      </w:r>
      <m:oMath>
        <m:sSub>
          <m:sSubPr>
            <m:ctrlPr>
              <w:rPr>
                <w:rFonts w:ascii="Cambria Math" w:eastAsiaTheme="minorEastAsia" w:hAnsi="Cambria Math" w:cstheme="minorBidi"/>
                <w:sz w:val="22"/>
                <w:szCs w:val="22"/>
                <w:lang w:eastAsia="en-US"/>
              </w:rPr>
            </m:ctrlPr>
          </m:sSubPr>
          <m:e>
            <m:r>
              <w:rPr>
                <w:rFonts w:ascii="Cambria Math" w:eastAsiaTheme="minorEastAsia" w:hAnsi="Cambria Math" w:cstheme="minorBidi"/>
                <w:sz w:val="22"/>
                <w:szCs w:val="22"/>
                <w:lang w:eastAsia="en-US"/>
              </w:rPr>
              <m:t>N</m:t>
            </m:r>
          </m:e>
          <m:sub>
            <m:r>
              <w:rPr>
                <w:rFonts w:ascii="Cambria Math" w:eastAsiaTheme="minorEastAsia" w:hAnsi="Cambria Math" w:cstheme="minorBidi"/>
                <w:sz w:val="22"/>
                <w:szCs w:val="22"/>
                <w:lang w:eastAsia="en-US"/>
              </w:rPr>
              <m:t>s</m:t>
            </m:r>
          </m:sub>
        </m:sSub>
      </m:oMath>
      <w:r w:rsidRPr="00880C38">
        <w:rPr>
          <w:rFonts w:ascii="Calibri" w:eastAsiaTheme="minorEastAsia" w:hAnsi="Calibri" w:cstheme="minorBidi" w:hint="eastAsia"/>
          <w:sz w:val="22"/>
          <w:szCs w:val="22"/>
          <w:lang w:eastAsia="en-US"/>
        </w:rPr>
        <w:t xml:space="preserve"> </w:t>
      </w:r>
      <w:r w:rsidRPr="00880C38">
        <w:rPr>
          <w:rFonts w:ascii="Calibri" w:eastAsiaTheme="minorEastAsia" w:hAnsi="Calibri" w:cstheme="minorBidi"/>
          <w:sz w:val="22"/>
          <w:szCs w:val="22"/>
          <w:lang w:eastAsia="en-US"/>
        </w:rPr>
        <w:t>is the total number of stocks in that sector. This design reduces the strength of sentiment signals based on sparse stock-level news coverage, while preserving stronger signals when news is broad across the sector.</w:t>
      </w:r>
    </w:p>
    <w:p w14:paraId="2024F588" w14:textId="7A9D094C" w:rsidR="00AE3704" w:rsidRPr="00AE3704" w:rsidRDefault="00AE3704" w:rsidP="00AE3704">
      <w:pPr>
        <w:pStyle w:val="af2"/>
        <w:jc w:val="both"/>
        <w:rPr>
          <w:rFonts w:ascii="Calibri" w:eastAsiaTheme="minorEastAsia" w:hAnsi="Calibri" w:cstheme="minorBidi"/>
          <w:sz w:val="22"/>
          <w:szCs w:val="22"/>
        </w:rPr>
      </w:pPr>
      <w:r w:rsidRPr="00AE3704">
        <w:rPr>
          <w:rFonts w:ascii="Calibri" w:eastAsiaTheme="minorEastAsia" w:hAnsi="Calibri" w:cstheme="minorBidi"/>
          <w:sz w:val="22"/>
          <w:szCs w:val="22"/>
          <w:lang w:eastAsia="en-US"/>
        </w:rPr>
        <w:t>The report uses two related sentiment measures for different purposes. The standalone 0 to 100 sector sentiment index is designed for investor interpretation, while the lagged and coverage adjusted z score is used in the portfolio fusion test. Keeping them separate means that the visual index is not treated as a trading rule. The standalone index makes sector news tone easier to compare, while the trading signal also accounts for timing and the amount of news available.</w:t>
      </w:r>
    </w:p>
    <w:p w14:paraId="6F5553C1" w14:textId="2095BC1B" w:rsidR="00AE3704" w:rsidRDefault="00AE3704" w:rsidP="00AE3704">
      <w:pPr>
        <w:spacing w:after="80" w:line="240" w:lineRule="auto"/>
        <w:jc w:val="center"/>
        <w:rPr>
          <w:sz w:val="22"/>
          <w:lang w:eastAsia="zh-CN"/>
        </w:rPr>
      </w:pPr>
      <w:r w:rsidRPr="00AE3704">
        <w:rPr>
          <w:noProof/>
          <w:sz w:val="22"/>
          <w:lang w:eastAsia="zh-CN"/>
        </w:rPr>
        <w:drawing>
          <wp:inline distT="0" distB="0" distL="0" distR="0" wp14:anchorId="2B5E0F42" wp14:editId="5891A999">
            <wp:extent cx="5504330" cy="2941624"/>
            <wp:effectExtent l="0" t="0" r="0" b="5080"/>
            <wp:docPr id="1025258659" name="图片 1" descr="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258659" name="图片 1" descr="日历&#10;&#10;AI 生成的内容可能不正确。"/>
                    <pic:cNvPicPr/>
                  </pic:nvPicPr>
                  <pic:blipFill>
                    <a:blip r:embed="rId10"/>
                    <a:stretch>
                      <a:fillRect/>
                    </a:stretch>
                  </pic:blipFill>
                  <pic:spPr>
                    <a:xfrm>
                      <a:off x="0" y="0"/>
                      <a:ext cx="5535590" cy="2958330"/>
                    </a:xfrm>
                    <a:prstGeom prst="rect">
                      <a:avLst/>
                    </a:prstGeom>
                  </pic:spPr>
                </pic:pic>
              </a:graphicData>
            </a:graphic>
          </wp:inline>
        </w:drawing>
      </w:r>
    </w:p>
    <w:p w14:paraId="3037CAC1" w14:textId="243DF08C" w:rsidR="00AE3704" w:rsidRPr="00A9543F" w:rsidRDefault="00AE3704" w:rsidP="00A9543F">
      <w:pPr>
        <w:pStyle w:val="pdq2pgselectionanchorcontainer"/>
        <w:spacing w:before="40"/>
        <w:jc w:val="center"/>
        <w:rPr>
          <w:rFonts w:ascii="Calibri" w:eastAsiaTheme="minorEastAsia" w:hAnsi="Calibri" w:cstheme="minorBidi"/>
          <w:b/>
          <w:bCs/>
          <w:sz w:val="19"/>
        </w:rPr>
      </w:pPr>
      <w:r w:rsidRPr="00A9543F">
        <w:rPr>
          <w:rFonts w:ascii="Calibri" w:eastAsiaTheme="minorEastAsia" w:hAnsi="Calibri" w:cstheme="minorBidi"/>
          <w:b/>
          <w:bCs/>
          <w:sz w:val="19"/>
        </w:rPr>
        <w:t>Figure 5. Standalone sector sentiment index over time, 2020 to 2023</w:t>
      </w:r>
    </w:p>
    <w:p w14:paraId="1CC6DCB4" w14:textId="633917B3" w:rsidR="00761F35" w:rsidRDefault="00761F35" w:rsidP="007725F7">
      <w:pPr>
        <w:spacing w:before="40" w:after="100" w:line="240" w:lineRule="auto"/>
        <w:jc w:val="both"/>
        <w:rPr>
          <w:sz w:val="22"/>
          <w:lang w:eastAsia="zh-CN"/>
        </w:rPr>
      </w:pPr>
      <w:r w:rsidRPr="00761F35">
        <w:rPr>
          <w:sz w:val="22"/>
        </w:rPr>
        <w:t xml:space="preserve">Figure 5 shows the standalone sentiment index across the ten equity sectors. Most sectors remain close to the middle of the 0 to 100 scale, although temporary differences appear over time. Energy becomes relatively stronger during 2022, while most other sectors stay closer to their usual ranges. The 21-day averages make </w:t>
      </w:r>
      <w:r w:rsidRPr="00761F35">
        <w:rPr>
          <w:sz w:val="22"/>
        </w:rPr>
        <w:lastRenderedPageBreak/>
        <w:t>these movements easier to compare across sectors. This index is used as an investor facing view of sector news tone and is not used directly to change portfolio weights.</w:t>
      </w:r>
    </w:p>
    <w:p w14:paraId="6F34BD63" w14:textId="13415E21" w:rsidR="00761F35" w:rsidRPr="00790945" w:rsidRDefault="00761F35" w:rsidP="00790945">
      <w:pPr>
        <w:pStyle w:val="pdq2pgselectionanchorcontainer"/>
        <w:jc w:val="both"/>
        <w:rPr>
          <w:rFonts w:ascii="Calibri" w:eastAsiaTheme="minorEastAsia" w:hAnsi="Calibri" w:cstheme="minorBidi"/>
          <w:sz w:val="22"/>
          <w:szCs w:val="22"/>
        </w:rPr>
      </w:pPr>
      <w:r w:rsidRPr="00761F35">
        <w:rPr>
          <w:rFonts w:ascii="Calibri" w:eastAsiaTheme="minorEastAsia" w:hAnsi="Calibri" w:cstheme="minorBidi"/>
          <w:sz w:val="22"/>
          <w:szCs w:val="22"/>
          <w:lang w:eastAsia="en-US"/>
        </w:rPr>
        <w:t>For the portfolio experiment, I use the lagged and coverage-adjusted sector signal described above. The signal reduces the influence of sector sentiment when only a small share of stocks has observable news and uses only information available before each portfolio decision. The resulting coverage-aware signals are shown in Figure A5. Figure 6 then tests whether using this signal improves out-of-sample portfolio performance.</w:t>
      </w:r>
    </w:p>
    <w:p w14:paraId="213045D4" w14:textId="19164865" w:rsidR="00D0169D" w:rsidRPr="007725F7" w:rsidRDefault="00000000" w:rsidP="004E5857">
      <w:pPr>
        <w:pStyle w:val="1"/>
        <w:spacing w:line="276" w:lineRule="auto"/>
        <w:rPr>
          <w:rFonts w:ascii="Arial" w:hAnsi="Arial" w:cs="Arial"/>
          <w:sz w:val="28"/>
          <w:lang w:eastAsia="zh-CN"/>
        </w:rPr>
      </w:pPr>
      <w:r w:rsidRPr="007725F7">
        <w:rPr>
          <w:rFonts w:ascii="Arial" w:hAnsi="Arial" w:cs="Arial"/>
          <w:sz w:val="28"/>
        </w:rPr>
        <w:t>Portfolio Test of the Sentiment Overlay</w:t>
      </w:r>
    </w:p>
    <w:p w14:paraId="53F3A7D6" w14:textId="28F1F5BA" w:rsidR="00D0169D" w:rsidRPr="008D384D" w:rsidRDefault="00000000" w:rsidP="007725F7">
      <w:pPr>
        <w:spacing w:after="80" w:line="240" w:lineRule="auto"/>
        <w:jc w:val="center"/>
        <w:rPr>
          <w:rFonts w:ascii="Arial" w:hAnsi="Arial" w:cs="Arial"/>
          <w:lang w:eastAsia="zh-CN"/>
        </w:rPr>
      </w:pPr>
      <w:r w:rsidRPr="008D384D">
        <w:rPr>
          <w:rFonts w:ascii="Arial" w:hAnsi="Arial" w:cs="Arial"/>
          <w:noProof/>
          <w:lang w:eastAsia="zh-CN"/>
        </w:rPr>
        <w:drawing>
          <wp:inline distT="0" distB="0" distL="0" distR="0" wp14:anchorId="22A04DE6" wp14:editId="1B0EBF90">
            <wp:extent cx="6152209" cy="2209800"/>
            <wp:effectExtent l="0" t="0" r="0" b="0"/>
            <wp:docPr id="301940879" name="图片 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40879" name="图片 1" descr="图表, 条形图&#10;&#10;AI 生成的内容可能不正确。"/>
                    <pic:cNvPicPr>
                      <a:picLocks noChangeAspect="1"/>
                    </pic:cNvPicPr>
                  </pic:nvPicPr>
                  <pic:blipFill>
                    <a:blip r:embed="rId11"/>
                    <a:stretch>
                      <a:fillRect/>
                    </a:stretch>
                  </pic:blipFill>
                  <pic:spPr>
                    <a:xfrm>
                      <a:off x="0" y="0"/>
                      <a:ext cx="7893371" cy="2835205"/>
                    </a:xfrm>
                    <a:prstGeom prst="rect">
                      <a:avLst/>
                    </a:prstGeom>
                  </pic:spPr>
                </pic:pic>
              </a:graphicData>
            </a:graphic>
          </wp:inline>
        </w:drawing>
      </w:r>
    </w:p>
    <w:p w14:paraId="141A0ABF" w14:textId="6D57369F" w:rsidR="00790945" w:rsidRPr="00790945" w:rsidRDefault="000B4B81" w:rsidP="00790945">
      <w:pPr>
        <w:pStyle w:val="pdq2pgselectionanchorcontainer"/>
        <w:spacing w:before="40"/>
        <w:jc w:val="center"/>
        <w:rPr>
          <w:rFonts w:ascii="Calibri" w:eastAsiaTheme="minorEastAsia" w:hAnsi="Calibri" w:cstheme="minorBidi"/>
          <w:b/>
          <w:bCs/>
          <w:sz w:val="19"/>
        </w:rPr>
      </w:pPr>
      <w:r w:rsidRPr="00333A81">
        <w:rPr>
          <w:rFonts w:ascii="Calibri" w:eastAsiaTheme="minorEastAsia" w:hAnsi="Calibri" w:cstheme="minorBidi" w:hint="eastAsia"/>
          <w:b/>
          <w:bCs/>
          <w:sz w:val="19"/>
        </w:rPr>
        <w:t>Figure 6. Performance impact of the equity sentiment fusion overlay</w:t>
      </w:r>
    </w:p>
    <w:p w14:paraId="2171847B" w14:textId="4DC4DB33" w:rsidR="00333A81" w:rsidRPr="00333A81" w:rsidRDefault="00333A81" w:rsidP="00333A81">
      <w:pPr>
        <w:pStyle w:val="pdq2pgselectionanchorcontainer"/>
        <w:spacing w:before="40"/>
        <w:rPr>
          <w:rFonts w:ascii="Calibri" w:eastAsiaTheme="minorEastAsia" w:hAnsi="Calibri" w:cstheme="minorBidi"/>
          <w:sz w:val="20"/>
          <w:szCs w:val="20"/>
        </w:rPr>
      </w:pPr>
      <w:r w:rsidRPr="00333A81">
        <w:rPr>
          <w:rFonts w:ascii="Calibri" w:eastAsiaTheme="minorEastAsia" w:hAnsi="Calibri" w:cstheme="minorBidi"/>
          <w:sz w:val="20"/>
          <w:szCs w:val="20"/>
        </w:rPr>
        <w:t>Table 3. OOS fusion comparison for equity funds, 2021-2023</w:t>
      </w:r>
    </w:p>
    <w:tbl>
      <w:tblPr>
        <w:tblStyle w:val="af5"/>
        <w:tblW w:w="0" w:type="auto"/>
        <w:tblInd w:w="80" w:type="dxa"/>
        <w:tblLayout w:type="fixed"/>
        <w:tblLook w:val="04A0" w:firstRow="1" w:lastRow="0" w:firstColumn="1" w:lastColumn="0" w:noHBand="0" w:noVBand="1"/>
      </w:tblPr>
      <w:tblGrid>
        <w:gridCol w:w="2135"/>
        <w:gridCol w:w="1571"/>
        <w:gridCol w:w="1071"/>
        <w:gridCol w:w="1143"/>
        <w:gridCol w:w="785"/>
        <w:gridCol w:w="1143"/>
        <w:gridCol w:w="1357"/>
      </w:tblGrid>
      <w:tr w:rsidR="00333A81" w14:paraId="7D1896D3" w14:textId="77777777" w:rsidTr="00790945">
        <w:trPr>
          <w:cantSplit/>
          <w:trHeight w:val="426"/>
        </w:trPr>
        <w:tc>
          <w:tcPr>
            <w:tcW w:w="2135" w:type="dxa"/>
            <w:shd w:val="clear" w:color="auto" w:fill="D9E2F3"/>
            <w:tcMar>
              <w:top w:w="70" w:type="dxa"/>
              <w:left w:w="80" w:type="dxa"/>
              <w:bottom w:w="70" w:type="dxa"/>
              <w:right w:w="80" w:type="dxa"/>
            </w:tcMar>
            <w:vAlign w:val="center"/>
          </w:tcPr>
          <w:p w14:paraId="71727A5D" w14:textId="77777777" w:rsidR="00333A81" w:rsidRDefault="00333A81" w:rsidP="00F30462">
            <w:pPr>
              <w:spacing w:after="0"/>
            </w:pPr>
            <w:r>
              <w:rPr>
                <w:rFonts w:ascii="Arial" w:hAnsi="Arial"/>
                <w:b/>
                <w:sz w:val="17"/>
              </w:rPr>
              <w:t>Fund</w:t>
            </w:r>
          </w:p>
        </w:tc>
        <w:tc>
          <w:tcPr>
            <w:tcW w:w="1571" w:type="dxa"/>
            <w:shd w:val="clear" w:color="auto" w:fill="D9E2F3"/>
            <w:tcMar>
              <w:top w:w="70" w:type="dxa"/>
              <w:left w:w="80" w:type="dxa"/>
              <w:bottom w:w="70" w:type="dxa"/>
              <w:right w:w="80" w:type="dxa"/>
            </w:tcMar>
            <w:vAlign w:val="center"/>
          </w:tcPr>
          <w:p w14:paraId="4FCD2930" w14:textId="77777777" w:rsidR="00333A81" w:rsidRDefault="00333A81" w:rsidP="00F30462">
            <w:pPr>
              <w:spacing w:after="0"/>
            </w:pPr>
            <w:r>
              <w:rPr>
                <w:rFonts w:ascii="Arial" w:hAnsi="Arial"/>
                <w:b/>
                <w:sz w:val="17"/>
              </w:rPr>
              <w:t>Experiment</w:t>
            </w:r>
          </w:p>
        </w:tc>
        <w:tc>
          <w:tcPr>
            <w:tcW w:w="1071" w:type="dxa"/>
            <w:shd w:val="clear" w:color="auto" w:fill="D9E2F3"/>
            <w:tcMar>
              <w:top w:w="70" w:type="dxa"/>
              <w:left w:w="80" w:type="dxa"/>
              <w:bottom w:w="70" w:type="dxa"/>
              <w:right w:w="80" w:type="dxa"/>
            </w:tcMar>
            <w:vAlign w:val="center"/>
          </w:tcPr>
          <w:p w14:paraId="0CB1E364" w14:textId="77777777" w:rsidR="00333A81" w:rsidRDefault="00333A81" w:rsidP="00F30462">
            <w:pPr>
              <w:spacing w:after="0"/>
            </w:pPr>
            <w:r>
              <w:rPr>
                <w:rFonts w:ascii="Arial" w:hAnsi="Arial"/>
                <w:b/>
                <w:sz w:val="17"/>
              </w:rPr>
              <w:t>Ann. ret.</w:t>
            </w:r>
          </w:p>
        </w:tc>
        <w:tc>
          <w:tcPr>
            <w:tcW w:w="1143" w:type="dxa"/>
            <w:shd w:val="clear" w:color="auto" w:fill="D9E2F3"/>
            <w:tcMar>
              <w:top w:w="70" w:type="dxa"/>
              <w:left w:w="80" w:type="dxa"/>
              <w:bottom w:w="70" w:type="dxa"/>
              <w:right w:w="80" w:type="dxa"/>
            </w:tcMar>
            <w:vAlign w:val="center"/>
          </w:tcPr>
          <w:p w14:paraId="1F6D3BB6" w14:textId="77777777" w:rsidR="00333A81" w:rsidRDefault="00333A81" w:rsidP="00F30462">
            <w:pPr>
              <w:spacing w:after="0"/>
            </w:pPr>
            <w:r>
              <w:rPr>
                <w:rFonts w:ascii="Arial" w:hAnsi="Arial"/>
                <w:b/>
                <w:sz w:val="17"/>
              </w:rPr>
              <w:t>Ann. vol.</w:t>
            </w:r>
          </w:p>
        </w:tc>
        <w:tc>
          <w:tcPr>
            <w:tcW w:w="785" w:type="dxa"/>
            <w:shd w:val="clear" w:color="auto" w:fill="D9E2F3"/>
            <w:tcMar>
              <w:top w:w="70" w:type="dxa"/>
              <w:left w:w="80" w:type="dxa"/>
              <w:bottom w:w="70" w:type="dxa"/>
              <w:right w:w="80" w:type="dxa"/>
            </w:tcMar>
            <w:vAlign w:val="center"/>
          </w:tcPr>
          <w:p w14:paraId="3C987A6D" w14:textId="77777777" w:rsidR="00333A81" w:rsidRDefault="00333A81" w:rsidP="00F30462">
            <w:pPr>
              <w:spacing w:after="0"/>
            </w:pPr>
            <w:r>
              <w:rPr>
                <w:rFonts w:ascii="Arial" w:hAnsi="Arial"/>
                <w:b/>
                <w:sz w:val="17"/>
              </w:rPr>
              <w:t>Sharpe</w:t>
            </w:r>
          </w:p>
        </w:tc>
        <w:tc>
          <w:tcPr>
            <w:tcW w:w="1143" w:type="dxa"/>
            <w:shd w:val="clear" w:color="auto" w:fill="D9E2F3"/>
            <w:tcMar>
              <w:top w:w="70" w:type="dxa"/>
              <w:left w:w="80" w:type="dxa"/>
              <w:bottom w:w="70" w:type="dxa"/>
              <w:right w:w="80" w:type="dxa"/>
            </w:tcMar>
            <w:vAlign w:val="center"/>
          </w:tcPr>
          <w:p w14:paraId="409D821C" w14:textId="77777777" w:rsidR="00333A81" w:rsidRDefault="00333A81" w:rsidP="00F30462">
            <w:pPr>
              <w:spacing w:after="0"/>
            </w:pPr>
            <w:r>
              <w:rPr>
                <w:rFonts w:ascii="Arial" w:hAnsi="Arial"/>
                <w:b/>
                <w:sz w:val="17"/>
              </w:rPr>
              <w:t>Max DD</w:t>
            </w:r>
          </w:p>
        </w:tc>
        <w:tc>
          <w:tcPr>
            <w:tcW w:w="1357" w:type="dxa"/>
            <w:shd w:val="clear" w:color="auto" w:fill="D9E2F3"/>
            <w:tcMar>
              <w:top w:w="70" w:type="dxa"/>
              <w:left w:w="80" w:type="dxa"/>
              <w:bottom w:w="70" w:type="dxa"/>
              <w:right w:w="80" w:type="dxa"/>
            </w:tcMar>
            <w:vAlign w:val="center"/>
          </w:tcPr>
          <w:p w14:paraId="75955631" w14:textId="77777777" w:rsidR="00333A81" w:rsidRDefault="00333A81" w:rsidP="00F30462">
            <w:pPr>
              <w:spacing w:after="0"/>
            </w:pPr>
            <w:r>
              <w:rPr>
                <w:rFonts w:ascii="Arial" w:hAnsi="Arial"/>
                <w:b/>
                <w:sz w:val="17"/>
              </w:rPr>
              <w:t>Avg. monthly turnover</w:t>
            </w:r>
          </w:p>
        </w:tc>
      </w:tr>
      <w:tr w:rsidR="00333A81" w14:paraId="257D92FC" w14:textId="77777777" w:rsidTr="00790945">
        <w:trPr>
          <w:cantSplit/>
          <w:trHeight w:val="213"/>
        </w:trPr>
        <w:tc>
          <w:tcPr>
            <w:tcW w:w="2135" w:type="dxa"/>
            <w:tcMar>
              <w:top w:w="70" w:type="dxa"/>
              <w:left w:w="80" w:type="dxa"/>
              <w:bottom w:w="70" w:type="dxa"/>
              <w:right w:w="80" w:type="dxa"/>
            </w:tcMar>
            <w:vAlign w:val="center"/>
          </w:tcPr>
          <w:p w14:paraId="335F149D" w14:textId="77777777" w:rsidR="00333A81" w:rsidRDefault="00333A81" w:rsidP="00F30462">
            <w:pPr>
              <w:spacing w:after="0"/>
            </w:pPr>
            <w:r>
              <w:rPr>
                <w:rFonts w:ascii="Arial" w:hAnsi="Arial"/>
                <w:sz w:val="17"/>
              </w:rPr>
              <w:t>Equity Equal Weight</w:t>
            </w:r>
          </w:p>
        </w:tc>
        <w:tc>
          <w:tcPr>
            <w:tcW w:w="1571" w:type="dxa"/>
            <w:tcMar>
              <w:top w:w="70" w:type="dxa"/>
              <w:left w:w="80" w:type="dxa"/>
              <w:bottom w:w="70" w:type="dxa"/>
              <w:right w:w="80" w:type="dxa"/>
            </w:tcMar>
            <w:vAlign w:val="center"/>
          </w:tcPr>
          <w:p w14:paraId="61A69D88" w14:textId="77777777" w:rsidR="00333A81" w:rsidRDefault="00333A81" w:rsidP="00F30462">
            <w:pPr>
              <w:spacing w:after="0"/>
            </w:pPr>
            <w:r>
              <w:rPr>
                <w:rFonts w:ascii="Arial" w:hAnsi="Arial"/>
                <w:sz w:val="17"/>
              </w:rPr>
              <w:t>Base</w:t>
            </w:r>
          </w:p>
        </w:tc>
        <w:tc>
          <w:tcPr>
            <w:tcW w:w="1071" w:type="dxa"/>
            <w:tcMar>
              <w:top w:w="70" w:type="dxa"/>
              <w:left w:w="80" w:type="dxa"/>
              <w:bottom w:w="70" w:type="dxa"/>
              <w:right w:w="80" w:type="dxa"/>
            </w:tcMar>
            <w:vAlign w:val="center"/>
          </w:tcPr>
          <w:p w14:paraId="4FF643B8" w14:textId="77777777" w:rsidR="00333A81" w:rsidRDefault="00333A81" w:rsidP="00F30462">
            <w:pPr>
              <w:spacing w:after="0"/>
            </w:pPr>
            <w:r>
              <w:rPr>
                <w:rFonts w:ascii="Arial" w:hAnsi="Arial"/>
                <w:sz w:val="17"/>
              </w:rPr>
              <w:t>12.64%</w:t>
            </w:r>
          </w:p>
        </w:tc>
        <w:tc>
          <w:tcPr>
            <w:tcW w:w="1143" w:type="dxa"/>
            <w:tcMar>
              <w:top w:w="70" w:type="dxa"/>
              <w:left w:w="80" w:type="dxa"/>
              <w:bottom w:w="70" w:type="dxa"/>
              <w:right w:w="80" w:type="dxa"/>
            </w:tcMar>
            <w:vAlign w:val="center"/>
          </w:tcPr>
          <w:p w14:paraId="3590D777" w14:textId="77777777" w:rsidR="00333A81" w:rsidRDefault="00333A81" w:rsidP="00F30462">
            <w:pPr>
              <w:spacing w:after="0"/>
            </w:pPr>
            <w:r>
              <w:rPr>
                <w:rFonts w:ascii="Arial" w:hAnsi="Arial"/>
                <w:sz w:val="17"/>
              </w:rPr>
              <w:t>16.17%</w:t>
            </w:r>
          </w:p>
        </w:tc>
        <w:tc>
          <w:tcPr>
            <w:tcW w:w="785" w:type="dxa"/>
            <w:tcMar>
              <w:top w:w="70" w:type="dxa"/>
              <w:left w:w="80" w:type="dxa"/>
              <w:bottom w:w="70" w:type="dxa"/>
              <w:right w:w="80" w:type="dxa"/>
            </w:tcMar>
            <w:vAlign w:val="center"/>
          </w:tcPr>
          <w:p w14:paraId="10A6C01B" w14:textId="77777777" w:rsidR="00333A81" w:rsidRDefault="00333A81" w:rsidP="00F30462">
            <w:pPr>
              <w:spacing w:after="0"/>
            </w:pPr>
            <w:r>
              <w:rPr>
                <w:rFonts w:ascii="Arial" w:hAnsi="Arial"/>
                <w:sz w:val="17"/>
              </w:rPr>
              <w:t>0.817</w:t>
            </w:r>
          </w:p>
        </w:tc>
        <w:tc>
          <w:tcPr>
            <w:tcW w:w="1143" w:type="dxa"/>
            <w:tcMar>
              <w:top w:w="70" w:type="dxa"/>
              <w:left w:w="80" w:type="dxa"/>
              <w:bottom w:w="70" w:type="dxa"/>
              <w:right w:w="80" w:type="dxa"/>
            </w:tcMar>
            <w:vAlign w:val="center"/>
          </w:tcPr>
          <w:p w14:paraId="68249769" w14:textId="77777777" w:rsidR="00333A81" w:rsidRDefault="00333A81" w:rsidP="00F30462">
            <w:pPr>
              <w:spacing w:after="0"/>
            </w:pPr>
            <w:r>
              <w:rPr>
                <w:rFonts w:ascii="Arial" w:hAnsi="Arial"/>
                <w:sz w:val="17"/>
              </w:rPr>
              <w:t>-20.32%</w:t>
            </w:r>
          </w:p>
        </w:tc>
        <w:tc>
          <w:tcPr>
            <w:tcW w:w="1357" w:type="dxa"/>
            <w:tcMar>
              <w:top w:w="70" w:type="dxa"/>
              <w:left w:w="80" w:type="dxa"/>
              <w:bottom w:w="70" w:type="dxa"/>
              <w:right w:w="80" w:type="dxa"/>
            </w:tcMar>
            <w:vAlign w:val="center"/>
          </w:tcPr>
          <w:p w14:paraId="5ED17B8C" w14:textId="77777777" w:rsidR="00333A81" w:rsidRDefault="00333A81" w:rsidP="00F30462">
            <w:pPr>
              <w:spacing w:after="0"/>
            </w:pPr>
            <w:r>
              <w:rPr>
                <w:rFonts w:ascii="Arial" w:hAnsi="Arial"/>
                <w:sz w:val="17"/>
              </w:rPr>
              <w:t>2.72%</w:t>
            </w:r>
          </w:p>
        </w:tc>
      </w:tr>
      <w:tr w:rsidR="00333A81" w14:paraId="495BBEC1" w14:textId="77777777" w:rsidTr="00790945">
        <w:trPr>
          <w:cantSplit/>
          <w:trHeight w:val="213"/>
        </w:trPr>
        <w:tc>
          <w:tcPr>
            <w:tcW w:w="2135" w:type="dxa"/>
            <w:tcMar>
              <w:top w:w="70" w:type="dxa"/>
              <w:left w:w="80" w:type="dxa"/>
              <w:bottom w:w="70" w:type="dxa"/>
              <w:right w:w="80" w:type="dxa"/>
            </w:tcMar>
            <w:vAlign w:val="center"/>
          </w:tcPr>
          <w:p w14:paraId="5D7CA151" w14:textId="77777777" w:rsidR="00333A81" w:rsidRDefault="00333A81" w:rsidP="00F30462">
            <w:pPr>
              <w:spacing w:after="0"/>
            </w:pPr>
            <w:r>
              <w:rPr>
                <w:rFonts w:ascii="Arial" w:hAnsi="Arial"/>
                <w:sz w:val="17"/>
              </w:rPr>
              <w:t>Equity Equal Weight</w:t>
            </w:r>
          </w:p>
        </w:tc>
        <w:tc>
          <w:tcPr>
            <w:tcW w:w="1571" w:type="dxa"/>
            <w:tcMar>
              <w:top w:w="70" w:type="dxa"/>
              <w:left w:w="80" w:type="dxa"/>
              <w:bottom w:w="70" w:type="dxa"/>
              <w:right w:w="80" w:type="dxa"/>
            </w:tcMar>
            <w:vAlign w:val="center"/>
          </w:tcPr>
          <w:p w14:paraId="11457D1E" w14:textId="77777777" w:rsidR="00333A81" w:rsidRDefault="00333A81" w:rsidP="00F30462">
            <w:pPr>
              <w:spacing w:after="0"/>
            </w:pPr>
            <w:r>
              <w:rPr>
                <w:rFonts w:ascii="Arial" w:hAnsi="Arial"/>
                <w:sz w:val="17"/>
              </w:rPr>
              <w:t>Sentiment fusion</w:t>
            </w:r>
          </w:p>
        </w:tc>
        <w:tc>
          <w:tcPr>
            <w:tcW w:w="1071" w:type="dxa"/>
            <w:tcMar>
              <w:top w:w="70" w:type="dxa"/>
              <w:left w:w="80" w:type="dxa"/>
              <w:bottom w:w="70" w:type="dxa"/>
              <w:right w:w="80" w:type="dxa"/>
            </w:tcMar>
            <w:vAlign w:val="center"/>
          </w:tcPr>
          <w:p w14:paraId="31DD8F76" w14:textId="77777777" w:rsidR="00333A81" w:rsidRDefault="00333A81" w:rsidP="00F30462">
            <w:pPr>
              <w:spacing w:after="0"/>
            </w:pPr>
            <w:r>
              <w:rPr>
                <w:rFonts w:ascii="Arial" w:hAnsi="Arial"/>
                <w:sz w:val="17"/>
              </w:rPr>
              <w:t>12.38%</w:t>
            </w:r>
          </w:p>
        </w:tc>
        <w:tc>
          <w:tcPr>
            <w:tcW w:w="1143" w:type="dxa"/>
            <w:tcMar>
              <w:top w:w="70" w:type="dxa"/>
              <w:left w:w="80" w:type="dxa"/>
              <w:bottom w:w="70" w:type="dxa"/>
              <w:right w:w="80" w:type="dxa"/>
            </w:tcMar>
            <w:vAlign w:val="center"/>
          </w:tcPr>
          <w:p w14:paraId="1BD5781D" w14:textId="77777777" w:rsidR="00333A81" w:rsidRDefault="00333A81" w:rsidP="00F30462">
            <w:pPr>
              <w:spacing w:after="0"/>
            </w:pPr>
            <w:r>
              <w:rPr>
                <w:rFonts w:ascii="Arial" w:hAnsi="Arial"/>
                <w:sz w:val="17"/>
              </w:rPr>
              <w:t>16.13%</w:t>
            </w:r>
          </w:p>
        </w:tc>
        <w:tc>
          <w:tcPr>
            <w:tcW w:w="785" w:type="dxa"/>
            <w:tcMar>
              <w:top w:w="70" w:type="dxa"/>
              <w:left w:w="80" w:type="dxa"/>
              <w:bottom w:w="70" w:type="dxa"/>
              <w:right w:w="80" w:type="dxa"/>
            </w:tcMar>
            <w:vAlign w:val="center"/>
          </w:tcPr>
          <w:p w14:paraId="676DA6A2" w14:textId="77777777" w:rsidR="00333A81" w:rsidRDefault="00333A81" w:rsidP="00F30462">
            <w:pPr>
              <w:spacing w:after="0"/>
            </w:pPr>
            <w:r>
              <w:rPr>
                <w:rFonts w:ascii="Arial" w:hAnsi="Arial"/>
                <w:sz w:val="17"/>
              </w:rPr>
              <w:t>0.804</w:t>
            </w:r>
          </w:p>
        </w:tc>
        <w:tc>
          <w:tcPr>
            <w:tcW w:w="1143" w:type="dxa"/>
            <w:tcMar>
              <w:top w:w="70" w:type="dxa"/>
              <w:left w:w="80" w:type="dxa"/>
              <w:bottom w:w="70" w:type="dxa"/>
              <w:right w:w="80" w:type="dxa"/>
            </w:tcMar>
            <w:vAlign w:val="center"/>
          </w:tcPr>
          <w:p w14:paraId="749E743B" w14:textId="77777777" w:rsidR="00333A81" w:rsidRDefault="00333A81" w:rsidP="00F30462">
            <w:pPr>
              <w:spacing w:after="0"/>
            </w:pPr>
            <w:r>
              <w:rPr>
                <w:rFonts w:ascii="Arial" w:hAnsi="Arial"/>
                <w:sz w:val="17"/>
              </w:rPr>
              <w:t>-20.27%</w:t>
            </w:r>
          </w:p>
        </w:tc>
        <w:tc>
          <w:tcPr>
            <w:tcW w:w="1357" w:type="dxa"/>
            <w:tcMar>
              <w:top w:w="70" w:type="dxa"/>
              <w:left w:w="80" w:type="dxa"/>
              <w:bottom w:w="70" w:type="dxa"/>
              <w:right w:w="80" w:type="dxa"/>
            </w:tcMar>
            <w:vAlign w:val="center"/>
          </w:tcPr>
          <w:p w14:paraId="7DDE0466" w14:textId="77777777" w:rsidR="00333A81" w:rsidRDefault="00333A81" w:rsidP="00F30462">
            <w:pPr>
              <w:spacing w:after="0"/>
            </w:pPr>
            <w:r>
              <w:rPr>
                <w:rFonts w:ascii="Arial" w:hAnsi="Arial"/>
                <w:sz w:val="17"/>
              </w:rPr>
              <w:t>5.61%</w:t>
            </w:r>
          </w:p>
        </w:tc>
      </w:tr>
      <w:tr w:rsidR="00333A81" w14:paraId="62F685B3" w14:textId="77777777" w:rsidTr="00790945">
        <w:trPr>
          <w:cantSplit/>
          <w:trHeight w:val="213"/>
        </w:trPr>
        <w:tc>
          <w:tcPr>
            <w:tcW w:w="2135" w:type="dxa"/>
            <w:tcMar>
              <w:top w:w="70" w:type="dxa"/>
              <w:left w:w="80" w:type="dxa"/>
              <w:bottom w:w="70" w:type="dxa"/>
              <w:right w:w="80" w:type="dxa"/>
            </w:tcMar>
            <w:vAlign w:val="center"/>
          </w:tcPr>
          <w:p w14:paraId="5FB1DC23" w14:textId="77777777" w:rsidR="00333A81" w:rsidRDefault="00333A81" w:rsidP="00F30462">
            <w:pPr>
              <w:spacing w:after="0"/>
            </w:pPr>
            <w:r>
              <w:rPr>
                <w:rFonts w:ascii="Arial" w:hAnsi="Arial"/>
                <w:sz w:val="17"/>
              </w:rPr>
              <w:t>Equity Risk Parity</w:t>
            </w:r>
          </w:p>
        </w:tc>
        <w:tc>
          <w:tcPr>
            <w:tcW w:w="1571" w:type="dxa"/>
            <w:tcMar>
              <w:top w:w="70" w:type="dxa"/>
              <w:left w:w="80" w:type="dxa"/>
              <w:bottom w:w="70" w:type="dxa"/>
              <w:right w:w="80" w:type="dxa"/>
            </w:tcMar>
            <w:vAlign w:val="center"/>
          </w:tcPr>
          <w:p w14:paraId="45570561" w14:textId="77777777" w:rsidR="00333A81" w:rsidRDefault="00333A81" w:rsidP="00F30462">
            <w:pPr>
              <w:spacing w:after="0"/>
            </w:pPr>
            <w:r>
              <w:rPr>
                <w:rFonts w:ascii="Arial" w:hAnsi="Arial"/>
                <w:sz w:val="17"/>
              </w:rPr>
              <w:t>Base</w:t>
            </w:r>
          </w:p>
        </w:tc>
        <w:tc>
          <w:tcPr>
            <w:tcW w:w="1071" w:type="dxa"/>
            <w:tcMar>
              <w:top w:w="70" w:type="dxa"/>
              <w:left w:w="80" w:type="dxa"/>
              <w:bottom w:w="70" w:type="dxa"/>
              <w:right w:w="80" w:type="dxa"/>
            </w:tcMar>
            <w:vAlign w:val="center"/>
          </w:tcPr>
          <w:p w14:paraId="36762BD6" w14:textId="77777777" w:rsidR="00333A81" w:rsidRDefault="00333A81" w:rsidP="00F30462">
            <w:pPr>
              <w:spacing w:after="0"/>
            </w:pPr>
            <w:r>
              <w:rPr>
                <w:rFonts w:ascii="Arial" w:hAnsi="Arial"/>
                <w:sz w:val="17"/>
              </w:rPr>
              <w:t>10.12%</w:t>
            </w:r>
          </w:p>
        </w:tc>
        <w:tc>
          <w:tcPr>
            <w:tcW w:w="1143" w:type="dxa"/>
            <w:tcMar>
              <w:top w:w="70" w:type="dxa"/>
              <w:left w:w="80" w:type="dxa"/>
              <w:bottom w:w="70" w:type="dxa"/>
              <w:right w:w="80" w:type="dxa"/>
            </w:tcMar>
            <w:vAlign w:val="center"/>
          </w:tcPr>
          <w:p w14:paraId="6E7C8329" w14:textId="77777777" w:rsidR="00333A81" w:rsidRDefault="00333A81" w:rsidP="00F30462">
            <w:pPr>
              <w:spacing w:after="0"/>
            </w:pPr>
            <w:r>
              <w:rPr>
                <w:rFonts w:ascii="Arial" w:hAnsi="Arial"/>
                <w:sz w:val="17"/>
              </w:rPr>
              <w:t>14.99%</w:t>
            </w:r>
          </w:p>
        </w:tc>
        <w:tc>
          <w:tcPr>
            <w:tcW w:w="785" w:type="dxa"/>
            <w:tcMar>
              <w:top w:w="70" w:type="dxa"/>
              <w:left w:w="80" w:type="dxa"/>
              <w:bottom w:w="70" w:type="dxa"/>
              <w:right w:w="80" w:type="dxa"/>
            </w:tcMar>
            <w:vAlign w:val="center"/>
          </w:tcPr>
          <w:p w14:paraId="39C0B49B" w14:textId="77777777" w:rsidR="00333A81" w:rsidRDefault="00333A81" w:rsidP="00F30462">
            <w:pPr>
              <w:spacing w:after="0"/>
            </w:pPr>
            <w:r>
              <w:rPr>
                <w:rFonts w:ascii="Arial" w:hAnsi="Arial"/>
                <w:sz w:val="17"/>
              </w:rPr>
              <w:t>0.718</w:t>
            </w:r>
          </w:p>
        </w:tc>
        <w:tc>
          <w:tcPr>
            <w:tcW w:w="1143" w:type="dxa"/>
            <w:tcMar>
              <w:top w:w="70" w:type="dxa"/>
              <w:left w:w="80" w:type="dxa"/>
              <w:bottom w:w="70" w:type="dxa"/>
              <w:right w:w="80" w:type="dxa"/>
            </w:tcMar>
            <w:vAlign w:val="center"/>
          </w:tcPr>
          <w:p w14:paraId="30DD69C3" w14:textId="77777777" w:rsidR="00333A81" w:rsidRDefault="00333A81" w:rsidP="00F30462">
            <w:pPr>
              <w:spacing w:after="0"/>
            </w:pPr>
            <w:r>
              <w:rPr>
                <w:rFonts w:ascii="Arial" w:hAnsi="Arial"/>
                <w:sz w:val="17"/>
              </w:rPr>
              <w:t>-19.56%</w:t>
            </w:r>
          </w:p>
        </w:tc>
        <w:tc>
          <w:tcPr>
            <w:tcW w:w="1357" w:type="dxa"/>
            <w:tcMar>
              <w:top w:w="70" w:type="dxa"/>
              <w:left w:w="80" w:type="dxa"/>
              <w:bottom w:w="70" w:type="dxa"/>
              <w:right w:w="80" w:type="dxa"/>
            </w:tcMar>
            <w:vAlign w:val="center"/>
          </w:tcPr>
          <w:p w14:paraId="392F344F" w14:textId="77777777" w:rsidR="00333A81" w:rsidRDefault="00333A81" w:rsidP="00F30462">
            <w:pPr>
              <w:spacing w:after="0"/>
            </w:pPr>
            <w:r>
              <w:rPr>
                <w:rFonts w:ascii="Arial" w:hAnsi="Arial"/>
                <w:sz w:val="17"/>
              </w:rPr>
              <w:t>2.58%</w:t>
            </w:r>
          </w:p>
        </w:tc>
      </w:tr>
      <w:tr w:rsidR="00333A81" w14:paraId="3A92E33E" w14:textId="77777777" w:rsidTr="00790945">
        <w:trPr>
          <w:cantSplit/>
          <w:trHeight w:val="199"/>
        </w:trPr>
        <w:tc>
          <w:tcPr>
            <w:tcW w:w="2135" w:type="dxa"/>
            <w:tcMar>
              <w:top w:w="70" w:type="dxa"/>
              <w:left w:w="80" w:type="dxa"/>
              <w:bottom w:w="70" w:type="dxa"/>
              <w:right w:w="80" w:type="dxa"/>
            </w:tcMar>
            <w:vAlign w:val="center"/>
          </w:tcPr>
          <w:p w14:paraId="26741D6A" w14:textId="77777777" w:rsidR="00333A81" w:rsidRDefault="00333A81" w:rsidP="00F30462">
            <w:pPr>
              <w:spacing w:after="0"/>
            </w:pPr>
            <w:r>
              <w:rPr>
                <w:rFonts w:ascii="Arial" w:hAnsi="Arial"/>
                <w:sz w:val="17"/>
              </w:rPr>
              <w:t>Equity Risk Parity</w:t>
            </w:r>
          </w:p>
        </w:tc>
        <w:tc>
          <w:tcPr>
            <w:tcW w:w="1571" w:type="dxa"/>
            <w:tcMar>
              <w:top w:w="70" w:type="dxa"/>
              <w:left w:w="80" w:type="dxa"/>
              <w:bottom w:w="70" w:type="dxa"/>
              <w:right w:w="80" w:type="dxa"/>
            </w:tcMar>
            <w:vAlign w:val="center"/>
          </w:tcPr>
          <w:p w14:paraId="4F9928E0" w14:textId="77777777" w:rsidR="00333A81" w:rsidRDefault="00333A81" w:rsidP="00F30462">
            <w:pPr>
              <w:spacing w:after="0"/>
            </w:pPr>
            <w:r>
              <w:rPr>
                <w:rFonts w:ascii="Arial" w:hAnsi="Arial"/>
                <w:sz w:val="17"/>
              </w:rPr>
              <w:t>Sentiment fusion</w:t>
            </w:r>
          </w:p>
        </w:tc>
        <w:tc>
          <w:tcPr>
            <w:tcW w:w="1071" w:type="dxa"/>
            <w:tcMar>
              <w:top w:w="70" w:type="dxa"/>
              <w:left w:w="80" w:type="dxa"/>
              <w:bottom w:w="70" w:type="dxa"/>
              <w:right w:w="80" w:type="dxa"/>
            </w:tcMar>
            <w:vAlign w:val="center"/>
          </w:tcPr>
          <w:p w14:paraId="41C1EA26" w14:textId="77777777" w:rsidR="00333A81" w:rsidRDefault="00333A81" w:rsidP="00F30462">
            <w:pPr>
              <w:spacing w:after="0"/>
            </w:pPr>
            <w:r>
              <w:rPr>
                <w:rFonts w:ascii="Arial" w:hAnsi="Arial"/>
                <w:sz w:val="17"/>
              </w:rPr>
              <w:t>9.82%</w:t>
            </w:r>
          </w:p>
        </w:tc>
        <w:tc>
          <w:tcPr>
            <w:tcW w:w="1143" w:type="dxa"/>
            <w:tcMar>
              <w:top w:w="70" w:type="dxa"/>
              <w:left w:w="80" w:type="dxa"/>
              <w:bottom w:w="70" w:type="dxa"/>
              <w:right w:w="80" w:type="dxa"/>
            </w:tcMar>
            <w:vAlign w:val="center"/>
          </w:tcPr>
          <w:p w14:paraId="4740864D" w14:textId="77777777" w:rsidR="00333A81" w:rsidRDefault="00333A81" w:rsidP="00F30462">
            <w:pPr>
              <w:spacing w:after="0"/>
            </w:pPr>
            <w:r>
              <w:rPr>
                <w:rFonts w:ascii="Arial" w:hAnsi="Arial"/>
                <w:sz w:val="17"/>
              </w:rPr>
              <w:t>14.96%</w:t>
            </w:r>
          </w:p>
        </w:tc>
        <w:tc>
          <w:tcPr>
            <w:tcW w:w="785" w:type="dxa"/>
            <w:tcMar>
              <w:top w:w="70" w:type="dxa"/>
              <w:left w:w="80" w:type="dxa"/>
              <w:bottom w:w="70" w:type="dxa"/>
              <w:right w:w="80" w:type="dxa"/>
            </w:tcMar>
            <w:vAlign w:val="center"/>
          </w:tcPr>
          <w:p w14:paraId="116D114A" w14:textId="77777777" w:rsidR="00333A81" w:rsidRDefault="00333A81" w:rsidP="00F30462">
            <w:pPr>
              <w:spacing w:after="0"/>
            </w:pPr>
            <w:r>
              <w:rPr>
                <w:rFonts w:ascii="Arial" w:hAnsi="Arial"/>
                <w:sz w:val="17"/>
              </w:rPr>
              <w:t>0.701</w:t>
            </w:r>
          </w:p>
        </w:tc>
        <w:tc>
          <w:tcPr>
            <w:tcW w:w="1143" w:type="dxa"/>
            <w:tcMar>
              <w:top w:w="70" w:type="dxa"/>
              <w:left w:w="80" w:type="dxa"/>
              <w:bottom w:w="70" w:type="dxa"/>
              <w:right w:w="80" w:type="dxa"/>
            </w:tcMar>
            <w:vAlign w:val="center"/>
          </w:tcPr>
          <w:p w14:paraId="203D0B24" w14:textId="77777777" w:rsidR="00333A81" w:rsidRDefault="00333A81" w:rsidP="00F30462">
            <w:pPr>
              <w:spacing w:after="0"/>
            </w:pPr>
            <w:r>
              <w:rPr>
                <w:rFonts w:ascii="Arial" w:hAnsi="Arial"/>
                <w:sz w:val="17"/>
              </w:rPr>
              <w:t>-19.68%</w:t>
            </w:r>
          </w:p>
        </w:tc>
        <w:tc>
          <w:tcPr>
            <w:tcW w:w="1357" w:type="dxa"/>
            <w:tcMar>
              <w:top w:w="70" w:type="dxa"/>
              <w:left w:w="80" w:type="dxa"/>
              <w:bottom w:w="70" w:type="dxa"/>
              <w:right w:w="80" w:type="dxa"/>
            </w:tcMar>
            <w:vAlign w:val="center"/>
          </w:tcPr>
          <w:p w14:paraId="60E133F3" w14:textId="77777777" w:rsidR="00333A81" w:rsidRDefault="00333A81" w:rsidP="00F30462">
            <w:pPr>
              <w:spacing w:after="0"/>
            </w:pPr>
            <w:r>
              <w:rPr>
                <w:rFonts w:ascii="Arial" w:hAnsi="Arial"/>
                <w:sz w:val="17"/>
              </w:rPr>
              <w:t>5.56%</w:t>
            </w:r>
          </w:p>
        </w:tc>
      </w:tr>
    </w:tbl>
    <w:p w14:paraId="38A69FF9" w14:textId="4DC63C95" w:rsidR="00E55801" w:rsidRPr="00E55801" w:rsidRDefault="00333A81" w:rsidP="00E55801">
      <w:pPr>
        <w:spacing w:before="60"/>
        <w:rPr>
          <w:lang w:eastAsia="zh-CN"/>
        </w:rPr>
      </w:pPr>
      <w:r>
        <w:rPr>
          <w:rFonts w:ascii="Arial" w:hAnsi="Arial"/>
          <w:i/>
          <w:color w:val="646E78"/>
          <w:sz w:val="17"/>
        </w:rPr>
        <w:t>Source: results/tables/fusion_comparison.csv. Drawdown is shown as a negative loss.</w:t>
      </w:r>
    </w:p>
    <w:p w14:paraId="7E8B88FA" w14:textId="6E215DEF" w:rsidR="007725F7" w:rsidRPr="00E55801" w:rsidRDefault="00E55801" w:rsidP="00E55801">
      <w:pPr>
        <w:pStyle w:val="af2"/>
        <w:jc w:val="both"/>
        <w:rPr>
          <w:rFonts w:ascii="Calibri" w:eastAsiaTheme="minorEastAsia" w:hAnsi="Calibri" w:cstheme="minorBidi"/>
          <w:sz w:val="22"/>
          <w:szCs w:val="22"/>
        </w:rPr>
      </w:pPr>
      <w:r w:rsidRPr="00E55801">
        <w:rPr>
          <w:rFonts w:ascii="Calibri" w:eastAsiaTheme="minorEastAsia" w:hAnsi="Calibri" w:cstheme="minorBidi"/>
          <w:sz w:val="22"/>
          <w:szCs w:val="22"/>
          <w:lang w:eastAsia="en-US"/>
        </w:rPr>
        <w:t>Figure 6 shows that the coverage-aware sentiment overlay did not improve risk-adjusted performance over the 2021 to 2023 OOS period</w:t>
      </w:r>
      <w:r w:rsidR="007725F7" w:rsidRPr="00E55801">
        <w:rPr>
          <w:rFonts w:ascii="Calibri" w:eastAsiaTheme="minorEastAsia" w:hAnsi="Calibri" w:cstheme="minorBidi"/>
          <w:sz w:val="22"/>
          <w:szCs w:val="22"/>
          <w:lang w:eastAsia="en-US"/>
        </w:rPr>
        <w:t xml:space="preserve">. For Equal Weight, annual return fell slightly from 12.6% to 12.4%, the Sharpe ratio declined from 0.817 to 0.804, and average monthly turnover rose from 2.7% to 5.6%. For Risk Parity, annual return fell from 10.1% to 9.8%, the Sharpe ratio declined from 0.718 to 0.701, and turnover increased from 2.6% to 5.6%. Drawdown protection also did not materially improve. This means the sentiment signal changed portfolio weights and created more trading activity, but it did not improve </w:t>
      </w:r>
      <w:proofErr w:type="spellStart"/>
      <w:r w:rsidR="007725F7" w:rsidRPr="00E55801">
        <w:rPr>
          <w:rFonts w:ascii="Calibri" w:eastAsiaTheme="minorEastAsia" w:hAnsi="Calibri" w:cstheme="minorBidi"/>
          <w:sz w:val="22"/>
          <w:szCs w:val="22"/>
          <w:lang w:eastAsia="en-US"/>
        </w:rPr>
        <w:t>realised</w:t>
      </w:r>
      <w:proofErr w:type="spellEnd"/>
      <w:r w:rsidR="007725F7" w:rsidRPr="00E55801">
        <w:rPr>
          <w:rFonts w:ascii="Calibri" w:eastAsiaTheme="minorEastAsia" w:hAnsi="Calibri" w:cstheme="minorBidi"/>
          <w:sz w:val="22"/>
          <w:szCs w:val="22"/>
          <w:lang w:eastAsia="en-US"/>
        </w:rPr>
        <w:t xml:space="preserve"> risk-adjusted performance.</w:t>
      </w:r>
    </w:p>
    <w:p w14:paraId="4A12CF70" w14:textId="314B7215" w:rsidR="00B63BDC" w:rsidRPr="00880C38" w:rsidRDefault="00B63BDC" w:rsidP="00B63BDC">
      <w:pPr>
        <w:spacing w:after="80" w:line="240" w:lineRule="auto"/>
        <w:jc w:val="both"/>
        <w:rPr>
          <w:sz w:val="22"/>
        </w:rPr>
      </w:pPr>
      <w:r w:rsidRPr="00880C38">
        <w:rPr>
          <w:sz w:val="22"/>
        </w:rPr>
        <w:t>The turnover result is the clearest economic warning. The baseline test uses zero explicit transaction costs, so the reported Sharpe ratios are already generous to the sentiment overlay. If realistic trading costs were added, the fusion strategy would likely look weaker unless the signal produced a larger return benefit.</w:t>
      </w:r>
      <w:r w:rsidR="00E55801" w:rsidRPr="00E55801">
        <w:t xml:space="preserve"> </w:t>
      </w:r>
      <w:r w:rsidR="00E55801">
        <w:t xml:space="preserve">In its current </w:t>
      </w:r>
      <w:r w:rsidR="00E55801">
        <w:lastRenderedPageBreak/>
        <w:t>form, the additional turnover is difficult to justify because it was not accompanied by better risk-adjusted performance.</w:t>
      </w:r>
    </w:p>
    <w:p w14:paraId="4EACD5D3" w14:textId="7CD39B6F" w:rsidR="00B63BDC" w:rsidRDefault="00B63BDC" w:rsidP="00B63BDC">
      <w:pPr>
        <w:spacing w:after="80" w:line="240" w:lineRule="auto"/>
        <w:jc w:val="both"/>
        <w:rPr>
          <w:sz w:val="22"/>
          <w:lang w:eastAsia="zh-CN"/>
        </w:rPr>
      </w:pPr>
      <w:r w:rsidRPr="00880C38">
        <w:rPr>
          <w:sz w:val="22"/>
        </w:rPr>
        <w:t xml:space="preserve">There are several plausible reasons for this result. </w:t>
      </w:r>
      <w:r w:rsidR="00E55801">
        <w:t>Sector-level headline sentiment may be too coarse because news affecting individual companies does not necessarily contain information about the whole sector.</w:t>
      </w:r>
      <w:r w:rsidR="00E55801" w:rsidRPr="00880C38">
        <w:rPr>
          <w:sz w:val="22"/>
        </w:rPr>
        <w:t xml:space="preserve"> The</w:t>
      </w:r>
      <w:r w:rsidRPr="00880C38">
        <w:rPr>
          <w:sz w:val="22"/>
        </w:rPr>
        <w:t xml:space="preserve"> one-day lag prevents look-ahead bias, but it may also mean the market has already incorporated part of the information. The 2021 to 2023 OOS period also includes unusual market conditions, including the post-COVID rebound, inflation pressure, rising interest rates and large sector rotations. These forces may have overwhelmed a simple headline-based sector tilt.</w:t>
      </w:r>
    </w:p>
    <w:p w14:paraId="10D9A477" w14:textId="055C9F4C" w:rsidR="00E55801" w:rsidRPr="00880C38" w:rsidRDefault="00E55801" w:rsidP="00B63BDC">
      <w:pPr>
        <w:spacing w:after="80" w:line="240" w:lineRule="auto"/>
        <w:jc w:val="both"/>
        <w:rPr>
          <w:sz w:val="22"/>
          <w:lang w:eastAsia="zh-CN"/>
        </w:rPr>
      </w:pPr>
      <w:r>
        <w:t>This result is still useful for evaluating the innovation because the signal was tested out of sample rather than assumed to improve performance. The coverage adjustment provides a transparent way to deal with differences in news availability, but the OOS evidence suggests that the sentiment signal needs further refinement before it can be justified as a portfolio overlay.</w:t>
      </w:r>
    </w:p>
    <w:p w14:paraId="45D5200C" w14:textId="77777777" w:rsidR="00D0169D" w:rsidRPr="007725F7" w:rsidRDefault="00AC4E91" w:rsidP="004A3550">
      <w:pPr>
        <w:pStyle w:val="1"/>
        <w:spacing w:before="120" w:after="80" w:line="240" w:lineRule="auto"/>
        <w:rPr>
          <w:rFonts w:ascii="Arial" w:hAnsi="Arial" w:cs="Arial"/>
          <w:sz w:val="28"/>
        </w:rPr>
      </w:pPr>
      <w:r w:rsidRPr="007725F7">
        <w:rPr>
          <w:rFonts w:ascii="Arial" w:hAnsi="Arial" w:cs="Arial"/>
          <w:sz w:val="28"/>
        </w:rPr>
        <w:t>App and Investor Journey</w:t>
      </w:r>
    </w:p>
    <w:p w14:paraId="1C3B5064" w14:textId="77777777" w:rsidR="00502C9F" w:rsidRPr="00880C38" w:rsidRDefault="00502C9F" w:rsidP="00502C9F">
      <w:pPr>
        <w:pStyle w:val="pdq2pgselectionanchorcontainer"/>
        <w:spacing w:before="0" w:after="80"/>
        <w:jc w:val="both"/>
        <w:rPr>
          <w:rFonts w:asciiTheme="majorHAnsi" w:hAnsiTheme="majorHAnsi" w:cstheme="majorHAnsi"/>
          <w:sz w:val="22"/>
          <w:szCs w:val="22"/>
        </w:rPr>
      </w:pPr>
      <w:r w:rsidRPr="00880C38">
        <w:rPr>
          <w:rFonts w:asciiTheme="majorHAnsi" w:hAnsiTheme="majorHAnsi" w:cstheme="majorHAnsi"/>
          <w:sz w:val="22"/>
          <w:szCs w:val="22"/>
        </w:rPr>
        <w:t xml:space="preserve">The </w:t>
      </w:r>
      <w:proofErr w:type="spellStart"/>
      <w:r w:rsidRPr="00880C38">
        <w:rPr>
          <w:rFonts w:asciiTheme="majorHAnsi" w:hAnsiTheme="majorHAnsi" w:cstheme="majorHAnsi"/>
          <w:sz w:val="22"/>
          <w:szCs w:val="22"/>
        </w:rPr>
        <w:t>Streamlit</w:t>
      </w:r>
      <w:proofErr w:type="spellEnd"/>
      <w:r w:rsidRPr="00880C38">
        <w:rPr>
          <w:rFonts w:asciiTheme="majorHAnsi" w:hAnsiTheme="majorHAnsi" w:cstheme="majorHAnsi"/>
          <w:sz w:val="22"/>
          <w:szCs w:val="22"/>
        </w:rPr>
        <w:t xml:space="preserve"> app turns the </w:t>
      </w:r>
      <w:proofErr w:type="spellStart"/>
      <w:r w:rsidRPr="00880C38">
        <w:rPr>
          <w:rFonts w:asciiTheme="majorHAnsi" w:hAnsiTheme="majorHAnsi" w:cstheme="majorHAnsi"/>
          <w:sz w:val="22"/>
          <w:szCs w:val="22"/>
        </w:rPr>
        <w:t>backtest</w:t>
      </w:r>
      <w:proofErr w:type="spellEnd"/>
      <w:r w:rsidRPr="00880C38">
        <w:rPr>
          <w:rFonts w:asciiTheme="majorHAnsi" w:hAnsiTheme="majorHAnsi" w:cstheme="majorHAnsi"/>
          <w:sz w:val="22"/>
          <w:szCs w:val="22"/>
        </w:rPr>
        <w:t xml:space="preserve"> results into an investor workflow. In Fund Explorer, users can compare the 12 funds by universe and method using the same OOS metrics reported in Table 2. After that, they can open a Fact Sheet for a chosen fund and inspect its growth of one dollar path, drawdown path, performance metrics, latest holdings and audit checks. A fund product should not only report performance. It should also show what the fund currently holds and how that performance was earned.</w:t>
      </w:r>
    </w:p>
    <w:p w14:paraId="2A87D29D" w14:textId="77777777" w:rsidR="00502C9F" w:rsidRPr="00880C38" w:rsidRDefault="00502C9F" w:rsidP="00502C9F">
      <w:pPr>
        <w:pStyle w:val="af2"/>
        <w:spacing w:before="0" w:after="80"/>
        <w:jc w:val="both"/>
        <w:rPr>
          <w:rFonts w:asciiTheme="majorHAnsi" w:hAnsiTheme="majorHAnsi" w:cstheme="majorHAnsi"/>
          <w:sz w:val="22"/>
          <w:szCs w:val="22"/>
        </w:rPr>
      </w:pPr>
      <w:r w:rsidRPr="00880C38">
        <w:rPr>
          <w:rFonts w:asciiTheme="majorHAnsi" w:hAnsiTheme="majorHAnsi" w:cstheme="majorHAnsi"/>
          <w:sz w:val="22"/>
          <w:szCs w:val="22"/>
        </w:rPr>
        <w:t xml:space="preserve">The user journey follows four decisions. First, the user compares funds. Next, the user inspects a selected fund through the Fact Sheet. They can then blend funds in Portfolio Builder and apply a simple management fee assumption. Finally, the user can check whether the sentiment evidence changes the interpretation of the equity funds. </w:t>
      </w:r>
      <w:r w:rsidR="001A6D46" w:rsidRPr="00880C38">
        <w:rPr>
          <w:rFonts w:asciiTheme="majorHAnsi" w:hAnsiTheme="majorHAnsi" w:cstheme="majorHAnsi"/>
          <w:sz w:val="22"/>
          <w:szCs w:val="22"/>
        </w:rPr>
        <w:t>This sequence makes the app more than a display of charts. It helps the user move from comparison to inspection, then from allocation to signal interpretation.</w:t>
      </w:r>
    </w:p>
    <w:p w14:paraId="37A7930C" w14:textId="77777777" w:rsidR="00502C9F" w:rsidRPr="00880C38" w:rsidRDefault="00502C9F" w:rsidP="00502C9F">
      <w:pPr>
        <w:pStyle w:val="af2"/>
        <w:spacing w:before="0" w:after="80"/>
        <w:jc w:val="both"/>
        <w:rPr>
          <w:rFonts w:asciiTheme="majorHAnsi" w:hAnsiTheme="majorHAnsi" w:cstheme="majorHAnsi"/>
          <w:sz w:val="22"/>
          <w:szCs w:val="22"/>
        </w:rPr>
      </w:pPr>
      <w:r w:rsidRPr="00880C38">
        <w:rPr>
          <w:rFonts w:asciiTheme="majorHAnsi" w:hAnsiTheme="majorHAnsi" w:cstheme="majorHAnsi"/>
          <w:sz w:val="22"/>
          <w:szCs w:val="22"/>
        </w:rPr>
        <w:t xml:space="preserve">The sentiment layer is included as </w:t>
      </w:r>
      <w:proofErr w:type="gramStart"/>
      <w:r w:rsidRPr="00880C38">
        <w:rPr>
          <w:rFonts w:asciiTheme="majorHAnsi" w:hAnsiTheme="majorHAnsi" w:cstheme="majorHAnsi"/>
          <w:sz w:val="22"/>
          <w:szCs w:val="22"/>
        </w:rPr>
        <w:t>an analytics</w:t>
      </w:r>
      <w:proofErr w:type="gramEnd"/>
      <w:r w:rsidRPr="00880C38">
        <w:rPr>
          <w:rFonts w:asciiTheme="majorHAnsi" w:hAnsiTheme="majorHAnsi" w:cstheme="majorHAnsi"/>
          <w:sz w:val="22"/>
          <w:szCs w:val="22"/>
        </w:rPr>
        <w:t xml:space="preserve"> feature rather than a return promise. Sentiment Analytics shows the coverage-aware trading signal, the 0 to 100 display index and the base-versus-fusion test. That design choice matters because the report finds that the sentiment overlay did not improve OOS risk-adjusted performance. Instead of presenting sentiment as a signal to follow automatically, the app presents it as evidence that users can interpret alongside the fund results.</w:t>
      </w:r>
    </w:p>
    <w:p w14:paraId="32C10E2C" w14:textId="77777777" w:rsidR="00502C9F" w:rsidRPr="00880C38" w:rsidRDefault="00502C9F" w:rsidP="0072265B">
      <w:pPr>
        <w:pStyle w:val="af2"/>
        <w:spacing w:before="0" w:after="80"/>
        <w:jc w:val="both"/>
        <w:rPr>
          <w:rFonts w:asciiTheme="majorHAnsi" w:hAnsiTheme="majorHAnsi" w:cstheme="majorHAnsi"/>
          <w:sz w:val="22"/>
          <w:szCs w:val="22"/>
        </w:rPr>
      </w:pPr>
      <w:r w:rsidRPr="00880C38">
        <w:rPr>
          <w:rFonts w:asciiTheme="majorHAnsi" w:hAnsiTheme="majorHAnsi" w:cstheme="majorHAnsi"/>
          <w:sz w:val="22"/>
          <w:szCs w:val="22"/>
        </w:rPr>
        <w:t xml:space="preserve">The deployment design also supports reliability. The app reads only precomputed CSV files under results. It does not download raw data, rerun </w:t>
      </w:r>
      <w:proofErr w:type="spellStart"/>
      <w:r w:rsidRPr="00880C38">
        <w:rPr>
          <w:rFonts w:asciiTheme="majorHAnsi" w:hAnsiTheme="majorHAnsi" w:cstheme="majorHAnsi"/>
          <w:sz w:val="22"/>
          <w:szCs w:val="22"/>
        </w:rPr>
        <w:t>optimisation</w:t>
      </w:r>
      <w:proofErr w:type="spellEnd"/>
      <w:r w:rsidRPr="00880C38">
        <w:rPr>
          <w:rFonts w:asciiTheme="majorHAnsi" w:hAnsiTheme="majorHAnsi" w:cstheme="majorHAnsi"/>
          <w:sz w:val="22"/>
          <w:szCs w:val="22"/>
        </w:rPr>
        <w:t xml:space="preserve"> or rescore headlines at runtime. As a result, the app remains reproducible and lightweight, while the report, app and submitted repository all use the same results. The Methodology page explains the OOS design, calendar treatment, lagged sentiment, long-only constraints and the warning that historical </w:t>
      </w:r>
      <w:proofErr w:type="spellStart"/>
      <w:r w:rsidRPr="00880C38">
        <w:rPr>
          <w:rFonts w:asciiTheme="majorHAnsi" w:hAnsiTheme="majorHAnsi" w:cstheme="majorHAnsi"/>
          <w:sz w:val="22"/>
          <w:szCs w:val="22"/>
        </w:rPr>
        <w:t>backtests</w:t>
      </w:r>
      <w:proofErr w:type="spellEnd"/>
      <w:r w:rsidRPr="00880C38">
        <w:rPr>
          <w:rFonts w:asciiTheme="majorHAnsi" w:hAnsiTheme="majorHAnsi" w:cstheme="majorHAnsi"/>
          <w:sz w:val="22"/>
          <w:szCs w:val="22"/>
        </w:rPr>
        <w:t xml:space="preserve"> are not return promises.</w:t>
      </w:r>
    </w:p>
    <w:p w14:paraId="33498D85" w14:textId="77777777" w:rsidR="00D0169D" w:rsidRPr="007725F7" w:rsidRDefault="00AC4E91" w:rsidP="00F1611B">
      <w:pPr>
        <w:pStyle w:val="1"/>
        <w:spacing w:before="0" w:after="0" w:line="240" w:lineRule="auto"/>
        <w:rPr>
          <w:rFonts w:ascii="Arial" w:hAnsi="Arial" w:cs="Arial"/>
          <w:sz w:val="28"/>
        </w:rPr>
      </w:pPr>
      <w:bookmarkStart w:id="1" w:name="OLE_LINK5"/>
      <w:r w:rsidRPr="007725F7">
        <w:rPr>
          <w:rFonts w:ascii="Arial" w:hAnsi="Arial" w:cs="Arial"/>
          <w:sz w:val="28"/>
        </w:rPr>
        <w:t>Critical Reflection and Recommendations</w:t>
      </w:r>
    </w:p>
    <w:bookmarkEnd w:id="1"/>
    <w:p w14:paraId="27C6F17F" w14:textId="77777777" w:rsidR="0072265B" w:rsidRPr="00880C38" w:rsidRDefault="0072265B" w:rsidP="00F1611B">
      <w:pPr>
        <w:spacing w:after="0" w:line="240" w:lineRule="auto"/>
        <w:jc w:val="both"/>
        <w:rPr>
          <w:rFonts w:asciiTheme="majorHAnsi" w:eastAsia="宋体" w:hAnsiTheme="majorHAnsi" w:cstheme="majorHAnsi"/>
          <w:sz w:val="22"/>
          <w:lang w:eastAsia="zh-CN"/>
        </w:rPr>
      </w:pPr>
      <w:r w:rsidRPr="00880C38">
        <w:rPr>
          <w:rFonts w:asciiTheme="majorHAnsi" w:eastAsia="宋体" w:hAnsiTheme="majorHAnsi" w:cstheme="majorHAnsi"/>
          <w:sz w:val="22"/>
          <w:lang w:eastAsia="zh-CN"/>
        </w:rPr>
        <w:t xml:space="preserve">The evidence leads to three practical recommendations. First, conservative investors should start with Equity Equal Weight or Equity Risk Parity. Equity Equal Weight had the highest Sharpe ratio across all 12 funds, and both equity funds avoided the extreme drawdowns seen in the higher-risk crypto funds. The main lesson is that the strongest product candidate was not necessarily the most complex one. In this sample, broad diversification and lower dependence on return forecasts worked better than trying to </w:t>
      </w:r>
      <w:proofErr w:type="spellStart"/>
      <w:r w:rsidRPr="00880C38">
        <w:rPr>
          <w:rFonts w:asciiTheme="majorHAnsi" w:eastAsia="宋体" w:hAnsiTheme="majorHAnsi" w:cstheme="majorHAnsi"/>
          <w:sz w:val="22"/>
          <w:lang w:eastAsia="zh-CN"/>
        </w:rPr>
        <w:t>optimise</w:t>
      </w:r>
      <w:proofErr w:type="spellEnd"/>
      <w:r w:rsidRPr="00880C38">
        <w:rPr>
          <w:rFonts w:asciiTheme="majorHAnsi" w:eastAsia="宋体" w:hAnsiTheme="majorHAnsi" w:cstheme="majorHAnsi"/>
          <w:sz w:val="22"/>
          <w:lang w:eastAsia="zh-CN"/>
        </w:rPr>
        <w:t xml:space="preserve"> every input.</w:t>
      </w:r>
    </w:p>
    <w:p w14:paraId="162B683C" w14:textId="77777777" w:rsidR="0072265B" w:rsidRPr="00880C38" w:rsidRDefault="0072265B" w:rsidP="0072265B">
      <w:pPr>
        <w:spacing w:beforeAutospacing="1" w:after="80" w:afterAutospacing="1" w:line="240" w:lineRule="auto"/>
        <w:jc w:val="both"/>
        <w:rPr>
          <w:rFonts w:asciiTheme="majorHAnsi" w:eastAsia="宋体" w:hAnsiTheme="majorHAnsi" w:cstheme="majorHAnsi"/>
          <w:sz w:val="22"/>
          <w:lang w:eastAsia="zh-CN"/>
        </w:rPr>
      </w:pPr>
      <w:r w:rsidRPr="00880C38">
        <w:rPr>
          <w:rFonts w:asciiTheme="majorHAnsi" w:eastAsia="宋体" w:hAnsiTheme="majorHAnsi" w:cstheme="majorHAnsi"/>
          <w:sz w:val="22"/>
          <w:lang w:eastAsia="zh-CN"/>
        </w:rPr>
        <w:t xml:space="preserve">Second, investors who want crypto exposure should use it carefully inside a combined fund rather than treat a crypto-only fund as the core product. The strongest-return crypto strategies produced the highest terminal wealth, but they also came with very high volatility and drawdowns around or above 80%. Combined Risk </w:t>
      </w:r>
      <w:r w:rsidRPr="00880C38">
        <w:rPr>
          <w:rFonts w:asciiTheme="majorHAnsi" w:eastAsia="宋体" w:hAnsiTheme="majorHAnsi" w:cstheme="majorHAnsi"/>
          <w:sz w:val="22"/>
          <w:lang w:eastAsia="zh-CN"/>
        </w:rPr>
        <w:lastRenderedPageBreak/>
        <w:t xml:space="preserve">Parity is a better product candidate because it kept crypto exposure limited while still allowing some upside. Its Sharpe ratio was 0.79, and its latest crypto sleeve was around 8.6%. This makes crypto more suitable as a satellite allocation than as the </w:t>
      </w:r>
      <w:proofErr w:type="spellStart"/>
      <w:r w:rsidRPr="00880C38">
        <w:rPr>
          <w:rFonts w:asciiTheme="majorHAnsi" w:eastAsia="宋体" w:hAnsiTheme="majorHAnsi" w:cstheme="majorHAnsi"/>
          <w:sz w:val="22"/>
          <w:lang w:eastAsia="zh-CN"/>
        </w:rPr>
        <w:t>centre</w:t>
      </w:r>
      <w:proofErr w:type="spellEnd"/>
      <w:r w:rsidRPr="00880C38">
        <w:rPr>
          <w:rFonts w:asciiTheme="majorHAnsi" w:eastAsia="宋体" w:hAnsiTheme="majorHAnsi" w:cstheme="majorHAnsi"/>
          <w:sz w:val="22"/>
          <w:lang w:eastAsia="zh-CN"/>
        </w:rPr>
        <w:t xml:space="preserve"> of the product.</w:t>
      </w:r>
    </w:p>
    <w:p w14:paraId="1A4A8A22" w14:textId="77777777" w:rsidR="00F769C8" w:rsidRPr="00880C38" w:rsidRDefault="00F769C8" w:rsidP="00F769C8">
      <w:pPr>
        <w:spacing w:beforeAutospacing="1" w:after="80" w:afterAutospacing="1" w:line="240" w:lineRule="auto"/>
        <w:jc w:val="both"/>
        <w:rPr>
          <w:rFonts w:asciiTheme="majorHAnsi" w:eastAsia="宋体" w:hAnsiTheme="majorHAnsi" w:cstheme="majorHAnsi"/>
          <w:sz w:val="22"/>
          <w:lang w:eastAsia="zh-CN"/>
        </w:rPr>
      </w:pPr>
      <w:r w:rsidRPr="00880C38">
        <w:rPr>
          <w:sz w:val="22"/>
        </w:rPr>
        <w:t>Third, the sentiment overlay should remain an experimental analytics feature for now. The design is transparent, lagged and coverage-aware, but Figure 6 shows that it reduced the Sharpe ratio and increased turnover. I would not remove the sentiment feature because it still makes the app more informative and gives users a clearer view of sector news tone. However, before live use, future tests should try different lag lengths, coverage thresholds, tilt strengths and transaction cost assumptions. In this sample, sentiment analysis made the product more informative, but it did not improve OOS investment performance.</w:t>
      </w:r>
    </w:p>
    <w:p w14:paraId="38A20701" w14:textId="77777777" w:rsidR="00F769C8" w:rsidRPr="00880C38" w:rsidRDefault="00F769C8" w:rsidP="00F769C8">
      <w:pPr>
        <w:spacing w:beforeAutospacing="1" w:after="80" w:afterAutospacing="1" w:line="240" w:lineRule="auto"/>
        <w:jc w:val="both"/>
        <w:rPr>
          <w:rFonts w:asciiTheme="majorHAnsi" w:eastAsia="宋体" w:hAnsiTheme="majorHAnsi" w:cstheme="majorHAnsi"/>
          <w:sz w:val="22"/>
          <w:lang w:eastAsia="zh-CN"/>
        </w:rPr>
      </w:pPr>
      <w:r w:rsidRPr="00880C38">
        <w:rPr>
          <w:rFonts w:asciiTheme="majorHAnsi" w:eastAsia="宋体" w:hAnsiTheme="majorHAnsi" w:cstheme="majorHAnsi"/>
          <w:sz w:val="22"/>
          <w:lang w:eastAsia="zh-CN"/>
        </w:rPr>
        <w:t xml:space="preserve">These results also have limitations. The OOS window is relatively short and covers the unusual period from 2021 to 2023, when markets experienced large swings, inflation pressure and monetary tightening. Fund rankings may look different in a calmer period. In addition, the baseline assumes zero transaction costs and fees. This helps isolate the </w:t>
      </w:r>
      <w:proofErr w:type="spellStart"/>
      <w:r w:rsidRPr="00880C38">
        <w:rPr>
          <w:rFonts w:asciiTheme="majorHAnsi" w:eastAsia="宋体" w:hAnsiTheme="majorHAnsi" w:cstheme="majorHAnsi"/>
          <w:sz w:val="22"/>
          <w:lang w:eastAsia="zh-CN"/>
        </w:rPr>
        <w:t>behaviour</w:t>
      </w:r>
      <w:proofErr w:type="spellEnd"/>
      <w:r w:rsidRPr="00880C38">
        <w:rPr>
          <w:rFonts w:asciiTheme="majorHAnsi" w:eastAsia="宋体" w:hAnsiTheme="majorHAnsi" w:cstheme="majorHAnsi"/>
          <w:sz w:val="22"/>
          <w:lang w:eastAsia="zh-CN"/>
        </w:rPr>
        <w:t xml:space="preserve"> of each strategy, but it is too generous for a live fund. A real fund would also need to consider transaction costs, fee drag, liquidity filters and tax effects. The sentiment signal is based on news headlines rather than full articles, so it only captures a narrow and noisy part of market information.</w:t>
      </w:r>
    </w:p>
    <w:p w14:paraId="3AF3843C" w14:textId="194FAF7F" w:rsidR="00F769C8" w:rsidRPr="00880C38" w:rsidRDefault="00F769C8" w:rsidP="00F769C8">
      <w:pPr>
        <w:spacing w:beforeAutospacing="1" w:after="80" w:afterAutospacing="1" w:line="240" w:lineRule="auto"/>
        <w:jc w:val="both"/>
        <w:rPr>
          <w:rFonts w:asciiTheme="majorHAnsi" w:eastAsia="宋体" w:hAnsiTheme="majorHAnsi" w:cstheme="majorHAnsi"/>
          <w:sz w:val="22"/>
          <w:lang w:eastAsia="zh-CN"/>
        </w:rPr>
      </w:pPr>
      <w:r w:rsidRPr="00880C38">
        <w:rPr>
          <w:rFonts w:asciiTheme="majorHAnsi" w:eastAsia="宋体" w:hAnsiTheme="majorHAnsi" w:cstheme="majorHAnsi"/>
          <w:sz w:val="22"/>
          <w:lang w:eastAsia="zh-CN"/>
        </w:rPr>
        <w:t xml:space="preserve">The most important conclusion is that </w:t>
      </w:r>
      <w:proofErr w:type="spellStart"/>
      <w:r w:rsidRPr="00880C38">
        <w:rPr>
          <w:rFonts w:asciiTheme="majorHAnsi" w:eastAsia="宋体" w:hAnsiTheme="majorHAnsi" w:cstheme="majorHAnsi"/>
          <w:sz w:val="22"/>
          <w:lang w:eastAsia="zh-CN"/>
        </w:rPr>
        <w:t>SignalHarbor</w:t>
      </w:r>
      <w:proofErr w:type="spellEnd"/>
      <w:r w:rsidRPr="00880C38">
        <w:rPr>
          <w:rFonts w:asciiTheme="majorHAnsi" w:eastAsia="宋体" w:hAnsiTheme="majorHAnsi" w:cstheme="majorHAnsi"/>
          <w:sz w:val="22"/>
          <w:lang w:eastAsia="zh-CN"/>
        </w:rPr>
        <w:t xml:space="preserve"> should be built around evidence, transparency and risk tolerance, not around the most </w:t>
      </w:r>
      <w:r w:rsidR="00DA3529" w:rsidRPr="00880C38">
        <w:rPr>
          <w:rFonts w:asciiTheme="majorHAnsi" w:eastAsia="宋体" w:hAnsiTheme="majorHAnsi" w:cstheme="majorHAnsi" w:hint="eastAsia"/>
          <w:sz w:val="22"/>
          <w:lang w:eastAsia="zh-CN"/>
        </w:rPr>
        <w:t>exciting</w:t>
      </w:r>
      <w:r w:rsidRPr="00880C38">
        <w:rPr>
          <w:rFonts w:asciiTheme="majorHAnsi" w:eastAsia="宋体" w:hAnsiTheme="majorHAnsi" w:cstheme="majorHAnsi"/>
          <w:sz w:val="22"/>
          <w:lang w:eastAsia="zh-CN"/>
        </w:rPr>
        <w:t xml:space="preserve"> model. </w:t>
      </w:r>
      <w:r w:rsidR="00D67904">
        <w:t>Equal Weight and Risk Parity produced stronger OOS profiles in this sample, consistent with their lower reliance on noisy expected-return estimates.</w:t>
      </w:r>
      <w:r w:rsidRPr="00880C38">
        <w:rPr>
          <w:rFonts w:asciiTheme="majorHAnsi" w:eastAsia="宋体" w:hAnsiTheme="majorHAnsi" w:cstheme="majorHAnsi"/>
          <w:sz w:val="22"/>
          <w:lang w:eastAsia="zh-CN"/>
        </w:rPr>
        <w:t xml:space="preserve"> Cryptocurrency can add upside, but only if investors understand the drawdown risk and size it carefully. Market sentiment can be useful as product insight, but it should not be promoted as alpha unless it improves net OOS performance after turnover and costs.</w:t>
      </w:r>
    </w:p>
    <w:p w14:paraId="2B24C797" w14:textId="77777777" w:rsidR="009B2E8F" w:rsidRDefault="00DA3529" w:rsidP="009B2E8F">
      <w:pPr>
        <w:spacing w:beforeAutospacing="1" w:line="240" w:lineRule="auto"/>
        <w:jc w:val="both"/>
        <w:rPr>
          <w:rFonts w:asciiTheme="majorHAnsi" w:eastAsia="宋体" w:hAnsiTheme="majorHAnsi" w:cstheme="majorHAnsi"/>
          <w:sz w:val="22"/>
          <w:lang w:eastAsia="zh-CN"/>
        </w:rPr>
      </w:pPr>
      <w:r w:rsidRPr="00880C38">
        <w:rPr>
          <w:rFonts w:asciiTheme="majorHAnsi" w:eastAsia="宋体" w:hAnsiTheme="majorHAnsi" w:cstheme="majorHAnsi" w:hint="eastAsia"/>
          <w:sz w:val="22"/>
          <w:lang w:eastAsia="zh-CN"/>
        </w:rPr>
        <w:t>P</w:t>
      </w:r>
      <w:r w:rsidR="00F769C8" w:rsidRPr="00880C38">
        <w:rPr>
          <w:rFonts w:asciiTheme="majorHAnsi" w:eastAsia="宋体" w:hAnsiTheme="majorHAnsi" w:cstheme="majorHAnsi"/>
          <w:sz w:val="22"/>
          <w:lang w:eastAsia="zh-CN"/>
        </w:rPr>
        <w:t>roduct recommendations should be segmented according to investor risk budgets. Conservative users should choose diversified equity funds, balanced users should choose Combined Risk Parity, and aggressive users should treat cryptocurrency exposure only as a satellite allocation. The app should also make clear that the sentiment overlay is currently an analytical experiment, not the default trading engine.</w:t>
      </w:r>
    </w:p>
    <w:p w14:paraId="2E9DAF8B" w14:textId="118DFE61" w:rsidR="00333A81" w:rsidRDefault="00333A81" w:rsidP="009B2E8F">
      <w:pPr>
        <w:spacing w:beforeAutospacing="1" w:line="240" w:lineRule="auto"/>
        <w:jc w:val="both"/>
        <w:rPr>
          <w:rFonts w:asciiTheme="majorHAnsi" w:eastAsia="宋体" w:hAnsiTheme="majorHAnsi" w:cstheme="majorHAnsi"/>
          <w:sz w:val="22"/>
          <w:lang w:eastAsia="zh-CN"/>
        </w:rPr>
      </w:pPr>
      <w:r w:rsidRPr="00333A81">
        <w:rPr>
          <w:rFonts w:asciiTheme="majorHAnsi" w:eastAsia="宋体" w:hAnsiTheme="majorHAnsi" w:cstheme="majorHAnsi"/>
          <w:sz w:val="22"/>
          <w:lang w:eastAsia="zh-CN"/>
        </w:rPr>
        <w:t xml:space="preserve">Table 4. Final </w:t>
      </w:r>
      <w:proofErr w:type="spellStart"/>
      <w:r w:rsidRPr="00333A81">
        <w:rPr>
          <w:rFonts w:asciiTheme="majorHAnsi" w:eastAsia="宋体" w:hAnsiTheme="majorHAnsi" w:cstheme="majorHAnsi"/>
          <w:sz w:val="22"/>
          <w:lang w:eastAsia="zh-CN"/>
        </w:rPr>
        <w:t>SignalHarbor</w:t>
      </w:r>
      <w:proofErr w:type="spellEnd"/>
      <w:r w:rsidRPr="00333A81">
        <w:rPr>
          <w:rFonts w:asciiTheme="majorHAnsi" w:eastAsia="宋体" w:hAnsiTheme="majorHAnsi" w:cstheme="majorHAnsi"/>
          <w:sz w:val="22"/>
          <w:lang w:eastAsia="zh-CN"/>
        </w:rPr>
        <w:t xml:space="preserve"> product recommendation by investor use case</w:t>
      </w:r>
    </w:p>
    <w:tbl>
      <w:tblPr>
        <w:tblStyle w:val="af5"/>
        <w:tblW w:w="0" w:type="auto"/>
        <w:jc w:val="center"/>
        <w:tblLook w:val="04A0" w:firstRow="1" w:lastRow="0" w:firstColumn="1" w:lastColumn="0" w:noHBand="0" w:noVBand="1"/>
      </w:tblPr>
      <w:tblGrid>
        <w:gridCol w:w="3159"/>
        <w:gridCol w:w="3159"/>
        <w:gridCol w:w="3323"/>
      </w:tblGrid>
      <w:tr w:rsidR="00333A81" w14:paraId="257CE2EE" w14:textId="77777777" w:rsidTr="00F30462">
        <w:trPr>
          <w:cantSplit/>
          <w:trHeight w:val="219"/>
          <w:jc w:val="center"/>
        </w:trPr>
        <w:tc>
          <w:tcPr>
            <w:tcW w:w="3159"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4270CC76" w14:textId="77777777" w:rsidR="00333A81" w:rsidRDefault="00333A81" w:rsidP="00F30462">
            <w:pPr>
              <w:spacing w:after="0"/>
              <w:rPr>
                <w:szCs w:val="21"/>
                <w:lang w:eastAsia="zh-CN"/>
              </w:rPr>
            </w:pPr>
            <w:r>
              <w:rPr>
                <w:b/>
                <w:sz w:val="16"/>
                <w:szCs w:val="16"/>
              </w:rPr>
              <w:t>Investor use case</w:t>
            </w:r>
          </w:p>
        </w:tc>
        <w:tc>
          <w:tcPr>
            <w:tcW w:w="3159"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7C60B1D1" w14:textId="77777777" w:rsidR="00333A81" w:rsidRDefault="00333A81" w:rsidP="00F30462">
            <w:pPr>
              <w:spacing w:after="0"/>
            </w:pPr>
            <w:r>
              <w:rPr>
                <w:b/>
                <w:sz w:val="16"/>
                <w:szCs w:val="16"/>
              </w:rPr>
              <w:t>Recommended product</w:t>
            </w:r>
          </w:p>
        </w:tc>
        <w:tc>
          <w:tcPr>
            <w:tcW w:w="3323"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24928ECC" w14:textId="77777777" w:rsidR="00333A81" w:rsidRDefault="00333A81" w:rsidP="00F30462">
            <w:pPr>
              <w:spacing w:after="0"/>
            </w:pPr>
            <w:r>
              <w:rPr>
                <w:b/>
                <w:sz w:val="16"/>
                <w:szCs w:val="16"/>
              </w:rPr>
              <w:t>Reason</w:t>
            </w:r>
          </w:p>
        </w:tc>
      </w:tr>
      <w:tr w:rsidR="00333A81" w14:paraId="4EEF6052" w14:textId="77777777" w:rsidTr="00F30462">
        <w:trPr>
          <w:cantSplit/>
          <w:trHeight w:val="866"/>
          <w:jc w:val="center"/>
        </w:trPr>
        <w:tc>
          <w:tcPr>
            <w:tcW w:w="3159" w:type="dxa"/>
            <w:tcBorders>
              <w:top w:val="single" w:sz="4" w:space="0" w:color="auto"/>
              <w:left w:val="single" w:sz="4" w:space="0" w:color="auto"/>
              <w:bottom w:val="single" w:sz="4" w:space="0" w:color="auto"/>
              <w:right w:val="single" w:sz="4" w:space="0" w:color="auto"/>
            </w:tcBorders>
            <w:vAlign w:val="center"/>
            <w:hideMark/>
          </w:tcPr>
          <w:p w14:paraId="431A8E7D" w14:textId="77777777" w:rsidR="00333A81" w:rsidRDefault="00333A81" w:rsidP="00F30462">
            <w:pPr>
              <w:spacing w:after="0"/>
            </w:pPr>
            <w:r>
              <w:rPr>
                <w:sz w:val="16"/>
                <w:szCs w:val="16"/>
              </w:rPr>
              <w:t>Conservative core</w:t>
            </w:r>
          </w:p>
        </w:tc>
        <w:tc>
          <w:tcPr>
            <w:tcW w:w="3159" w:type="dxa"/>
            <w:tcBorders>
              <w:top w:val="single" w:sz="4" w:space="0" w:color="auto"/>
              <w:left w:val="single" w:sz="4" w:space="0" w:color="auto"/>
              <w:bottom w:val="single" w:sz="4" w:space="0" w:color="auto"/>
              <w:right w:val="single" w:sz="4" w:space="0" w:color="auto"/>
            </w:tcBorders>
            <w:vAlign w:val="center"/>
            <w:hideMark/>
          </w:tcPr>
          <w:p w14:paraId="6CD93CEE" w14:textId="77777777" w:rsidR="00333A81" w:rsidRDefault="00333A81" w:rsidP="00F30462">
            <w:pPr>
              <w:spacing w:after="0"/>
            </w:pPr>
            <w:r>
              <w:rPr>
                <w:sz w:val="16"/>
                <w:szCs w:val="16"/>
              </w:rPr>
              <w:t>Equity Equal Weight / Equity Risk Parity</w:t>
            </w:r>
          </w:p>
        </w:tc>
        <w:tc>
          <w:tcPr>
            <w:tcW w:w="3323" w:type="dxa"/>
            <w:tcBorders>
              <w:top w:val="single" w:sz="4" w:space="0" w:color="auto"/>
              <w:left w:val="single" w:sz="4" w:space="0" w:color="auto"/>
              <w:bottom w:val="single" w:sz="4" w:space="0" w:color="auto"/>
              <w:right w:val="single" w:sz="4" w:space="0" w:color="auto"/>
            </w:tcBorders>
            <w:vAlign w:val="center"/>
            <w:hideMark/>
          </w:tcPr>
          <w:p w14:paraId="65036966" w14:textId="77777777" w:rsidR="00333A81" w:rsidRDefault="00333A81" w:rsidP="00F30462">
            <w:pPr>
              <w:spacing w:after="0"/>
            </w:pPr>
            <w:r>
              <w:rPr>
                <w:sz w:val="16"/>
                <w:szCs w:val="16"/>
              </w:rPr>
              <w:t>Best fit for investors who prioritise diversification, lower drawdown and low dependence on noisy expected-return forecasts.</w:t>
            </w:r>
          </w:p>
        </w:tc>
      </w:tr>
      <w:tr w:rsidR="00333A81" w14:paraId="2F8D65F3" w14:textId="77777777" w:rsidTr="00F30462">
        <w:trPr>
          <w:cantSplit/>
          <w:trHeight w:val="439"/>
          <w:jc w:val="center"/>
        </w:trPr>
        <w:tc>
          <w:tcPr>
            <w:tcW w:w="3159" w:type="dxa"/>
            <w:tcBorders>
              <w:top w:val="single" w:sz="4" w:space="0" w:color="auto"/>
              <w:left w:val="single" w:sz="4" w:space="0" w:color="auto"/>
              <w:bottom w:val="single" w:sz="4" w:space="0" w:color="auto"/>
              <w:right w:val="single" w:sz="4" w:space="0" w:color="auto"/>
            </w:tcBorders>
            <w:vAlign w:val="center"/>
            <w:hideMark/>
          </w:tcPr>
          <w:p w14:paraId="504F03B4" w14:textId="77777777" w:rsidR="00333A81" w:rsidRDefault="00333A81" w:rsidP="00F30462">
            <w:pPr>
              <w:spacing w:after="0"/>
            </w:pPr>
            <w:r>
              <w:rPr>
                <w:sz w:val="16"/>
                <w:szCs w:val="16"/>
              </w:rPr>
              <w:t>Balanced multi-asset</w:t>
            </w:r>
          </w:p>
        </w:tc>
        <w:tc>
          <w:tcPr>
            <w:tcW w:w="3159" w:type="dxa"/>
            <w:tcBorders>
              <w:top w:val="single" w:sz="4" w:space="0" w:color="auto"/>
              <w:left w:val="single" w:sz="4" w:space="0" w:color="auto"/>
              <w:bottom w:val="single" w:sz="4" w:space="0" w:color="auto"/>
              <w:right w:val="single" w:sz="4" w:space="0" w:color="auto"/>
            </w:tcBorders>
            <w:vAlign w:val="center"/>
            <w:hideMark/>
          </w:tcPr>
          <w:p w14:paraId="024DE909" w14:textId="77777777" w:rsidR="00333A81" w:rsidRDefault="00333A81" w:rsidP="00F30462">
            <w:pPr>
              <w:spacing w:after="0"/>
            </w:pPr>
            <w:r>
              <w:rPr>
                <w:sz w:val="16"/>
                <w:szCs w:val="16"/>
              </w:rPr>
              <w:t>Combined Risk Parity</w:t>
            </w:r>
          </w:p>
        </w:tc>
        <w:tc>
          <w:tcPr>
            <w:tcW w:w="3323" w:type="dxa"/>
            <w:tcBorders>
              <w:top w:val="single" w:sz="4" w:space="0" w:color="auto"/>
              <w:left w:val="single" w:sz="4" w:space="0" w:color="auto"/>
              <w:bottom w:val="single" w:sz="4" w:space="0" w:color="auto"/>
              <w:right w:val="single" w:sz="4" w:space="0" w:color="auto"/>
            </w:tcBorders>
            <w:vAlign w:val="center"/>
            <w:hideMark/>
          </w:tcPr>
          <w:p w14:paraId="01F1AD2E" w14:textId="77777777" w:rsidR="00333A81" w:rsidRDefault="00333A81" w:rsidP="00F30462">
            <w:pPr>
              <w:spacing w:after="0"/>
              <w:jc w:val="both"/>
            </w:pPr>
            <w:r>
              <w:rPr>
                <w:sz w:val="16"/>
                <w:szCs w:val="16"/>
              </w:rPr>
              <w:t>Uses crypto as a controlled sleeve rather than allowing it to dominate total portfolio risk.</w:t>
            </w:r>
          </w:p>
        </w:tc>
      </w:tr>
      <w:tr w:rsidR="00333A81" w14:paraId="2EBC0AEB" w14:textId="77777777" w:rsidTr="00F30462">
        <w:trPr>
          <w:cantSplit/>
          <w:trHeight w:val="646"/>
          <w:jc w:val="center"/>
        </w:trPr>
        <w:tc>
          <w:tcPr>
            <w:tcW w:w="3159" w:type="dxa"/>
            <w:tcBorders>
              <w:top w:val="single" w:sz="4" w:space="0" w:color="auto"/>
              <w:left w:val="single" w:sz="4" w:space="0" w:color="auto"/>
              <w:bottom w:val="single" w:sz="4" w:space="0" w:color="auto"/>
              <w:right w:val="single" w:sz="4" w:space="0" w:color="auto"/>
            </w:tcBorders>
            <w:vAlign w:val="center"/>
            <w:hideMark/>
          </w:tcPr>
          <w:p w14:paraId="5E8CFA81" w14:textId="77777777" w:rsidR="00333A81" w:rsidRDefault="00333A81" w:rsidP="00F30462">
            <w:pPr>
              <w:spacing w:after="0"/>
            </w:pPr>
            <w:r>
              <w:rPr>
                <w:sz w:val="16"/>
                <w:szCs w:val="16"/>
              </w:rPr>
              <w:t>Aggressive satellite</w:t>
            </w:r>
          </w:p>
        </w:tc>
        <w:tc>
          <w:tcPr>
            <w:tcW w:w="3159" w:type="dxa"/>
            <w:tcBorders>
              <w:top w:val="single" w:sz="4" w:space="0" w:color="auto"/>
              <w:left w:val="single" w:sz="4" w:space="0" w:color="auto"/>
              <w:bottom w:val="single" w:sz="4" w:space="0" w:color="auto"/>
              <w:right w:val="single" w:sz="4" w:space="0" w:color="auto"/>
            </w:tcBorders>
            <w:vAlign w:val="center"/>
            <w:hideMark/>
          </w:tcPr>
          <w:p w14:paraId="61731A40" w14:textId="77777777" w:rsidR="00333A81" w:rsidRDefault="00333A81" w:rsidP="00F30462">
            <w:pPr>
              <w:spacing w:after="0"/>
            </w:pPr>
            <w:r>
              <w:rPr>
                <w:sz w:val="16"/>
                <w:szCs w:val="16"/>
              </w:rPr>
              <w:t>Crypto Risk Parity</w:t>
            </w:r>
          </w:p>
        </w:tc>
        <w:tc>
          <w:tcPr>
            <w:tcW w:w="3323" w:type="dxa"/>
            <w:tcBorders>
              <w:top w:val="single" w:sz="4" w:space="0" w:color="auto"/>
              <w:left w:val="single" w:sz="4" w:space="0" w:color="auto"/>
              <w:bottom w:val="single" w:sz="4" w:space="0" w:color="auto"/>
              <w:right w:val="single" w:sz="4" w:space="0" w:color="auto"/>
            </w:tcBorders>
            <w:vAlign w:val="center"/>
            <w:hideMark/>
          </w:tcPr>
          <w:p w14:paraId="17C2FEF7" w14:textId="77777777" w:rsidR="00333A81" w:rsidRDefault="00333A81" w:rsidP="00F30462">
            <w:pPr>
              <w:spacing w:after="0"/>
            </w:pPr>
            <w:r>
              <w:rPr>
                <w:sz w:val="16"/>
                <w:szCs w:val="16"/>
              </w:rPr>
              <w:t>Highest upside in the sample, but only suitable as a satellite because volatility and drawdown are extreme.</w:t>
            </w:r>
          </w:p>
        </w:tc>
      </w:tr>
      <w:tr w:rsidR="00333A81" w14:paraId="60C84E7E" w14:textId="77777777" w:rsidTr="00F30462">
        <w:trPr>
          <w:cantSplit/>
          <w:trHeight w:val="658"/>
          <w:jc w:val="center"/>
        </w:trPr>
        <w:tc>
          <w:tcPr>
            <w:tcW w:w="3159" w:type="dxa"/>
            <w:tcBorders>
              <w:top w:val="single" w:sz="4" w:space="0" w:color="auto"/>
              <w:left w:val="single" w:sz="4" w:space="0" w:color="auto"/>
              <w:bottom w:val="single" w:sz="4" w:space="0" w:color="auto"/>
              <w:right w:val="single" w:sz="4" w:space="0" w:color="auto"/>
            </w:tcBorders>
            <w:vAlign w:val="center"/>
            <w:hideMark/>
          </w:tcPr>
          <w:p w14:paraId="7EFBB441" w14:textId="77777777" w:rsidR="00333A81" w:rsidRDefault="00333A81" w:rsidP="00F30462">
            <w:pPr>
              <w:spacing w:after="0"/>
            </w:pPr>
            <w:r>
              <w:rPr>
                <w:sz w:val="16"/>
                <w:szCs w:val="16"/>
              </w:rPr>
              <w:t>Not default</w:t>
            </w:r>
          </w:p>
        </w:tc>
        <w:tc>
          <w:tcPr>
            <w:tcW w:w="3159" w:type="dxa"/>
            <w:tcBorders>
              <w:top w:val="single" w:sz="4" w:space="0" w:color="auto"/>
              <w:left w:val="single" w:sz="4" w:space="0" w:color="auto"/>
              <w:bottom w:val="single" w:sz="4" w:space="0" w:color="auto"/>
              <w:right w:val="single" w:sz="4" w:space="0" w:color="auto"/>
            </w:tcBorders>
            <w:vAlign w:val="center"/>
            <w:hideMark/>
          </w:tcPr>
          <w:p w14:paraId="193F2E7B" w14:textId="77777777" w:rsidR="00333A81" w:rsidRDefault="00333A81" w:rsidP="00F30462">
            <w:pPr>
              <w:spacing w:after="0"/>
            </w:pPr>
            <w:r>
              <w:rPr>
                <w:sz w:val="16"/>
                <w:szCs w:val="16"/>
              </w:rPr>
              <w:t>Tangency / current sentiment fusion</w:t>
            </w:r>
          </w:p>
        </w:tc>
        <w:tc>
          <w:tcPr>
            <w:tcW w:w="3323" w:type="dxa"/>
            <w:tcBorders>
              <w:top w:val="single" w:sz="4" w:space="0" w:color="auto"/>
              <w:left w:val="single" w:sz="4" w:space="0" w:color="auto"/>
              <w:bottom w:val="single" w:sz="4" w:space="0" w:color="auto"/>
              <w:right w:val="single" w:sz="4" w:space="0" w:color="auto"/>
            </w:tcBorders>
            <w:vAlign w:val="center"/>
            <w:hideMark/>
          </w:tcPr>
          <w:p w14:paraId="27E6EABE" w14:textId="77777777" w:rsidR="00333A81" w:rsidRDefault="00333A81" w:rsidP="00F30462">
            <w:pPr>
              <w:spacing w:after="0"/>
            </w:pPr>
            <w:r>
              <w:rPr>
                <w:sz w:val="16"/>
                <w:szCs w:val="16"/>
              </w:rPr>
              <w:t>Tangency is unstable out of sample; sentiment fusion increases turnover without improving Sharpe in this test.</w:t>
            </w:r>
          </w:p>
        </w:tc>
      </w:tr>
    </w:tbl>
    <w:p w14:paraId="4860BE49" w14:textId="77777777" w:rsidR="00333A81" w:rsidRPr="00333A81" w:rsidRDefault="00333A81" w:rsidP="009B2E8F">
      <w:pPr>
        <w:spacing w:beforeAutospacing="1" w:line="240" w:lineRule="auto"/>
        <w:jc w:val="both"/>
        <w:rPr>
          <w:rFonts w:asciiTheme="majorHAnsi" w:eastAsia="宋体" w:hAnsiTheme="majorHAnsi" w:cstheme="majorHAnsi"/>
          <w:sz w:val="22"/>
          <w:lang w:eastAsia="zh-CN"/>
        </w:rPr>
      </w:pPr>
    </w:p>
    <w:p w14:paraId="22A67B1C" w14:textId="77777777" w:rsidR="00333A81" w:rsidRPr="00880C38" w:rsidRDefault="00333A81" w:rsidP="009B2E8F">
      <w:pPr>
        <w:spacing w:beforeAutospacing="1" w:line="240" w:lineRule="auto"/>
        <w:jc w:val="both"/>
        <w:rPr>
          <w:rFonts w:asciiTheme="majorHAnsi" w:eastAsia="宋体" w:hAnsiTheme="majorHAnsi" w:cstheme="majorHAnsi"/>
          <w:sz w:val="22"/>
          <w:lang w:eastAsia="zh-CN"/>
        </w:rPr>
      </w:pPr>
    </w:p>
    <w:p w14:paraId="330B4F7E" w14:textId="4A99B053" w:rsidR="009B2E8F" w:rsidRPr="009B2E8F" w:rsidRDefault="009B2E8F" w:rsidP="00333A81">
      <w:pPr>
        <w:keepNext/>
        <w:pageBreakBefore/>
        <w:spacing w:before="240" w:line="276" w:lineRule="auto"/>
        <w:rPr>
          <w:rFonts w:ascii="Arial" w:hAnsi="Arial" w:cs="Arial"/>
          <w:lang w:eastAsia="zh-CN"/>
        </w:rPr>
        <w:sectPr w:rsidR="009B2E8F" w:rsidRPr="009B2E8F">
          <w:footerReference w:type="even" r:id="rId12"/>
          <w:footerReference w:type="default" r:id="rId13"/>
          <w:pgSz w:w="12240" w:h="15840"/>
          <w:pgMar w:top="1181" w:right="1181" w:bottom="1181" w:left="1181" w:header="720" w:footer="720" w:gutter="0"/>
          <w:cols w:space="720"/>
          <w:docGrid w:linePitch="360"/>
        </w:sectPr>
      </w:pPr>
    </w:p>
    <w:p w14:paraId="53F552BD" w14:textId="77777777" w:rsidR="00D0169D" w:rsidRDefault="00000000">
      <w:pPr>
        <w:pStyle w:val="1"/>
        <w:pageBreakBefore/>
        <w:spacing w:before="120" w:after="80" w:line="240" w:lineRule="auto"/>
      </w:pPr>
      <w:r>
        <w:lastRenderedPageBreak/>
        <w:t>Appendix A: Supporting Required Exhibits</w:t>
      </w:r>
    </w:p>
    <w:p w14:paraId="0573FED2" w14:textId="77777777" w:rsidR="000A3B6E" w:rsidRDefault="00000000">
      <w:pPr>
        <w:spacing w:after="80" w:line="240" w:lineRule="auto"/>
      </w:pPr>
      <w:r>
        <w:t>This appendix contains the full performance table and supporting required exhibits not shown in the main narrative.</w:t>
      </w:r>
    </w:p>
    <w:p w14:paraId="4E036FD1" w14:textId="77777777" w:rsidR="00D0169D" w:rsidRPr="008D384D" w:rsidRDefault="00000000">
      <w:pPr>
        <w:pStyle w:val="pdq2pgselectionanchorcontainer"/>
        <w:keepNext/>
        <w:spacing w:before="40" w:after="60"/>
        <w:jc w:val="both"/>
        <w:rPr>
          <w:rFonts w:ascii="Arial" w:hAnsi="Arial" w:cs="Arial"/>
          <w:b/>
          <w:bCs/>
          <w:sz w:val="22"/>
          <w:szCs w:val="22"/>
        </w:rPr>
      </w:pPr>
      <w:r w:rsidRPr="008D384D">
        <w:rPr>
          <w:rFonts w:ascii="Arial" w:hAnsi="Arial" w:cs="Arial"/>
          <w:sz w:val="19"/>
        </w:rPr>
        <w:t>Table 2. Out-of-sample performance metrics across all funds</w:t>
      </w:r>
    </w:p>
    <w:tbl>
      <w:tblPr>
        <w:tblStyle w:val="af5"/>
        <w:tblW w:w="0" w:type="auto"/>
        <w:tblInd w:w="108" w:type="dxa"/>
        <w:tblLayout w:type="fixed"/>
        <w:tblLook w:val="04A0" w:firstRow="1" w:lastRow="0" w:firstColumn="1" w:lastColumn="0" w:noHBand="0" w:noVBand="1"/>
      </w:tblPr>
      <w:tblGrid>
        <w:gridCol w:w="2196"/>
        <w:gridCol w:w="1065"/>
        <w:gridCol w:w="1275"/>
        <w:gridCol w:w="993"/>
        <w:gridCol w:w="992"/>
        <w:gridCol w:w="850"/>
        <w:gridCol w:w="851"/>
        <w:gridCol w:w="1134"/>
      </w:tblGrid>
      <w:tr w:rsidR="00D0169D" w:rsidRPr="004E5857" w14:paraId="40F839AE" w14:textId="77777777" w:rsidTr="008D384D">
        <w:trPr>
          <w:cantSplit/>
        </w:trPr>
        <w:tc>
          <w:tcPr>
            <w:tcW w:w="2196" w:type="dxa"/>
          </w:tcPr>
          <w:p w14:paraId="74E5813C" w14:textId="77777777" w:rsidR="00D0169D" w:rsidRPr="004E5857" w:rsidRDefault="00000000">
            <w:pPr>
              <w:spacing w:after="0"/>
              <w:rPr>
                <w:rFonts w:ascii="Arial" w:hAnsi="Arial" w:cs="Arial"/>
                <w:sz w:val="18"/>
                <w:szCs w:val="18"/>
              </w:rPr>
            </w:pPr>
            <w:r w:rsidRPr="004E5857">
              <w:rPr>
                <w:rFonts w:ascii="Arial" w:hAnsi="Arial" w:cs="Arial"/>
                <w:b/>
                <w:sz w:val="18"/>
                <w:szCs w:val="18"/>
              </w:rPr>
              <w:t>Fund</w:t>
            </w:r>
          </w:p>
        </w:tc>
        <w:tc>
          <w:tcPr>
            <w:tcW w:w="1065" w:type="dxa"/>
          </w:tcPr>
          <w:p w14:paraId="239BD29C" w14:textId="77777777" w:rsidR="00D0169D" w:rsidRPr="004E5857" w:rsidRDefault="00000000">
            <w:pPr>
              <w:spacing w:after="0"/>
              <w:rPr>
                <w:rFonts w:ascii="Arial" w:hAnsi="Arial" w:cs="Arial"/>
                <w:sz w:val="18"/>
                <w:szCs w:val="18"/>
              </w:rPr>
            </w:pPr>
            <w:r w:rsidRPr="004E5857">
              <w:rPr>
                <w:rFonts w:ascii="Arial" w:hAnsi="Arial" w:cs="Arial"/>
                <w:b/>
                <w:sz w:val="18"/>
                <w:szCs w:val="18"/>
              </w:rPr>
              <w:t>Universe</w:t>
            </w:r>
          </w:p>
        </w:tc>
        <w:tc>
          <w:tcPr>
            <w:tcW w:w="1275" w:type="dxa"/>
          </w:tcPr>
          <w:p w14:paraId="2BEB6F3C" w14:textId="77777777" w:rsidR="00D0169D" w:rsidRPr="004E5857" w:rsidRDefault="00000000">
            <w:pPr>
              <w:spacing w:after="0"/>
              <w:rPr>
                <w:rFonts w:ascii="Arial" w:hAnsi="Arial" w:cs="Arial"/>
                <w:sz w:val="18"/>
                <w:szCs w:val="18"/>
              </w:rPr>
            </w:pPr>
            <w:r w:rsidRPr="004E5857">
              <w:rPr>
                <w:rFonts w:ascii="Arial" w:hAnsi="Arial" w:cs="Arial"/>
                <w:b/>
                <w:sz w:val="18"/>
                <w:szCs w:val="18"/>
              </w:rPr>
              <w:t>Method</w:t>
            </w:r>
          </w:p>
        </w:tc>
        <w:tc>
          <w:tcPr>
            <w:tcW w:w="993" w:type="dxa"/>
          </w:tcPr>
          <w:p w14:paraId="02170BFF" w14:textId="77777777" w:rsidR="00D0169D" w:rsidRPr="004E5857" w:rsidRDefault="00000000">
            <w:pPr>
              <w:spacing w:after="0"/>
              <w:rPr>
                <w:rFonts w:ascii="Arial" w:hAnsi="Arial" w:cs="Arial"/>
                <w:sz w:val="18"/>
                <w:szCs w:val="18"/>
              </w:rPr>
            </w:pPr>
            <w:r w:rsidRPr="004E5857">
              <w:rPr>
                <w:rFonts w:ascii="Arial" w:hAnsi="Arial" w:cs="Arial"/>
                <w:b/>
                <w:sz w:val="18"/>
                <w:szCs w:val="18"/>
              </w:rPr>
              <w:t>Ann. ret.</w:t>
            </w:r>
          </w:p>
        </w:tc>
        <w:tc>
          <w:tcPr>
            <w:tcW w:w="992" w:type="dxa"/>
          </w:tcPr>
          <w:p w14:paraId="4933D5C8" w14:textId="77777777" w:rsidR="00D0169D" w:rsidRPr="004E5857" w:rsidRDefault="00000000">
            <w:pPr>
              <w:spacing w:after="0"/>
              <w:rPr>
                <w:rFonts w:ascii="Arial" w:hAnsi="Arial" w:cs="Arial"/>
                <w:sz w:val="18"/>
                <w:szCs w:val="18"/>
              </w:rPr>
            </w:pPr>
            <w:r w:rsidRPr="004E5857">
              <w:rPr>
                <w:rFonts w:ascii="Arial" w:hAnsi="Arial" w:cs="Arial"/>
                <w:b/>
                <w:sz w:val="18"/>
                <w:szCs w:val="18"/>
              </w:rPr>
              <w:t>Ann. vol.</w:t>
            </w:r>
          </w:p>
        </w:tc>
        <w:tc>
          <w:tcPr>
            <w:tcW w:w="850" w:type="dxa"/>
          </w:tcPr>
          <w:p w14:paraId="649D3093" w14:textId="77777777" w:rsidR="00D0169D" w:rsidRPr="004E5857" w:rsidRDefault="00000000">
            <w:pPr>
              <w:spacing w:after="0"/>
              <w:rPr>
                <w:rFonts w:ascii="Arial" w:hAnsi="Arial" w:cs="Arial"/>
                <w:sz w:val="18"/>
                <w:szCs w:val="18"/>
              </w:rPr>
            </w:pPr>
            <w:r w:rsidRPr="004E5857">
              <w:rPr>
                <w:rFonts w:ascii="Arial" w:hAnsi="Arial" w:cs="Arial"/>
                <w:b/>
                <w:sz w:val="18"/>
                <w:szCs w:val="18"/>
              </w:rPr>
              <w:t>Sharpe</w:t>
            </w:r>
          </w:p>
        </w:tc>
        <w:tc>
          <w:tcPr>
            <w:tcW w:w="851" w:type="dxa"/>
          </w:tcPr>
          <w:p w14:paraId="7D5D5CDA" w14:textId="77777777" w:rsidR="00D0169D" w:rsidRPr="004E5857" w:rsidRDefault="00000000">
            <w:pPr>
              <w:spacing w:after="0"/>
              <w:rPr>
                <w:rFonts w:ascii="Arial" w:hAnsi="Arial" w:cs="Arial"/>
                <w:sz w:val="18"/>
                <w:szCs w:val="18"/>
              </w:rPr>
            </w:pPr>
            <w:r w:rsidRPr="004E5857">
              <w:rPr>
                <w:rFonts w:ascii="Arial" w:hAnsi="Arial" w:cs="Arial"/>
                <w:b/>
                <w:sz w:val="18"/>
                <w:szCs w:val="18"/>
              </w:rPr>
              <w:t>Max DD</w:t>
            </w:r>
          </w:p>
        </w:tc>
        <w:tc>
          <w:tcPr>
            <w:tcW w:w="1134" w:type="dxa"/>
          </w:tcPr>
          <w:p w14:paraId="01C01527" w14:textId="77777777" w:rsidR="00D0169D" w:rsidRPr="004E5857" w:rsidRDefault="00000000">
            <w:pPr>
              <w:spacing w:after="0"/>
              <w:rPr>
                <w:rFonts w:ascii="Arial" w:hAnsi="Arial" w:cs="Arial"/>
                <w:sz w:val="18"/>
                <w:szCs w:val="18"/>
              </w:rPr>
            </w:pPr>
            <w:r w:rsidRPr="004E5857">
              <w:rPr>
                <w:rFonts w:ascii="Arial" w:hAnsi="Arial" w:cs="Arial"/>
                <w:b/>
                <w:sz w:val="18"/>
                <w:szCs w:val="18"/>
              </w:rPr>
              <w:t>Turnover</w:t>
            </w:r>
          </w:p>
        </w:tc>
      </w:tr>
      <w:tr w:rsidR="00D0169D" w:rsidRPr="004E5857" w14:paraId="48D9533A" w14:textId="77777777" w:rsidTr="008D384D">
        <w:trPr>
          <w:cantSplit/>
        </w:trPr>
        <w:tc>
          <w:tcPr>
            <w:tcW w:w="2196" w:type="dxa"/>
          </w:tcPr>
          <w:p w14:paraId="0DC9B11E" w14:textId="77777777" w:rsidR="00D0169D" w:rsidRPr="004E5857" w:rsidRDefault="00000000">
            <w:pPr>
              <w:spacing w:after="0"/>
              <w:rPr>
                <w:rFonts w:ascii="Arial" w:hAnsi="Arial" w:cs="Arial"/>
                <w:sz w:val="18"/>
                <w:szCs w:val="18"/>
              </w:rPr>
            </w:pPr>
            <w:r w:rsidRPr="004E5857">
              <w:rPr>
                <w:rFonts w:ascii="Arial" w:hAnsi="Arial" w:cs="Arial"/>
                <w:sz w:val="18"/>
                <w:szCs w:val="18"/>
              </w:rPr>
              <w:t>Combined Equal Weight</w:t>
            </w:r>
          </w:p>
        </w:tc>
        <w:tc>
          <w:tcPr>
            <w:tcW w:w="1065" w:type="dxa"/>
          </w:tcPr>
          <w:p w14:paraId="0D9C7B68" w14:textId="77777777" w:rsidR="00D0169D" w:rsidRPr="004E5857" w:rsidRDefault="00000000">
            <w:pPr>
              <w:spacing w:after="0"/>
              <w:rPr>
                <w:rFonts w:ascii="Arial" w:hAnsi="Arial" w:cs="Arial"/>
                <w:sz w:val="18"/>
                <w:szCs w:val="18"/>
              </w:rPr>
            </w:pPr>
            <w:r w:rsidRPr="004E5857">
              <w:rPr>
                <w:rFonts w:ascii="Arial" w:hAnsi="Arial" w:cs="Arial"/>
                <w:sz w:val="18"/>
                <w:szCs w:val="18"/>
              </w:rPr>
              <w:t>Combined</w:t>
            </w:r>
          </w:p>
        </w:tc>
        <w:tc>
          <w:tcPr>
            <w:tcW w:w="1275" w:type="dxa"/>
          </w:tcPr>
          <w:p w14:paraId="4736FE67" w14:textId="77777777" w:rsidR="00D0169D" w:rsidRPr="004E5857" w:rsidRDefault="00000000">
            <w:pPr>
              <w:spacing w:after="0"/>
              <w:rPr>
                <w:rFonts w:ascii="Arial" w:hAnsi="Arial" w:cs="Arial"/>
                <w:sz w:val="18"/>
                <w:szCs w:val="18"/>
              </w:rPr>
            </w:pPr>
            <w:r w:rsidRPr="004E5857">
              <w:rPr>
                <w:rFonts w:ascii="Arial" w:hAnsi="Arial" w:cs="Arial"/>
                <w:sz w:val="18"/>
                <w:szCs w:val="18"/>
              </w:rPr>
              <w:t>Equal Weight</w:t>
            </w:r>
          </w:p>
        </w:tc>
        <w:tc>
          <w:tcPr>
            <w:tcW w:w="993" w:type="dxa"/>
          </w:tcPr>
          <w:p w14:paraId="23CA830C" w14:textId="77777777" w:rsidR="00D0169D" w:rsidRPr="004E5857" w:rsidRDefault="00000000">
            <w:pPr>
              <w:spacing w:after="0"/>
              <w:rPr>
                <w:rFonts w:ascii="Arial" w:hAnsi="Arial" w:cs="Arial"/>
                <w:sz w:val="18"/>
                <w:szCs w:val="18"/>
              </w:rPr>
            </w:pPr>
            <w:r w:rsidRPr="004E5857">
              <w:rPr>
                <w:rFonts w:ascii="Arial" w:hAnsi="Arial" w:cs="Arial"/>
                <w:sz w:val="18"/>
                <w:szCs w:val="18"/>
              </w:rPr>
              <w:t>15.0%</w:t>
            </w:r>
          </w:p>
        </w:tc>
        <w:tc>
          <w:tcPr>
            <w:tcW w:w="992" w:type="dxa"/>
          </w:tcPr>
          <w:p w14:paraId="2B121DBB" w14:textId="77777777" w:rsidR="00D0169D" w:rsidRPr="004E5857" w:rsidRDefault="00000000">
            <w:pPr>
              <w:spacing w:after="0"/>
              <w:rPr>
                <w:rFonts w:ascii="Arial" w:hAnsi="Arial" w:cs="Arial"/>
                <w:sz w:val="18"/>
                <w:szCs w:val="18"/>
              </w:rPr>
            </w:pPr>
            <w:r w:rsidRPr="004E5857">
              <w:rPr>
                <w:rFonts w:ascii="Arial" w:hAnsi="Arial" w:cs="Arial"/>
                <w:sz w:val="18"/>
                <w:szCs w:val="18"/>
              </w:rPr>
              <w:t>21.3%</w:t>
            </w:r>
          </w:p>
        </w:tc>
        <w:tc>
          <w:tcPr>
            <w:tcW w:w="850" w:type="dxa"/>
          </w:tcPr>
          <w:p w14:paraId="710B5583" w14:textId="77777777" w:rsidR="00D0169D" w:rsidRPr="004E5857" w:rsidRDefault="00000000">
            <w:pPr>
              <w:spacing w:after="0"/>
              <w:rPr>
                <w:rFonts w:ascii="Arial" w:hAnsi="Arial" w:cs="Arial"/>
                <w:sz w:val="18"/>
                <w:szCs w:val="18"/>
              </w:rPr>
            </w:pPr>
            <w:r w:rsidRPr="004E5857">
              <w:rPr>
                <w:rFonts w:ascii="Arial" w:hAnsi="Arial" w:cs="Arial"/>
                <w:sz w:val="18"/>
                <w:szCs w:val="18"/>
              </w:rPr>
              <w:t>0.76</w:t>
            </w:r>
          </w:p>
        </w:tc>
        <w:tc>
          <w:tcPr>
            <w:tcW w:w="851" w:type="dxa"/>
          </w:tcPr>
          <w:p w14:paraId="5ADC86D6" w14:textId="77777777" w:rsidR="00D0169D" w:rsidRPr="004E5857" w:rsidRDefault="00000000">
            <w:pPr>
              <w:spacing w:after="0"/>
              <w:rPr>
                <w:rFonts w:ascii="Arial" w:hAnsi="Arial" w:cs="Arial"/>
                <w:sz w:val="18"/>
                <w:szCs w:val="18"/>
              </w:rPr>
            </w:pPr>
            <w:r w:rsidRPr="004E5857">
              <w:rPr>
                <w:rFonts w:ascii="Arial" w:hAnsi="Arial" w:cs="Arial"/>
                <w:sz w:val="18"/>
                <w:szCs w:val="18"/>
              </w:rPr>
              <w:t>-28.7%</w:t>
            </w:r>
          </w:p>
        </w:tc>
        <w:tc>
          <w:tcPr>
            <w:tcW w:w="1134" w:type="dxa"/>
          </w:tcPr>
          <w:p w14:paraId="592DB082" w14:textId="77777777" w:rsidR="00D0169D" w:rsidRPr="004E5857" w:rsidRDefault="00000000">
            <w:pPr>
              <w:spacing w:after="0"/>
              <w:rPr>
                <w:rFonts w:ascii="Arial" w:hAnsi="Arial" w:cs="Arial"/>
                <w:sz w:val="18"/>
                <w:szCs w:val="18"/>
              </w:rPr>
            </w:pPr>
            <w:r w:rsidRPr="004E5857">
              <w:rPr>
                <w:rFonts w:ascii="Arial" w:hAnsi="Arial" w:cs="Arial"/>
                <w:sz w:val="18"/>
                <w:szCs w:val="18"/>
              </w:rPr>
              <w:t>3.9%</w:t>
            </w:r>
          </w:p>
        </w:tc>
      </w:tr>
      <w:tr w:rsidR="00D0169D" w:rsidRPr="004E5857" w14:paraId="47F81BD4" w14:textId="77777777" w:rsidTr="008D384D">
        <w:trPr>
          <w:cantSplit/>
        </w:trPr>
        <w:tc>
          <w:tcPr>
            <w:tcW w:w="2196" w:type="dxa"/>
          </w:tcPr>
          <w:p w14:paraId="545AB667" w14:textId="77777777" w:rsidR="00D0169D" w:rsidRPr="004E5857" w:rsidRDefault="00000000">
            <w:pPr>
              <w:spacing w:after="0"/>
              <w:rPr>
                <w:rFonts w:ascii="Arial" w:hAnsi="Arial" w:cs="Arial"/>
                <w:sz w:val="18"/>
                <w:szCs w:val="18"/>
              </w:rPr>
            </w:pPr>
            <w:r w:rsidRPr="004E5857">
              <w:rPr>
                <w:rFonts w:ascii="Arial" w:hAnsi="Arial" w:cs="Arial"/>
                <w:sz w:val="18"/>
                <w:szCs w:val="18"/>
              </w:rPr>
              <w:t>Combined Minimum Variance</w:t>
            </w:r>
          </w:p>
        </w:tc>
        <w:tc>
          <w:tcPr>
            <w:tcW w:w="1065" w:type="dxa"/>
          </w:tcPr>
          <w:p w14:paraId="3714818F" w14:textId="77777777" w:rsidR="00D0169D" w:rsidRPr="004E5857" w:rsidRDefault="00000000">
            <w:pPr>
              <w:spacing w:after="0"/>
              <w:rPr>
                <w:rFonts w:ascii="Arial" w:hAnsi="Arial" w:cs="Arial"/>
                <w:sz w:val="18"/>
                <w:szCs w:val="18"/>
              </w:rPr>
            </w:pPr>
            <w:r w:rsidRPr="004E5857">
              <w:rPr>
                <w:rFonts w:ascii="Arial" w:hAnsi="Arial" w:cs="Arial"/>
                <w:sz w:val="18"/>
                <w:szCs w:val="18"/>
              </w:rPr>
              <w:t>Combined</w:t>
            </w:r>
          </w:p>
        </w:tc>
        <w:tc>
          <w:tcPr>
            <w:tcW w:w="1275" w:type="dxa"/>
          </w:tcPr>
          <w:p w14:paraId="28BB1342" w14:textId="77777777" w:rsidR="00D0169D" w:rsidRPr="004E5857" w:rsidRDefault="00000000">
            <w:pPr>
              <w:spacing w:after="0"/>
              <w:rPr>
                <w:rFonts w:ascii="Arial" w:hAnsi="Arial" w:cs="Arial"/>
                <w:sz w:val="18"/>
                <w:szCs w:val="18"/>
              </w:rPr>
            </w:pPr>
            <w:r w:rsidRPr="004E5857">
              <w:rPr>
                <w:rFonts w:ascii="Arial" w:hAnsi="Arial" w:cs="Arial"/>
                <w:sz w:val="18"/>
                <w:szCs w:val="18"/>
              </w:rPr>
              <w:t>Minimum Variance</w:t>
            </w:r>
          </w:p>
        </w:tc>
        <w:tc>
          <w:tcPr>
            <w:tcW w:w="993" w:type="dxa"/>
          </w:tcPr>
          <w:p w14:paraId="2BDE8952" w14:textId="77777777" w:rsidR="00D0169D" w:rsidRPr="004E5857" w:rsidRDefault="00000000">
            <w:pPr>
              <w:spacing w:after="0"/>
              <w:rPr>
                <w:rFonts w:ascii="Arial" w:hAnsi="Arial" w:cs="Arial"/>
                <w:sz w:val="18"/>
                <w:szCs w:val="18"/>
              </w:rPr>
            </w:pPr>
            <w:r w:rsidRPr="004E5857">
              <w:rPr>
                <w:rFonts w:ascii="Arial" w:hAnsi="Arial" w:cs="Arial"/>
                <w:sz w:val="18"/>
                <w:szCs w:val="18"/>
              </w:rPr>
              <w:t>4.4%</w:t>
            </w:r>
          </w:p>
        </w:tc>
        <w:tc>
          <w:tcPr>
            <w:tcW w:w="992" w:type="dxa"/>
          </w:tcPr>
          <w:p w14:paraId="1346C710" w14:textId="77777777" w:rsidR="00D0169D" w:rsidRPr="004E5857" w:rsidRDefault="00000000">
            <w:pPr>
              <w:spacing w:after="0"/>
              <w:rPr>
                <w:rFonts w:ascii="Arial" w:hAnsi="Arial" w:cs="Arial"/>
                <w:sz w:val="18"/>
                <w:szCs w:val="18"/>
              </w:rPr>
            </w:pPr>
            <w:r w:rsidRPr="004E5857">
              <w:rPr>
                <w:rFonts w:ascii="Arial" w:hAnsi="Arial" w:cs="Arial"/>
                <w:sz w:val="18"/>
                <w:szCs w:val="18"/>
              </w:rPr>
              <w:t>13.4%</w:t>
            </w:r>
          </w:p>
        </w:tc>
        <w:tc>
          <w:tcPr>
            <w:tcW w:w="850" w:type="dxa"/>
          </w:tcPr>
          <w:p w14:paraId="1D4F741A" w14:textId="77777777" w:rsidR="00D0169D" w:rsidRPr="004E5857" w:rsidRDefault="00000000">
            <w:pPr>
              <w:spacing w:after="0"/>
              <w:rPr>
                <w:rFonts w:ascii="Arial" w:hAnsi="Arial" w:cs="Arial"/>
                <w:sz w:val="18"/>
                <w:szCs w:val="18"/>
              </w:rPr>
            </w:pPr>
            <w:r w:rsidRPr="004E5857">
              <w:rPr>
                <w:rFonts w:ascii="Arial" w:hAnsi="Arial" w:cs="Arial"/>
                <w:sz w:val="18"/>
                <w:szCs w:val="18"/>
              </w:rPr>
              <w:t>0.39</w:t>
            </w:r>
          </w:p>
        </w:tc>
        <w:tc>
          <w:tcPr>
            <w:tcW w:w="851" w:type="dxa"/>
          </w:tcPr>
          <w:p w14:paraId="0C25C145" w14:textId="77777777" w:rsidR="00D0169D" w:rsidRPr="004E5857" w:rsidRDefault="00000000">
            <w:pPr>
              <w:spacing w:after="0"/>
              <w:rPr>
                <w:rFonts w:ascii="Arial" w:hAnsi="Arial" w:cs="Arial"/>
                <w:sz w:val="18"/>
                <w:szCs w:val="18"/>
              </w:rPr>
            </w:pPr>
            <w:r w:rsidRPr="004E5857">
              <w:rPr>
                <w:rFonts w:ascii="Arial" w:hAnsi="Arial" w:cs="Arial"/>
                <w:sz w:val="18"/>
                <w:szCs w:val="18"/>
              </w:rPr>
              <w:t>-18.6%</w:t>
            </w:r>
          </w:p>
        </w:tc>
        <w:tc>
          <w:tcPr>
            <w:tcW w:w="1134" w:type="dxa"/>
          </w:tcPr>
          <w:p w14:paraId="1F7433E8" w14:textId="77777777" w:rsidR="00D0169D" w:rsidRPr="004E5857" w:rsidRDefault="00000000">
            <w:pPr>
              <w:spacing w:after="0"/>
              <w:rPr>
                <w:rFonts w:ascii="Arial" w:hAnsi="Arial" w:cs="Arial"/>
                <w:sz w:val="18"/>
                <w:szCs w:val="18"/>
              </w:rPr>
            </w:pPr>
            <w:r w:rsidRPr="004E5857">
              <w:rPr>
                <w:rFonts w:ascii="Arial" w:hAnsi="Arial" w:cs="Arial"/>
                <w:sz w:val="18"/>
                <w:szCs w:val="18"/>
              </w:rPr>
              <w:t>4.2%</w:t>
            </w:r>
          </w:p>
        </w:tc>
      </w:tr>
      <w:tr w:rsidR="00D0169D" w:rsidRPr="004E5857" w14:paraId="2070D1F0" w14:textId="77777777" w:rsidTr="008D384D">
        <w:trPr>
          <w:cantSplit/>
        </w:trPr>
        <w:tc>
          <w:tcPr>
            <w:tcW w:w="2196" w:type="dxa"/>
          </w:tcPr>
          <w:p w14:paraId="145077F9" w14:textId="77777777" w:rsidR="00D0169D" w:rsidRPr="004E5857" w:rsidRDefault="00000000">
            <w:pPr>
              <w:spacing w:after="0"/>
              <w:rPr>
                <w:rFonts w:ascii="Arial" w:hAnsi="Arial" w:cs="Arial"/>
                <w:sz w:val="18"/>
                <w:szCs w:val="18"/>
              </w:rPr>
            </w:pPr>
            <w:r w:rsidRPr="004E5857">
              <w:rPr>
                <w:rFonts w:ascii="Arial" w:hAnsi="Arial" w:cs="Arial"/>
                <w:sz w:val="18"/>
                <w:szCs w:val="18"/>
              </w:rPr>
              <w:t>Combined Risk Parity</w:t>
            </w:r>
          </w:p>
        </w:tc>
        <w:tc>
          <w:tcPr>
            <w:tcW w:w="1065" w:type="dxa"/>
          </w:tcPr>
          <w:p w14:paraId="6E174AC5" w14:textId="77777777" w:rsidR="00D0169D" w:rsidRPr="004E5857" w:rsidRDefault="00000000">
            <w:pPr>
              <w:spacing w:after="0"/>
              <w:rPr>
                <w:rFonts w:ascii="Arial" w:hAnsi="Arial" w:cs="Arial"/>
                <w:sz w:val="18"/>
                <w:szCs w:val="18"/>
              </w:rPr>
            </w:pPr>
            <w:r w:rsidRPr="004E5857">
              <w:rPr>
                <w:rFonts w:ascii="Arial" w:hAnsi="Arial" w:cs="Arial"/>
                <w:sz w:val="18"/>
                <w:szCs w:val="18"/>
              </w:rPr>
              <w:t>Combined</w:t>
            </w:r>
          </w:p>
        </w:tc>
        <w:tc>
          <w:tcPr>
            <w:tcW w:w="1275" w:type="dxa"/>
          </w:tcPr>
          <w:p w14:paraId="0E9C5411" w14:textId="77777777" w:rsidR="00D0169D" w:rsidRPr="004E5857" w:rsidRDefault="00000000">
            <w:pPr>
              <w:spacing w:after="0"/>
              <w:rPr>
                <w:rFonts w:ascii="Arial" w:hAnsi="Arial" w:cs="Arial"/>
                <w:sz w:val="18"/>
                <w:szCs w:val="18"/>
              </w:rPr>
            </w:pPr>
            <w:r w:rsidRPr="004E5857">
              <w:rPr>
                <w:rFonts w:ascii="Arial" w:hAnsi="Arial" w:cs="Arial"/>
                <w:sz w:val="18"/>
                <w:szCs w:val="18"/>
              </w:rPr>
              <w:t>Risk Parity</w:t>
            </w:r>
          </w:p>
        </w:tc>
        <w:tc>
          <w:tcPr>
            <w:tcW w:w="993" w:type="dxa"/>
          </w:tcPr>
          <w:p w14:paraId="1E51C441" w14:textId="77777777" w:rsidR="00D0169D" w:rsidRPr="004E5857" w:rsidRDefault="00000000">
            <w:pPr>
              <w:spacing w:after="0"/>
              <w:rPr>
                <w:rFonts w:ascii="Arial" w:hAnsi="Arial" w:cs="Arial"/>
                <w:sz w:val="18"/>
                <w:szCs w:val="18"/>
              </w:rPr>
            </w:pPr>
            <w:r w:rsidRPr="004E5857">
              <w:rPr>
                <w:rFonts w:ascii="Arial" w:hAnsi="Arial" w:cs="Arial"/>
                <w:sz w:val="18"/>
                <w:szCs w:val="18"/>
              </w:rPr>
              <w:t>12.8%</w:t>
            </w:r>
          </w:p>
        </w:tc>
        <w:tc>
          <w:tcPr>
            <w:tcW w:w="992" w:type="dxa"/>
          </w:tcPr>
          <w:p w14:paraId="41E2AE4E" w14:textId="77777777" w:rsidR="00D0169D" w:rsidRPr="004E5857" w:rsidRDefault="00000000">
            <w:pPr>
              <w:spacing w:after="0"/>
              <w:rPr>
                <w:rFonts w:ascii="Arial" w:hAnsi="Arial" w:cs="Arial"/>
                <w:sz w:val="18"/>
                <w:szCs w:val="18"/>
              </w:rPr>
            </w:pPr>
            <w:r w:rsidRPr="004E5857">
              <w:rPr>
                <w:rFonts w:ascii="Arial" w:hAnsi="Arial" w:cs="Arial"/>
                <w:sz w:val="18"/>
                <w:szCs w:val="18"/>
              </w:rPr>
              <w:t>17.2%</w:t>
            </w:r>
          </w:p>
        </w:tc>
        <w:tc>
          <w:tcPr>
            <w:tcW w:w="850" w:type="dxa"/>
          </w:tcPr>
          <w:p w14:paraId="3045C51F" w14:textId="77777777" w:rsidR="00D0169D" w:rsidRPr="004E5857" w:rsidRDefault="00000000">
            <w:pPr>
              <w:spacing w:after="0"/>
              <w:rPr>
                <w:rFonts w:ascii="Arial" w:hAnsi="Arial" w:cs="Arial"/>
                <w:sz w:val="18"/>
                <w:szCs w:val="18"/>
              </w:rPr>
            </w:pPr>
            <w:r w:rsidRPr="004E5857">
              <w:rPr>
                <w:rFonts w:ascii="Arial" w:hAnsi="Arial" w:cs="Arial"/>
                <w:sz w:val="18"/>
                <w:szCs w:val="18"/>
              </w:rPr>
              <w:t>0.79</w:t>
            </w:r>
          </w:p>
        </w:tc>
        <w:tc>
          <w:tcPr>
            <w:tcW w:w="851" w:type="dxa"/>
          </w:tcPr>
          <w:p w14:paraId="7FA8077B" w14:textId="77777777" w:rsidR="00D0169D" w:rsidRPr="004E5857" w:rsidRDefault="00000000">
            <w:pPr>
              <w:spacing w:after="0"/>
              <w:rPr>
                <w:rFonts w:ascii="Arial" w:hAnsi="Arial" w:cs="Arial"/>
                <w:sz w:val="18"/>
                <w:szCs w:val="18"/>
              </w:rPr>
            </w:pPr>
            <w:r w:rsidRPr="004E5857">
              <w:rPr>
                <w:rFonts w:ascii="Arial" w:hAnsi="Arial" w:cs="Arial"/>
                <w:sz w:val="18"/>
                <w:szCs w:val="18"/>
              </w:rPr>
              <w:t>-22.9%</w:t>
            </w:r>
          </w:p>
        </w:tc>
        <w:tc>
          <w:tcPr>
            <w:tcW w:w="1134" w:type="dxa"/>
          </w:tcPr>
          <w:p w14:paraId="6C33F5FD" w14:textId="77777777" w:rsidR="00D0169D" w:rsidRPr="004E5857" w:rsidRDefault="00000000">
            <w:pPr>
              <w:spacing w:after="0"/>
              <w:rPr>
                <w:rFonts w:ascii="Arial" w:hAnsi="Arial" w:cs="Arial"/>
                <w:sz w:val="18"/>
                <w:szCs w:val="18"/>
              </w:rPr>
            </w:pPr>
            <w:r w:rsidRPr="004E5857">
              <w:rPr>
                <w:rFonts w:ascii="Arial" w:hAnsi="Arial" w:cs="Arial"/>
                <w:sz w:val="18"/>
                <w:szCs w:val="18"/>
              </w:rPr>
              <w:t>3.2%</w:t>
            </w:r>
          </w:p>
        </w:tc>
      </w:tr>
      <w:tr w:rsidR="00D0169D" w:rsidRPr="004E5857" w14:paraId="4CC0FA2C" w14:textId="77777777" w:rsidTr="008D384D">
        <w:trPr>
          <w:cantSplit/>
        </w:trPr>
        <w:tc>
          <w:tcPr>
            <w:tcW w:w="2196" w:type="dxa"/>
          </w:tcPr>
          <w:p w14:paraId="2332B4BD" w14:textId="77777777" w:rsidR="00D0169D" w:rsidRPr="004E5857" w:rsidRDefault="00000000">
            <w:pPr>
              <w:spacing w:after="0"/>
              <w:rPr>
                <w:rFonts w:ascii="Arial" w:hAnsi="Arial" w:cs="Arial"/>
                <w:sz w:val="18"/>
                <w:szCs w:val="18"/>
              </w:rPr>
            </w:pPr>
            <w:r w:rsidRPr="004E5857">
              <w:rPr>
                <w:rFonts w:ascii="Arial" w:hAnsi="Arial" w:cs="Arial"/>
                <w:sz w:val="18"/>
                <w:szCs w:val="18"/>
              </w:rPr>
              <w:t>Combined Tangency</w:t>
            </w:r>
          </w:p>
        </w:tc>
        <w:tc>
          <w:tcPr>
            <w:tcW w:w="1065" w:type="dxa"/>
          </w:tcPr>
          <w:p w14:paraId="6B4C7440" w14:textId="77777777" w:rsidR="00D0169D" w:rsidRPr="004E5857" w:rsidRDefault="00000000">
            <w:pPr>
              <w:spacing w:after="0"/>
              <w:rPr>
                <w:rFonts w:ascii="Arial" w:hAnsi="Arial" w:cs="Arial"/>
                <w:sz w:val="18"/>
                <w:szCs w:val="18"/>
              </w:rPr>
            </w:pPr>
            <w:r w:rsidRPr="004E5857">
              <w:rPr>
                <w:rFonts w:ascii="Arial" w:hAnsi="Arial" w:cs="Arial"/>
                <w:sz w:val="18"/>
                <w:szCs w:val="18"/>
              </w:rPr>
              <w:t>Combined</w:t>
            </w:r>
          </w:p>
        </w:tc>
        <w:tc>
          <w:tcPr>
            <w:tcW w:w="1275" w:type="dxa"/>
          </w:tcPr>
          <w:p w14:paraId="6F14A0ED" w14:textId="77777777" w:rsidR="00D0169D" w:rsidRPr="004E5857" w:rsidRDefault="00000000">
            <w:pPr>
              <w:spacing w:after="0"/>
              <w:rPr>
                <w:rFonts w:ascii="Arial" w:hAnsi="Arial" w:cs="Arial"/>
                <w:sz w:val="18"/>
                <w:szCs w:val="18"/>
              </w:rPr>
            </w:pPr>
            <w:r w:rsidRPr="004E5857">
              <w:rPr>
                <w:rFonts w:ascii="Arial" w:hAnsi="Arial" w:cs="Arial"/>
                <w:sz w:val="18"/>
                <w:szCs w:val="18"/>
              </w:rPr>
              <w:t>Tangency</w:t>
            </w:r>
          </w:p>
        </w:tc>
        <w:tc>
          <w:tcPr>
            <w:tcW w:w="993" w:type="dxa"/>
          </w:tcPr>
          <w:p w14:paraId="056E90AC" w14:textId="77777777" w:rsidR="00D0169D" w:rsidRPr="004E5857" w:rsidRDefault="00000000">
            <w:pPr>
              <w:spacing w:after="0"/>
              <w:rPr>
                <w:rFonts w:ascii="Arial" w:hAnsi="Arial" w:cs="Arial"/>
                <w:sz w:val="18"/>
                <w:szCs w:val="18"/>
              </w:rPr>
            </w:pPr>
            <w:r w:rsidRPr="004E5857">
              <w:rPr>
                <w:rFonts w:ascii="Arial" w:hAnsi="Arial" w:cs="Arial"/>
                <w:sz w:val="18"/>
                <w:szCs w:val="18"/>
              </w:rPr>
              <w:t>8.2%</w:t>
            </w:r>
          </w:p>
        </w:tc>
        <w:tc>
          <w:tcPr>
            <w:tcW w:w="992" w:type="dxa"/>
          </w:tcPr>
          <w:p w14:paraId="7DB0D199" w14:textId="77777777" w:rsidR="00D0169D" w:rsidRPr="004E5857" w:rsidRDefault="00000000">
            <w:pPr>
              <w:spacing w:after="0"/>
              <w:rPr>
                <w:rFonts w:ascii="Arial" w:hAnsi="Arial" w:cs="Arial"/>
                <w:sz w:val="18"/>
                <w:szCs w:val="18"/>
              </w:rPr>
            </w:pPr>
            <w:r w:rsidRPr="004E5857">
              <w:rPr>
                <w:rFonts w:ascii="Arial" w:hAnsi="Arial" w:cs="Arial"/>
                <w:sz w:val="18"/>
                <w:szCs w:val="18"/>
              </w:rPr>
              <w:t>34.8%</w:t>
            </w:r>
          </w:p>
        </w:tc>
        <w:tc>
          <w:tcPr>
            <w:tcW w:w="850" w:type="dxa"/>
          </w:tcPr>
          <w:p w14:paraId="0365E6DA" w14:textId="77777777" w:rsidR="00D0169D" w:rsidRPr="004E5857" w:rsidRDefault="00000000">
            <w:pPr>
              <w:spacing w:after="0"/>
              <w:rPr>
                <w:rFonts w:ascii="Arial" w:hAnsi="Arial" w:cs="Arial"/>
                <w:sz w:val="18"/>
                <w:szCs w:val="18"/>
              </w:rPr>
            </w:pPr>
            <w:r w:rsidRPr="004E5857">
              <w:rPr>
                <w:rFonts w:ascii="Arial" w:hAnsi="Arial" w:cs="Arial"/>
                <w:sz w:val="18"/>
                <w:szCs w:val="18"/>
              </w:rPr>
              <w:t>0.40</w:t>
            </w:r>
          </w:p>
        </w:tc>
        <w:tc>
          <w:tcPr>
            <w:tcW w:w="851" w:type="dxa"/>
          </w:tcPr>
          <w:p w14:paraId="7755EDDE" w14:textId="77777777" w:rsidR="00D0169D" w:rsidRPr="004E5857" w:rsidRDefault="00000000">
            <w:pPr>
              <w:spacing w:after="0"/>
              <w:rPr>
                <w:rFonts w:ascii="Arial" w:hAnsi="Arial" w:cs="Arial"/>
                <w:sz w:val="18"/>
                <w:szCs w:val="18"/>
              </w:rPr>
            </w:pPr>
            <w:r w:rsidRPr="004E5857">
              <w:rPr>
                <w:rFonts w:ascii="Arial" w:hAnsi="Arial" w:cs="Arial"/>
                <w:sz w:val="18"/>
                <w:szCs w:val="18"/>
              </w:rPr>
              <w:t>-52.7%</w:t>
            </w:r>
          </w:p>
        </w:tc>
        <w:tc>
          <w:tcPr>
            <w:tcW w:w="1134" w:type="dxa"/>
          </w:tcPr>
          <w:p w14:paraId="36935217" w14:textId="77777777" w:rsidR="00D0169D" w:rsidRPr="004E5857" w:rsidRDefault="00000000">
            <w:pPr>
              <w:spacing w:after="0"/>
              <w:rPr>
                <w:rFonts w:ascii="Arial" w:hAnsi="Arial" w:cs="Arial"/>
                <w:sz w:val="18"/>
                <w:szCs w:val="18"/>
              </w:rPr>
            </w:pPr>
            <w:r w:rsidRPr="004E5857">
              <w:rPr>
                <w:rFonts w:ascii="Arial" w:hAnsi="Arial" w:cs="Arial"/>
                <w:sz w:val="18"/>
                <w:szCs w:val="18"/>
              </w:rPr>
              <w:t>15.5%</w:t>
            </w:r>
          </w:p>
        </w:tc>
      </w:tr>
      <w:tr w:rsidR="00D0169D" w:rsidRPr="004E5857" w14:paraId="1EB91050" w14:textId="77777777" w:rsidTr="008D384D">
        <w:trPr>
          <w:cantSplit/>
        </w:trPr>
        <w:tc>
          <w:tcPr>
            <w:tcW w:w="2196" w:type="dxa"/>
          </w:tcPr>
          <w:p w14:paraId="224A3E35" w14:textId="77777777" w:rsidR="00D0169D" w:rsidRPr="004E5857" w:rsidRDefault="00000000">
            <w:pPr>
              <w:spacing w:after="0"/>
              <w:rPr>
                <w:rFonts w:ascii="Arial" w:hAnsi="Arial" w:cs="Arial"/>
                <w:sz w:val="18"/>
                <w:szCs w:val="18"/>
              </w:rPr>
            </w:pPr>
            <w:r w:rsidRPr="004E5857">
              <w:rPr>
                <w:rFonts w:ascii="Arial" w:hAnsi="Arial" w:cs="Arial"/>
                <w:sz w:val="18"/>
                <w:szCs w:val="18"/>
              </w:rPr>
              <w:t>Crypto Equal Weight</w:t>
            </w:r>
          </w:p>
        </w:tc>
        <w:tc>
          <w:tcPr>
            <w:tcW w:w="1065" w:type="dxa"/>
          </w:tcPr>
          <w:p w14:paraId="15413107" w14:textId="77777777" w:rsidR="00D0169D" w:rsidRPr="004E5857" w:rsidRDefault="00000000">
            <w:pPr>
              <w:spacing w:after="0"/>
              <w:rPr>
                <w:rFonts w:ascii="Arial" w:hAnsi="Arial" w:cs="Arial"/>
                <w:sz w:val="18"/>
                <w:szCs w:val="18"/>
              </w:rPr>
            </w:pPr>
            <w:r w:rsidRPr="004E5857">
              <w:rPr>
                <w:rFonts w:ascii="Arial" w:hAnsi="Arial" w:cs="Arial"/>
                <w:sz w:val="18"/>
                <w:szCs w:val="18"/>
              </w:rPr>
              <w:t>Crypto</w:t>
            </w:r>
          </w:p>
        </w:tc>
        <w:tc>
          <w:tcPr>
            <w:tcW w:w="1275" w:type="dxa"/>
          </w:tcPr>
          <w:p w14:paraId="01028EBF" w14:textId="77777777" w:rsidR="00D0169D" w:rsidRPr="004E5857" w:rsidRDefault="00000000">
            <w:pPr>
              <w:spacing w:after="0"/>
              <w:rPr>
                <w:rFonts w:ascii="Arial" w:hAnsi="Arial" w:cs="Arial"/>
                <w:sz w:val="18"/>
                <w:szCs w:val="18"/>
              </w:rPr>
            </w:pPr>
            <w:r w:rsidRPr="004E5857">
              <w:rPr>
                <w:rFonts w:ascii="Arial" w:hAnsi="Arial" w:cs="Arial"/>
                <w:sz w:val="18"/>
                <w:szCs w:val="18"/>
              </w:rPr>
              <w:t>Equal Weight</w:t>
            </w:r>
          </w:p>
        </w:tc>
        <w:tc>
          <w:tcPr>
            <w:tcW w:w="993" w:type="dxa"/>
          </w:tcPr>
          <w:p w14:paraId="5A2AE783" w14:textId="77777777" w:rsidR="00D0169D" w:rsidRPr="004E5857" w:rsidRDefault="00000000">
            <w:pPr>
              <w:spacing w:after="0"/>
              <w:rPr>
                <w:rFonts w:ascii="Arial" w:hAnsi="Arial" w:cs="Arial"/>
                <w:sz w:val="18"/>
                <w:szCs w:val="18"/>
              </w:rPr>
            </w:pPr>
            <w:r w:rsidRPr="004E5857">
              <w:rPr>
                <w:rFonts w:ascii="Arial" w:hAnsi="Arial" w:cs="Arial"/>
                <w:sz w:val="18"/>
                <w:szCs w:val="18"/>
              </w:rPr>
              <w:t>34.2%</w:t>
            </w:r>
          </w:p>
        </w:tc>
        <w:tc>
          <w:tcPr>
            <w:tcW w:w="992" w:type="dxa"/>
          </w:tcPr>
          <w:p w14:paraId="3B007A49" w14:textId="77777777" w:rsidR="00D0169D" w:rsidRPr="004E5857" w:rsidRDefault="00000000">
            <w:pPr>
              <w:spacing w:after="0"/>
              <w:rPr>
                <w:rFonts w:ascii="Arial" w:hAnsi="Arial" w:cs="Arial"/>
                <w:sz w:val="18"/>
                <w:szCs w:val="18"/>
              </w:rPr>
            </w:pPr>
            <w:r w:rsidRPr="004E5857">
              <w:rPr>
                <w:rFonts w:ascii="Arial" w:hAnsi="Arial" w:cs="Arial"/>
                <w:sz w:val="18"/>
                <w:szCs w:val="18"/>
              </w:rPr>
              <w:t>80.4%</w:t>
            </w:r>
          </w:p>
        </w:tc>
        <w:tc>
          <w:tcPr>
            <w:tcW w:w="850" w:type="dxa"/>
          </w:tcPr>
          <w:p w14:paraId="1C6024D4" w14:textId="77777777" w:rsidR="00D0169D" w:rsidRPr="004E5857" w:rsidRDefault="00000000">
            <w:pPr>
              <w:spacing w:after="0"/>
              <w:rPr>
                <w:rFonts w:ascii="Arial" w:hAnsi="Arial" w:cs="Arial"/>
                <w:sz w:val="18"/>
                <w:szCs w:val="18"/>
              </w:rPr>
            </w:pPr>
            <w:r w:rsidRPr="004E5857">
              <w:rPr>
                <w:rFonts w:ascii="Arial" w:hAnsi="Arial" w:cs="Arial"/>
                <w:sz w:val="18"/>
                <w:szCs w:val="18"/>
              </w:rPr>
              <w:t>0.77</w:t>
            </w:r>
          </w:p>
        </w:tc>
        <w:tc>
          <w:tcPr>
            <w:tcW w:w="851" w:type="dxa"/>
          </w:tcPr>
          <w:p w14:paraId="2F71987B" w14:textId="77777777" w:rsidR="00D0169D" w:rsidRPr="004E5857" w:rsidRDefault="00000000">
            <w:pPr>
              <w:spacing w:after="0"/>
              <w:rPr>
                <w:rFonts w:ascii="Arial" w:hAnsi="Arial" w:cs="Arial"/>
                <w:sz w:val="18"/>
                <w:szCs w:val="18"/>
              </w:rPr>
            </w:pPr>
            <w:r w:rsidRPr="004E5857">
              <w:rPr>
                <w:rFonts w:ascii="Arial" w:hAnsi="Arial" w:cs="Arial"/>
                <w:sz w:val="18"/>
                <w:szCs w:val="18"/>
              </w:rPr>
              <w:t>-81.6%</w:t>
            </w:r>
          </w:p>
        </w:tc>
        <w:tc>
          <w:tcPr>
            <w:tcW w:w="1134" w:type="dxa"/>
          </w:tcPr>
          <w:p w14:paraId="33F37AC1" w14:textId="77777777" w:rsidR="00D0169D" w:rsidRPr="004E5857" w:rsidRDefault="00000000">
            <w:pPr>
              <w:spacing w:after="0"/>
              <w:rPr>
                <w:rFonts w:ascii="Arial" w:hAnsi="Arial" w:cs="Arial"/>
                <w:sz w:val="18"/>
                <w:szCs w:val="18"/>
              </w:rPr>
            </w:pPr>
            <w:r w:rsidRPr="004E5857">
              <w:rPr>
                <w:rFonts w:ascii="Arial" w:hAnsi="Arial" w:cs="Arial"/>
                <w:sz w:val="18"/>
                <w:szCs w:val="18"/>
              </w:rPr>
              <w:t>5.9%</w:t>
            </w:r>
          </w:p>
        </w:tc>
      </w:tr>
      <w:tr w:rsidR="00D0169D" w:rsidRPr="004E5857" w14:paraId="1DA06E54" w14:textId="77777777" w:rsidTr="008D384D">
        <w:trPr>
          <w:cantSplit/>
        </w:trPr>
        <w:tc>
          <w:tcPr>
            <w:tcW w:w="2196" w:type="dxa"/>
          </w:tcPr>
          <w:p w14:paraId="3CB38A81" w14:textId="77777777" w:rsidR="00D0169D" w:rsidRPr="004E5857" w:rsidRDefault="00000000">
            <w:pPr>
              <w:spacing w:after="0"/>
              <w:rPr>
                <w:rFonts w:ascii="Arial" w:hAnsi="Arial" w:cs="Arial"/>
                <w:sz w:val="18"/>
                <w:szCs w:val="18"/>
              </w:rPr>
            </w:pPr>
            <w:r w:rsidRPr="004E5857">
              <w:rPr>
                <w:rFonts w:ascii="Arial" w:hAnsi="Arial" w:cs="Arial"/>
                <w:sz w:val="18"/>
                <w:szCs w:val="18"/>
              </w:rPr>
              <w:t>Crypto Minimum Variance</w:t>
            </w:r>
          </w:p>
        </w:tc>
        <w:tc>
          <w:tcPr>
            <w:tcW w:w="1065" w:type="dxa"/>
          </w:tcPr>
          <w:p w14:paraId="4ED54E9B" w14:textId="77777777" w:rsidR="00D0169D" w:rsidRPr="004E5857" w:rsidRDefault="00000000">
            <w:pPr>
              <w:spacing w:after="0"/>
              <w:rPr>
                <w:rFonts w:ascii="Arial" w:hAnsi="Arial" w:cs="Arial"/>
                <w:sz w:val="18"/>
                <w:szCs w:val="18"/>
              </w:rPr>
            </w:pPr>
            <w:r w:rsidRPr="004E5857">
              <w:rPr>
                <w:rFonts w:ascii="Arial" w:hAnsi="Arial" w:cs="Arial"/>
                <w:sz w:val="18"/>
                <w:szCs w:val="18"/>
              </w:rPr>
              <w:t>Crypto</w:t>
            </w:r>
          </w:p>
        </w:tc>
        <w:tc>
          <w:tcPr>
            <w:tcW w:w="1275" w:type="dxa"/>
          </w:tcPr>
          <w:p w14:paraId="68355EAE" w14:textId="77777777" w:rsidR="00D0169D" w:rsidRPr="004E5857" w:rsidRDefault="00000000">
            <w:pPr>
              <w:spacing w:after="0"/>
              <w:rPr>
                <w:rFonts w:ascii="Arial" w:hAnsi="Arial" w:cs="Arial"/>
                <w:sz w:val="18"/>
                <w:szCs w:val="18"/>
              </w:rPr>
            </w:pPr>
            <w:r w:rsidRPr="004E5857">
              <w:rPr>
                <w:rFonts w:ascii="Arial" w:hAnsi="Arial" w:cs="Arial"/>
                <w:sz w:val="18"/>
                <w:szCs w:val="18"/>
              </w:rPr>
              <w:t>Minimum Variance</w:t>
            </w:r>
          </w:p>
        </w:tc>
        <w:tc>
          <w:tcPr>
            <w:tcW w:w="993" w:type="dxa"/>
          </w:tcPr>
          <w:p w14:paraId="627E3943" w14:textId="77777777" w:rsidR="00D0169D" w:rsidRPr="004E5857" w:rsidRDefault="00000000">
            <w:pPr>
              <w:spacing w:after="0"/>
              <w:rPr>
                <w:rFonts w:ascii="Arial" w:hAnsi="Arial" w:cs="Arial"/>
                <w:sz w:val="18"/>
                <w:szCs w:val="18"/>
              </w:rPr>
            </w:pPr>
            <w:r w:rsidRPr="004E5857">
              <w:rPr>
                <w:rFonts w:ascii="Arial" w:hAnsi="Arial" w:cs="Arial"/>
                <w:sz w:val="18"/>
                <w:szCs w:val="18"/>
              </w:rPr>
              <w:t>23.6%</w:t>
            </w:r>
          </w:p>
        </w:tc>
        <w:tc>
          <w:tcPr>
            <w:tcW w:w="992" w:type="dxa"/>
          </w:tcPr>
          <w:p w14:paraId="1F67A971" w14:textId="77777777" w:rsidR="00D0169D" w:rsidRPr="004E5857" w:rsidRDefault="00000000">
            <w:pPr>
              <w:spacing w:after="0"/>
              <w:rPr>
                <w:rFonts w:ascii="Arial" w:hAnsi="Arial" w:cs="Arial"/>
                <w:sz w:val="18"/>
                <w:szCs w:val="18"/>
              </w:rPr>
            </w:pPr>
            <w:r w:rsidRPr="004E5857">
              <w:rPr>
                <w:rFonts w:ascii="Arial" w:hAnsi="Arial" w:cs="Arial"/>
                <w:sz w:val="18"/>
                <w:szCs w:val="18"/>
              </w:rPr>
              <w:t>64.1%</w:t>
            </w:r>
          </w:p>
        </w:tc>
        <w:tc>
          <w:tcPr>
            <w:tcW w:w="850" w:type="dxa"/>
          </w:tcPr>
          <w:p w14:paraId="66DC0F51" w14:textId="77777777" w:rsidR="00D0169D" w:rsidRPr="004E5857" w:rsidRDefault="00000000">
            <w:pPr>
              <w:spacing w:after="0"/>
              <w:rPr>
                <w:rFonts w:ascii="Arial" w:hAnsi="Arial" w:cs="Arial"/>
                <w:sz w:val="18"/>
                <w:szCs w:val="18"/>
              </w:rPr>
            </w:pPr>
            <w:r w:rsidRPr="004E5857">
              <w:rPr>
                <w:rFonts w:ascii="Arial" w:hAnsi="Arial" w:cs="Arial"/>
                <w:sz w:val="18"/>
                <w:szCs w:val="18"/>
              </w:rPr>
              <w:t>0.65</w:t>
            </w:r>
          </w:p>
        </w:tc>
        <w:tc>
          <w:tcPr>
            <w:tcW w:w="851" w:type="dxa"/>
          </w:tcPr>
          <w:p w14:paraId="23448A44" w14:textId="77777777" w:rsidR="00D0169D" w:rsidRPr="004E5857" w:rsidRDefault="00000000">
            <w:pPr>
              <w:spacing w:after="0"/>
              <w:rPr>
                <w:rFonts w:ascii="Arial" w:hAnsi="Arial" w:cs="Arial"/>
                <w:sz w:val="18"/>
                <w:szCs w:val="18"/>
              </w:rPr>
            </w:pPr>
            <w:r w:rsidRPr="004E5857">
              <w:rPr>
                <w:rFonts w:ascii="Arial" w:hAnsi="Arial" w:cs="Arial"/>
                <w:sz w:val="18"/>
                <w:szCs w:val="18"/>
              </w:rPr>
              <w:t>-75.9%</w:t>
            </w:r>
          </w:p>
        </w:tc>
        <w:tc>
          <w:tcPr>
            <w:tcW w:w="1134" w:type="dxa"/>
          </w:tcPr>
          <w:p w14:paraId="17792580" w14:textId="77777777" w:rsidR="00D0169D" w:rsidRPr="004E5857" w:rsidRDefault="00000000">
            <w:pPr>
              <w:spacing w:after="0"/>
              <w:rPr>
                <w:rFonts w:ascii="Arial" w:hAnsi="Arial" w:cs="Arial"/>
                <w:sz w:val="18"/>
                <w:szCs w:val="18"/>
              </w:rPr>
            </w:pPr>
            <w:r w:rsidRPr="004E5857">
              <w:rPr>
                <w:rFonts w:ascii="Arial" w:hAnsi="Arial" w:cs="Arial"/>
                <w:sz w:val="18"/>
                <w:szCs w:val="18"/>
              </w:rPr>
              <w:t>10.4%</w:t>
            </w:r>
          </w:p>
        </w:tc>
      </w:tr>
      <w:tr w:rsidR="00D0169D" w:rsidRPr="004E5857" w14:paraId="3C52EC8C" w14:textId="77777777" w:rsidTr="008D384D">
        <w:trPr>
          <w:cantSplit/>
        </w:trPr>
        <w:tc>
          <w:tcPr>
            <w:tcW w:w="2196" w:type="dxa"/>
          </w:tcPr>
          <w:p w14:paraId="2EB5434A" w14:textId="77777777" w:rsidR="00D0169D" w:rsidRPr="004E5857" w:rsidRDefault="00000000">
            <w:pPr>
              <w:spacing w:after="0"/>
              <w:rPr>
                <w:rFonts w:ascii="Arial" w:hAnsi="Arial" w:cs="Arial"/>
                <w:sz w:val="18"/>
                <w:szCs w:val="18"/>
              </w:rPr>
            </w:pPr>
            <w:r w:rsidRPr="004E5857">
              <w:rPr>
                <w:rFonts w:ascii="Arial" w:hAnsi="Arial" w:cs="Arial"/>
                <w:sz w:val="18"/>
                <w:szCs w:val="18"/>
              </w:rPr>
              <w:t>Crypto Risk Parity</w:t>
            </w:r>
          </w:p>
        </w:tc>
        <w:tc>
          <w:tcPr>
            <w:tcW w:w="1065" w:type="dxa"/>
          </w:tcPr>
          <w:p w14:paraId="7AE33F40" w14:textId="77777777" w:rsidR="00D0169D" w:rsidRPr="004E5857" w:rsidRDefault="00000000">
            <w:pPr>
              <w:spacing w:after="0"/>
              <w:rPr>
                <w:rFonts w:ascii="Arial" w:hAnsi="Arial" w:cs="Arial"/>
                <w:sz w:val="18"/>
                <w:szCs w:val="18"/>
              </w:rPr>
            </w:pPr>
            <w:r w:rsidRPr="004E5857">
              <w:rPr>
                <w:rFonts w:ascii="Arial" w:hAnsi="Arial" w:cs="Arial"/>
                <w:sz w:val="18"/>
                <w:szCs w:val="18"/>
              </w:rPr>
              <w:t>Crypto</w:t>
            </w:r>
          </w:p>
        </w:tc>
        <w:tc>
          <w:tcPr>
            <w:tcW w:w="1275" w:type="dxa"/>
          </w:tcPr>
          <w:p w14:paraId="7AFE847D" w14:textId="77777777" w:rsidR="00D0169D" w:rsidRPr="004E5857" w:rsidRDefault="00000000">
            <w:pPr>
              <w:spacing w:after="0"/>
              <w:rPr>
                <w:rFonts w:ascii="Arial" w:hAnsi="Arial" w:cs="Arial"/>
                <w:sz w:val="18"/>
                <w:szCs w:val="18"/>
              </w:rPr>
            </w:pPr>
            <w:r w:rsidRPr="004E5857">
              <w:rPr>
                <w:rFonts w:ascii="Arial" w:hAnsi="Arial" w:cs="Arial"/>
                <w:sz w:val="18"/>
                <w:szCs w:val="18"/>
              </w:rPr>
              <w:t>Risk Parity</w:t>
            </w:r>
          </w:p>
        </w:tc>
        <w:tc>
          <w:tcPr>
            <w:tcW w:w="993" w:type="dxa"/>
          </w:tcPr>
          <w:p w14:paraId="112DB490" w14:textId="77777777" w:rsidR="00D0169D" w:rsidRPr="004E5857" w:rsidRDefault="00000000">
            <w:pPr>
              <w:spacing w:after="0"/>
              <w:rPr>
                <w:rFonts w:ascii="Arial" w:hAnsi="Arial" w:cs="Arial"/>
                <w:sz w:val="18"/>
                <w:szCs w:val="18"/>
              </w:rPr>
            </w:pPr>
            <w:r w:rsidRPr="004E5857">
              <w:rPr>
                <w:rFonts w:ascii="Arial" w:hAnsi="Arial" w:cs="Arial"/>
                <w:sz w:val="18"/>
                <w:szCs w:val="18"/>
              </w:rPr>
              <w:t>35.8%</w:t>
            </w:r>
          </w:p>
        </w:tc>
        <w:tc>
          <w:tcPr>
            <w:tcW w:w="992" w:type="dxa"/>
          </w:tcPr>
          <w:p w14:paraId="2174A340" w14:textId="77777777" w:rsidR="00D0169D" w:rsidRPr="004E5857" w:rsidRDefault="00000000">
            <w:pPr>
              <w:spacing w:after="0"/>
              <w:rPr>
                <w:rFonts w:ascii="Arial" w:hAnsi="Arial" w:cs="Arial"/>
                <w:sz w:val="18"/>
                <w:szCs w:val="18"/>
              </w:rPr>
            </w:pPr>
            <w:r w:rsidRPr="004E5857">
              <w:rPr>
                <w:rFonts w:ascii="Arial" w:hAnsi="Arial" w:cs="Arial"/>
                <w:sz w:val="18"/>
                <w:szCs w:val="18"/>
              </w:rPr>
              <w:t>78.7%</w:t>
            </w:r>
          </w:p>
        </w:tc>
        <w:tc>
          <w:tcPr>
            <w:tcW w:w="850" w:type="dxa"/>
          </w:tcPr>
          <w:p w14:paraId="12A784CD" w14:textId="77777777" w:rsidR="00D0169D" w:rsidRPr="004E5857" w:rsidRDefault="00000000">
            <w:pPr>
              <w:spacing w:after="0"/>
              <w:rPr>
                <w:rFonts w:ascii="Arial" w:hAnsi="Arial" w:cs="Arial"/>
                <w:sz w:val="18"/>
                <w:szCs w:val="18"/>
              </w:rPr>
            </w:pPr>
            <w:r w:rsidRPr="004E5857">
              <w:rPr>
                <w:rFonts w:ascii="Arial" w:hAnsi="Arial" w:cs="Arial"/>
                <w:sz w:val="18"/>
                <w:szCs w:val="18"/>
              </w:rPr>
              <w:t>0.79</w:t>
            </w:r>
          </w:p>
        </w:tc>
        <w:tc>
          <w:tcPr>
            <w:tcW w:w="851" w:type="dxa"/>
          </w:tcPr>
          <w:p w14:paraId="3F9E68F1" w14:textId="77777777" w:rsidR="00D0169D" w:rsidRPr="004E5857" w:rsidRDefault="00000000">
            <w:pPr>
              <w:spacing w:after="0"/>
              <w:rPr>
                <w:rFonts w:ascii="Arial" w:hAnsi="Arial" w:cs="Arial"/>
                <w:sz w:val="18"/>
                <w:szCs w:val="18"/>
              </w:rPr>
            </w:pPr>
            <w:r w:rsidRPr="004E5857">
              <w:rPr>
                <w:rFonts w:ascii="Arial" w:hAnsi="Arial" w:cs="Arial"/>
                <w:sz w:val="18"/>
                <w:szCs w:val="18"/>
              </w:rPr>
              <w:t>-80.4%</w:t>
            </w:r>
          </w:p>
        </w:tc>
        <w:tc>
          <w:tcPr>
            <w:tcW w:w="1134" w:type="dxa"/>
          </w:tcPr>
          <w:p w14:paraId="3B2CAF6E" w14:textId="77777777" w:rsidR="00D0169D" w:rsidRPr="004E5857" w:rsidRDefault="00000000">
            <w:pPr>
              <w:spacing w:after="0"/>
              <w:rPr>
                <w:rFonts w:ascii="Arial" w:hAnsi="Arial" w:cs="Arial"/>
                <w:sz w:val="18"/>
                <w:szCs w:val="18"/>
              </w:rPr>
            </w:pPr>
            <w:r w:rsidRPr="004E5857">
              <w:rPr>
                <w:rFonts w:ascii="Arial" w:hAnsi="Arial" w:cs="Arial"/>
                <w:sz w:val="18"/>
                <w:szCs w:val="18"/>
              </w:rPr>
              <w:t>6.0%</w:t>
            </w:r>
          </w:p>
        </w:tc>
      </w:tr>
      <w:tr w:rsidR="00D0169D" w:rsidRPr="004E5857" w14:paraId="23F17FEA" w14:textId="77777777" w:rsidTr="008D384D">
        <w:trPr>
          <w:cantSplit/>
        </w:trPr>
        <w:tc>
          <w:tcPr>
            <w:tcW w:w="2196" w:type="dxa"/>
          </w:tcPr>
          <w:p w14:paraId="54498BAD" w14:textId="77777777" w:rsidR="00D0169D" w:rsidRPr="004E5857" w:rsidRDefault="00000000">
            <w:pPr>
              <w:spacing w:after="0"/>
              <w:rPr>
                <w:rFonts w:ascii="Arial" w:hAnsi="Arial" w:cs="Arial"/>
                <w:sz w:val="18"/>
                <w:szCs w:val="18"/>
              </w:rPr>
            </w:pPr>
            <w:r w:rsidRPr="004E5857">
              <w:rPr>
                <w:rFonts w:ascii="Arial" w:hAnsi="Arial" w:cs="Arial"/>
                <w:sz w:val="18"/>
                <w:szCs w:val="18"/>
              </w:rPr>
              <w:t>Crypto Tangency</w:t>
            </w:r>
          </w:p>
        </w:tc>
        <w:tc>
          <w:tcPr>
            <w:tcW w:w="1065" w:type="dxa"/>
          </w:tcPr>
          <w:p w14:paraId="24805D5E" w14:textId="77777777" w:rsidR="00D0169D" w:rsidRPr="004E5857" w:rsidRDefault="00000000">
            <w:pPr>
              <w:spacing w:after="0"/>
              <w:rPr>
                <w:rFonts w:ascii="Arial" w:hAnsi="Arial" w:cs="Arial"/>
                <w:sz w:val="18"/>
                <w:szCs w:val="18"/>
              </w:rPr>
            </w:pPr>
            <w:r w:rsidRPr="004E5857">
              <w:rPr>
                <w:rFonts w:ascii="Arial" w:hAnsi="Arial" w:cs="Arial"/>
                <w:sz w:val="18"/>
                <w:szCs w:val="18"/>
              </w:rPr>
              <w:t>Crypto</w:t>
            </w:r>
          </w:p>
        </w:tc>
        <w:tc>
          <w:tcPr>
            <w:tcW w:w="1275" w:type="dxa"/>
          </w:tcPr>
          <w:p w14:paraId="6B8A99BD" w14:textId="77777777" w:rsidR="00D0169D" w:rsidRPr="004E5857" w:rsidRDefault="00000000">
            <w:pPr>
              <w:spacing w:after="0"/>
              <w:rPr>
                <w:rFonts w:ascii="Arial" w:hAnsi="Arial" w:cs="Arial"/>
                <w:sz w:val="18"/>
                <w:szCs w:val="18"/>
              </w:rPr>
            </w:pPr>
            <w:r w:rsidRPr="004E5857">
              <w:rPr>
                <w:rFonts w:ascii="Arial" w:hAnsi="Arial" w:cs="Arial"/>
                <w:sz w:val="18"/>
                <w:szCs w:val="18"/>
              </w:rPr>
              <w:t>Tangency</w:t>
            </w:r>
          </w:p>
        </w:tc>
        <w:tc>
          <w:tcPr>
            <w:tcW w:w="993" w:type="dxa"/>
          </w:tcPr>
          <w:p w14:paraId="3F38E983" w14:textId="77777777" w:rsidR="00D0169D" w:rsidRPr="004E5857" w:rsidRDefault="00000000">
            <w:pPr>
              <w:spacing w:after="0"/>
              <w:rPr>
                <w:rFonts w:ascii="Arial" w:hAnsi="Arial" w:cs="Arial"/>
                <w:sz w:val="18"/>
                <w:szCs w:val="18"/>
              </w:rPr>
            </w:pPr>
            <w:r w:rsidRPr="004E5857">
              <w:rPr>
                <w:rFonts w:ascii="Arial" w:hAnsi="Arial" w:cs="Arial"/>
                <w:sz w:val="18"/>
                <w:szCs w:val="18"/>
              </w:rPr>
              <w:t>4.7%</w:t>
            </w:r>
          </w:p>
        </w:tc>
        <w:tc>
          <w:tcPr>
            <w:tcW w:w="992" w:type="dxa"/>
          </w:tcPr>
          <w:p w14:paraId="05631831" w14:textId="77777777" w:rsidR="00D0169D" w:rsidRPr="004E5857" w:rsidRDefault="00000000">
            <w:pPr>
              <w:spacing w:after="0"/>
              <w:rPr>
                <w:rFonts w:ascii="Arial" w:hAnsi="Arial" w:cs="Arial"/>
                <w:sz w:val="18"/>
                <w:szCs w:val="18"/>
              </w:rPr>
            </w:pPr>
            <w:r w:rsidRPr="004E5857">
              <w:rPr>
                <w:rFonts w:ascii="Arial" w:hAnsi="Arial" w:cs="Arial"/>
                <w:sz w:val="18"/>
                <w:szCs w:val="18"/>
              </w:rPr>
              <w:t>79.0%</w:t>
            </w:r>
          </w:p>
        </w:tc>
        <w:tc>
          <w:tcPr>
            <w:tcW w:w="850" w:type="dxa"/>
          </w:tcPr>
          <w:p w14:paraId="45A3BBDC" w14:textId="77777777" w:rsidR="00D0169D" w:rsidRPr="004E5857" w:rsidRDefault="00000000">
            <w:pPr>
              <w:spacing w:after="0"/>
              <w:rPr>
                <w:rFonts w:ascii="Arial" w:hAnsi="Arial" w:cs="Arial"/>
                <w:sz w:val="18"/>
                <w:szCs w:val="18"/>
              </w:rPr>
            </w:pPr>
            <w:r w:rsidRPr="004E5857">
              <w:rPr>
                <w:rFonts w:ascii="Arial" w:hAnsi="Arial" w:cs="Arial"/>
                <w:sz w:val="18"/>
                <w:szCs w:val="18"/>
              </w:rPr>
              <w:t>0.46</w:t>
            </w:r>
          </w:p>
        </w:tc>
        <w:tc>
          <w:tcPr>
            <w:tcW w:w="851" w:type="dxa"/>
          </w:tcPr>
          <w:p w14:paraId="356AB945" w14:textId="77777777" w:rsidR="00D0169D" w:rsidRPr="004E5857" w:rsidRDefault="00000000">
            <w:pPr>
              <w:spacing w:after="0"/>
              <w:rPr>
                <w:rFonts w:ascii="Arial" w:hAnsi="Arial" w:cs="Arial"/>
                <w:sz w:val="18"/>
                <w:szCs w:val="18"/>
              </w:rPr>
            </w:pPr>
            <w:r w:rsidRPr="004E5857">
              <w:rPr>
                <w:rFonts w:ascii="Arial" w:hAnsi="Arial" w:cs="Arial"/>
                <w:sz w:val="18"/>
                <w:szCs w:val="18"/>
              </w:rPr>
              <w:t>-85.7%</w:t>
            </w:r>
          </w:p>
        </w:tc>
        <w:tc>
          <w:tcPr>
            <w:tcW w:w="1134" w:type="dxa"/>
          </w:tcPr>
          <w:p w14:paraId="5A525771" w14:textId="77777777" w:rsidR="00D0169D" w:rsidRPr="004E5857" w:rsidRDefault="00000000">
            <w:pPr>
              <w:spacing w:after="0"/>
              <w:rPr>
                <w:rFonts w:ascii="Arial" w:hAnsi="Arial" w:cs="Arial"/>
                <w:sz w:val="18"/>
                <w:szCs w:val="18"/>
              </w:rPr>
            </w:pPr>
            <w:r w:rsidRPr="004E5857">
              <w:rPr>
                <w:rFonts w:ascii="Arial" w:hAnsi="Arial" w:cs="Arial"/>
                <w:sz w:val="18"/>
                <w:szCs w:val="18"/>
              </w:rPr>
              <w:t>7.0%</w:t>
            </w:r>
          </w:p>
        </w:tc>
      </w:tr>
      <w:tr w:rsidR="00D0169D" w:rsidRPr="004E5857" w14:paraId="3DD950F5" w14:textId="77777777" w:rsidTr="008D384D">
        <w:trPr>
          <w:cantSplit/>
        </w:trPr>
        <w:tc>
          <w:tcPr>
            <w:tcW w:w="2196" w:type="dxa"/>
          </w:tcPr>
          <w:p w14:paraId="02C50323" w14:textId="77777777" w:rsidR="00D0169D" w:rsidRPr="004E5857" w:rsidRDefault="00000000">
            <w:pPr>
              <w:spacing w:after="0"/>
              <w:rPr>
                <w:rFonts w:ascii="Arial" w:hAnsi="Arial" w:cs="Arial"/>
                <w:sz w:val="18"/>
                <w:szCs w:val="18"/>
              </w:rPr>
            </w:pPr>
            <w:r w:rsidRPr="004E5857">
              <w:rPr>
                <w:rFonts w:ascii="Arial" w:hAnsi="Arial" w:cs="Arial"/>
                <w:sz w:val="18"/>
                <w:szCs w:val="18"/>
              </w:rPr>
              <w:t>Equity Equal Weight</w:t>
            </w:r>
          </w:p>
        </w:tc>
        <w:tc>
          <w:tcPr>
            <w:tcW w:w="1065" w:type="dxa"/>
          </w:tcPr>
          <w:p w14:paraId="5B1601FF" w14:textId="77777777" w:rsidR="00D0169D" w:rsidRPr="004E5857" w:rsidRDefault="00000000">
            <w:pPr>
              <w:spacing w:after="0"/>
              <w:rPr>
                <w:rFonts w:ascii="Arial" w:hAnsi="Arial" w:cs="Arial"/>
                <w:sz w:val="18"/>
                <w:szCs w:val="18"/>
              </w:rPr>
            </w:pPr>
            <w:r w:rsidRPr="004E5857">
              <w:rPr>
                <w:rFonts w:ascii="Arial" w:hAnsi="Arial" w:cs="Arial"/>
                <w:sz w:val="18"/>
                <w:szCs w:val="18"/>
              </w:rPr>
              <w:t>Equity</w:t>
            </w:r>
          </w:p>
        </w:tc>
        <w:tc>
          <w:tcPr>
            <w:tcW w:w="1275" w:type="dxa"/>
          </w:tcPr>
          <w:p w14:paraId="76577AE3" w14:textId="77777777" w:rsidR="00D0169D" w:rsidRPr="004E5857" w:rsidRDefault="00000000">
            <w:pPr>
              <w:spacing w:after="0"/>
              <w:rPr>
                <w:rFonts w:ascii="Arial" w:hAnsi="Arial" w:cs="Arial"/>
                <w:sz w:val="18"/>
                <w:szCs w:val="18"/>
              </w:rPr>
            </w:pPr>
            <w:r w:rsidRPr="004E5857">
              <w:rPr>
                <w:rFonts w:ascii="Arial" w:hAnsi="Arial" w:cs="Arial"/>
                <w:sz w:val="18"/>
                <w:szCs w:val="18"/>
              </w:rPr>
              <w:t>Equal Weight</w:t>
            </w:r>
          </w:p>
        </w:tc>
        <w:tc>
          <w:tcPr>
            <w:tcW w:w="993" w:type="dxa"/>
          </w:tcPr>
          <w:p w14:paraId="151252D9" w14:textId="77777777" w:rsidR="00D0169D" w:rsidRPr="004E5857" w:rsidRDefault="00000000">
            <w:pPr>
              <w:spacing w:after="0"/>
              <w:rPr>
                <w:rFonts w:ascii="Arial" w:hAnsi="Arial" w:cs="Arial"/>
                <w:sz w:val="18"/>
                <w:szCs w:val="18"/>
              </w:rPr>
            </w:pPr>
            <w:r w:rsidRPr="004E5857">
              <w:rPr>
                <w:rFonts w:ascii="Arial" w:hAnsi="Arial" w:cs="Arial"/>
                <w:sz w:val="18"/>
                <w:szCs w:val="18"/>
              </w:rPr>
              <w:t>12.6%</w:t>
            </w:r>
          </w:p>
        </w:tc>
        <w:tc>
          <w:tcPr>
            <w:tcW w:w="992" w:type="dxa"/>
          </w:tcPr>
          <w:p w14:paraId="7B011663" w14:textId="77777777" w:rsidR="00D0169D" w:rsidRPr="004E5857" w:rsidRDefault="00000000">
            <w:pPr>
              <w:spacing w:after="0"/>
              <w:rPr>
                <w:rFonts w:ascii="Arial" w:hAnsi="Arial" w:cs="Arial"/>
                <w:sz w:val="18"/>
                <w:szCs w:val="18"/>
              </w:rPr>
            </w:pPr>
            <w:r w:rsidRPr="004E5857">
              <w:rPr>
                <w:rFonts w:ascii="Arial" w:hAnsi="Arial" w:cs="Arial"/>
                <w:sz w:val="18"/>
                <w:szCs w:val="18"/>
              </w:rPr>
              <w:t>16.2%</w:t>
            </w:r>
          </w:p>
        </w:tc>
        <w:tc>
          <w:tcPr>
            <w:tcW w:w="850" w:type="dxa"/>
          </w:tcPr>
          <w:p w14:paraId="73C4BFB5" w14:textId="77777777" w:rsidR="00D0169D" w:rsidRPr="004E5857" w:rsidRDefault="00000000">
            <w:pPr>
              <w:spacing w:after="0"/>
              <w:rPr>
                <w:rFonts w:ascii="Arial" w:hAnsi="Arial" w:cs="Arial"/>
                <w:sz w:val="18"/>
                <w:szCs w:val="18"/>
              </w:rPr>
            </w:pPr>
            <w:r w:rsidRPr="004E5857">
              <w:rPr>
                <w:rFonts w:ascii="Arial" w:hAnsi="Arial" w:cs="Arial"/>
                <w:sz w:val="18"/>
                <w:szCs w:val="18"/>
              </w:rPr>
              <w:t>0.82</w:t>
            </w:r>
          </w:p>
        </w:tc>
        <w:tc>
          <w:tcPr>
            <w:tcW w:w="851" w:type="dxa"/>
          </w:tcPr>
          <w:p w14:paraId="5DFB8A99" w14:textId="77777777" w:rsidR="00D0169D" w:rsidRPr="004E5857" w:rsidRDefault="00000000">
            <w:pPr>
              <w:spacing w:after="0"/>
              <w:rPr>
                <w:rFonts w:ascii="Arial" w:hAnsi="Arial" w:cs="Arial"/>
                <w:sz w:val="18"/>
                <w:szCs w:val="18"/>
              </w:rPr>
            </w:pPr>
            <w:r w:rsidRPr="004E5857">
              <w:rPr>
                <w:rFonts w:ascii="Arial" w:hAnsi="Arial" w:cs="Arial"/>
                <w:sz w:val="18"/>
                <w:szCs w:val="18"/>
              </w:rPr>
              <w:t>-20.3%</w:t>
            </w:r>
          </w:p>
        </w:tc>
        <w:tc>
          <w:tcPr>
            <w:tcW w:w="1134" w:type="dxa"/>
          </w:tcPr>
          <w:p w14:paraId="1600F590" w14:textId="77777777" w:rsidR="00D0169D" w:rsidRPr="004E5857" w:rsidRDefault="00000000">
            <w:pPr>
              <w:spacing w:after="0"/>
              <w:rPr>
                <w:rFonts w:ascii="Arial" w:hAnsi="Arial" w:cs="Arial"/>
                <w:sz w:val="18"/>
                <w:szCs w:val="18"/>
              </w:rPr>
            </w:pPr>
            <w:r w:rsidRPr="004E5857">
              <w:rPr>
                <w:rFonts w:ascii="Arial" w:hAnsi="Arial" w:cs="Arial"/>
                <w:sz w:val="18"/>
                <w:szCs w:val="18"/>
              </w:rPr>
              <w:t>2.7%</w:t>
            </w:r>
          </w:p>
        </w:tc>
      </w:tr>
      <w:tr w:rsidR="00D0169D" w:rsidRPr="004E5857" w14:paraId="5B35BEFF" w14:textId="77777777" w:rsidTr="008D384D">
        <w:trPr>
          <w:cantSplit/>
        </w:trPr>
        <w:tc>
          <w:tcPr>
            <w:tcW w:w="2196" w:type="dxa"/>
          </w:tcPr>
          <w:p w14:paraId="550390F5" w14:textId="77777777" w:rsidR="00D0169D" w:rsidRPr="004E5857" w:rsidRDefault="00000000">
            <w:pPr>
              <w:spacing w:after="0"/>
              <w:rPr>
                <w:rFonts w:ascii="Arial" w:hAnsi="Arial" w:cs="Arial"/>
                <w:sz w:val="18"/>
                <w:szCs w:val="18"/>
              </w:rPr>
            </w:pPr>
            <w:r w:rsidRPr="004E5857">
              <w:rPr>
                <w:rFonts w:ascii="Arial" w:hAnsi="Arial" w:cs="Arial"/>
                <w:sz w:val="18"/>
                <w:szCs w:val="18"/>
              </w:rPr>
              <w:t>Equity Minimum Variance</w:t>
            </w:r>
          </w:p>
        </w:tc>
        <w:tc>
          <w:tcPr>
            <w:tcW w:w="1065" w:type="dxa"/>
          </w:tcPr>
          <w:p w14:paraId="04DCEB90" w14:textId="77777777" w:rsidR="00D0169D" w:rsidRPr="004E5857" w:rsidRDefault="00000000">
            <w:pPr>
              <w:spacing w:after="0"/>
              <w:rPr>
                <w:rFonts w:ascii="Arial" w:hAnsi="Arial" w:cs="Arial"/>
                <w:sz w:val="18"/>
                <w:szCs w:val="18"/>
              </w:rPr>
            </w:pPr>
            <w:r w:rsidRPr="004E5857">
              <w:rPr>
                <w:rFonts w:ascii="Arial" w:hAnsi="Arial" w:cs="Arial"/>
                <w:sz w:val="18"/>
                <w:szCs w:val="18"/>
              </w:rPr>
              <w:t>Equity</w:t>
            </w:r>
          </w:p>
        </w:tc>
        <w:tc>
          <w:tcPr>
            <w:tcW w:w="1275" w:type="dxa"/>
          </w:tcPr>
          <w:p w14:paraId="2A459DA6" w14:textId="77777777" w:rsidR="00D0169D" w:rsidRPr="004E5857" w:rsidRDefault="00000000">
            <w:pPr>
              <w:spacing w:after="0"/>
              <w:rPr>
                <w:rFonts w:ascii="Arial" w:hAnsi="Arial" w:cs="Arial"/>
                <w:sz w:val="18"/>
                <w:szCs w:val="18"/>
              </w:rPr>
            </w:pPr>
            <w:r w:rsidRPr="004E5857">
              <w:rPr>
                <w:rFonts w:ascii="Arial" w:hAnsi="Arial" w:cs="Arial"/>
                <w:sz w:val="18"/>
                <w:szCs w:val="18"/>
              </w:rPr>
              <w:t>Minimum Variance</w:t>
            </w:r>
          </w:p>
        </w:tc>
        <w:tc>
          <w:tcPr>
            <w:tcW w:w="993" w:type="dxa"/>
          </w:tcPr>
          <w:p w14:paraId="4BBDB4D5" w14:textId="77777777" w:rsidR="00D0169D" w:rsidRPr="004E5857" w:rsidRDefault="00000000">
            <w:pPr>
              <w:spacing w:after="0"/>
              <w:rPr>
                <w:rFonts w:ascii="Arial" w:hAnsi="Arial" w:cs="Arial"/>
                <w:sz w:val="18"/>
                <w:szCs w:val="18"/>
              </w:rPr>
            </w:pPr>
            <w:r w:rsidRPr="004E5857">
              <w:rPr>
                <w:rFonts w:ascii="Arial" w:hAnsi="Arial" w:cs="Arial"/>
                <w:sz w:val="18"/>
                <w:szCs w:val="18"/>
              </w:rPr>
              <w:t>5.1%</w:t>
            </w:r>
          </w:p>
        </w:tc>
        <w:tc>
          <w:tcPr>
            <w:tcW w:w="992" w:type="dxa"/>
          </w:tcPr>
          <w:p w14:paraId="47CF2CD0" w14:textId="77777777" w:rsidR="00D0169D" w:rsidRPr="004E5857" w:rsidRDefault="00000000">
            <w:pPr>
              <w:spacing w:after="0"/>
              <w:rPr>
                <w:rFonts w:ascii="Arial" w:hAnsi="Arial" w:cs="Arial"/>
                <w:sz w:val="18"/>
                <w:szCs w:val="18"/>
              </w:rPr>
            </w:pPr>
            <w:r w:rsidRPr="004E5857">
              <w:rPr>
                <w:rFonts w:ascii="Arial" w:hAnsi="Arial" w:cs="Arial"/>
                <w:sz w:val="18"/>
                <w:szCs w:val="18"/>
              </w:rPr>
              <w:t>13.4%</w:t>
            </w:r>
          </w:p>
        </w:tc>
        <w:tc>
          <w:tcPr>
            <w:tcW w:w="850" w:type="dxa"/>
          </w:tcPr>
          <w:p w14:paraId="71F714CE" w14:textId="77777777" w:rsidR="00D0169D" w:rsidRPr="004E5857" w:rsidRDefault="00000000">
            <w:pPr>
              <w:spacing w:after="0"/>
              <w:rPr>
                <w:rFonts w:ascii="Arial" w:hAnsi="Arial" w:cs="Arial"/>
                <w:sz w:val="18"/>
                <w:szCs w:val="18"/>
              </w:rPr>
            </w:pPr>
            <w:r w:rsidRPr="004E5857">
              <w:rPr>
                <w:rFonts w:ascii="Arial" w:hAnsi="Arial" w:cs="Arial"/>
                <w:sz w:val="18"/>
                <w:szCs w:val="18"/>
              </w:rPr>
              <w:t>0.44</w:t>
            </w:r>
          </w:p>
        </w:tc>
        <w:tc>
          <w:tcPr>
            <w:tcW w:w="851" w:type="dxa"/>
          </w:tcPr>
          <w:p w14:paraId="2EE61C99" w14:textId="77777777" w:rsidR="00D0169D" w:rsidRPr="004E5857" w:rsidRDefault="00000000">
            <w:pPr>
              <w:spacing w:after="0"/>
              <w:rPr>
                <w:rFonts w:ascii="Arial" w:hAnsi="Arial" w:cs="Arial"/>
                <w:sz w:val="18"/>
                <w:szCs w:val="18"/>
              </w:rPr>
            </w:pPr>
            <w:r w:rsidRPr="004E5857">
              <w:rPr>
                <w:rFonts w:ascii="Arial" w:hAnsi="Arial" w:cs="Arial"/>
                <w:sz w:val="18"/>
                <w:szCs w:val="18"/>
              </w:rPr>
              <w:t>-18.0%</w:t>
            </w:r>
          </w:p>
        </w:tc>
        <w:tc>
          <w:tcPr>
            <w:tcW w:w="1134" w:type="dxa"/>
          </w:tcPr>
          <w:p w14:paraId="4CE3D380" w14:textId="77777777" w:rsidR="00D0169D" w:rsidRPr="004E5857" w:rsidRDefault="00000000">
            <w:pPr>
              <w:spacing w:after="0"/>
              <w:rPr>
                <w:rFonts w:ascii="Arial" w:hAnsi="Arial" w:cs="Arial"/>
                <w:sz w:val="18"/>
                <w:szCs w:val="18"/>
              </w:rPr>
            </w:pPr>
            <w:r w:rsidRPr="004E5857">
              <w:rPr>
                <w:rFonts w:ascii="Arial" w:hAnsi="Arial" w:cs="Arial"/>
                <w:sz w:val="18"/>
                <w:szCs w:val="18"/>
              </w:rPr>
              <w:t>5.3%</w:t>
            </w:r>
          </w:p>
        </w:tc>
      </w:tr>
      <w:tr w:rsidR="00D0169D" w:rsidRPr="004E5857" w14:paraId="46DF8984" w14:textId="77777777" w:rsidTr="008D384D">
        <w:trPr>
          <w:cantSplit/>
        </w:trPr>
        <w:tc>
          <w:tcPr>
            <w:tcW w:w="2196" w:type="dxa"/>
          </w:tcPr>
          <w:p w14:paraId="37ED3340" w14:textId="77777777" w:rsidR="00D0169D" w:rsidRPr="004E5857" w:rsidRDefault="00000000">
            <w:pPr>
              <w:spacing w:after="0"/>
              <w:rPr>
                <w:rFonts w:ascii="Arial" w:hAnsi="Arial" w:cs="Arial"/>
                <w:sz w:val="18"/>
                <w:szCs w:val="18"/>
              </w:rPr>
            </w:pPr>
            <w:r w:rsidRPr="004E5857">
              <w:rPr>
                <w:rFonts w:ascii="Arial" w:hAnsi="Arial" w:cs="Arial"/>
                <w:sz w:val="18"/>
                <w:szCs w:val="18"/>
              </w:rPr>
              <w:t>Equity Risk Parity</w:t>
            </w:r>
          </w:p>
        </w:tc>
        <w:tc>
          <w:tcPr>
            <w:tcW w:w="1065" w:type="dxa"/>
          </w:tcPr>
          <w:p w14:paraId="21D3E655" w14:textId="77777777" w:rsidR="00D0169D" w:rsidRPr="004E5857" w:rsidRDefault="00000000">
            <w:pPr>
              <w:spacing w:after="0"/>
              <w:rPr>
                <w:rFonts w:ascii="Arial" w:hAnsi="Arial" w:cs="Arial"/>
                <w:sz w:val="18"/>
                <w:szCs w:val="18"/>
              </w:rPr>
            </w:pPr>
            <w:r w:rsidRPr="004E5857">
              <w:rPr>
                <w:rFonts w:ascii="Arial" w:hAnsi="Arial" w:cs="Arial"/>
                <w:sz w:val="18"/>
                <w:szCs w:val="18"/>
              </w:rPr>
              <w:t>Equity</w:t>
            </w:r>
          </w:p>
        </w:tc>
        <w:tc>
          <w:tcPr>
            <w:tcW w:w="1275" w:type="dxa"/>
          </w:tcPr>
          <w:p w14:paraId="59381AAD" w14:textId="77777777" w:rsidR="00D0169D" w:rsidRPr="004E5857" w:rsidRDefault="00000000">
            <w:pPr>
              <w:spacing w:after="0"/>
              <w:rPr>
                <w:rFonts w:ascii="Arial" w:hAnsi="Arial" w:cs="Arial"/>
                <w:sz w:val="18"/>
                <w:szCs w:val="18"/>
              </w:rPr>
            </w:pPr>
            <w:r w:rsidRPr="004E5857">
              <w:rPr>
                <w:rFonts w:ascii="Arial" w:hAnsi="Arial" w:cs="Arial"/>
                <w:sz w:val="18"/>
                <w:szCs w:val="18"/>
              </w:rPr>
              <w:t>Risk Parity</w:t>
            </w:r>
          </w:p>
        </w:tc>
        <w:tc>
          <w:tcPr>
            <w:tcW w:w="993" w:type="dxa"/>
          </w:tcPr>
          <w:p w14:paraId="586449D8" w14:textId="77777777" w:rsidR="00D0169D" w:rsidRPr="004E5857" w:rsidRDefault="00000000">
            <w:pPr>
              <w:spacing w:after="0"/>
              <w:rPr>
                <w:rFonts w:ascii="Arial" w:hAnsi="Arial" w:cs="Arial"/>
                <w:sz w:val="18"/>
                <w:szCs w:val="18"/>
              </w:rPr>
            </w:pPr>
            <w:r w:rsidRPr="004E5857">
              <w:rPr>
                <w:rFonts w:ascii="Arial" w:hAnsi="Arial" w:cs="Arial"/>
                <w:sz w:val="18"/>
                <w:szCs w:val="18"/>
              </w:rPr>
              <w:t>10.1%</w:t>
            </w:r>
          </w:p>
        </w:tc>
        <w:tc>
          <w:tcPr>
            <w:tcW w:w="992" w:type="dxa"/>
          </w:tcPr>
          <w:p w14:paraId="1A71CBFF" w14:textId="77777777" w:rsidR="00D0169D" w:rsidRPr="004E5857" w:rsidRDefault="00000000">
            <w:pPr>
              <w:spacing w:after="0"/>
              <w:rPr>
                <w:rFonts w:ascii="Arial" w:hAnsi="Arial" w:cs="Arial"/>
                <w:sz w:val="18"/>
                <w:szCs w:val="18"/>
              </w:rPr>
            </w:pPr>
            <w:r w:rsidRPr="004E5857">
              <w:rPr>
                <w:rFonts w:ascii="Arial" w:hAnsi="Arial" w:cs="Arial"/>
                <w:sz w:val="18"/>
                <w:szCs w:val="18"/>
              </w:rPr>
              <w:t>15.0%</w:t>
            </w:r>
          </w:p>
        </w:tc>
        <w:tc>
          <w:tcPr>
            <w:tcW w:w="850" w:type="dxa"/>
          </w:tcPr>
          <w:p w14:paraId="1AABB807" w14:textId="77777777" w:rsidR="00D0169D" w:rsidRPr="004E5857" w:rsidRDefault="00000000">
            <w:pPr>
              <w:spacing w:after="0"/>
              <w:rPr>
                <w:rFonts w:ascii="Arial" w:hAnsi="Arial" w:cs="Arial"/>
                <w:sz w:val="18"/>
                <w:szCs w:val="18"/>
              </w:rPr>
            </w:pPr>
            <w:r w:rsidRPr="004E5857">
              <w:rPr>
                <w:rFonts w:ascii="Arial" w:hAnsi="Arial" w:cs="Arial"/>
                <w:sz w:val="18"/>
                <w:szCs w:val="18"/>
              </w:rPr>
              <w:t>0.72</w:t>
            </w:r>
          </w:p>
        </w:tc>
        <w:tc>
          <w:tcPr>
            <w:tcW w:w="851" w:type="dxa"/>
          </w:tcPr>
          <w:p w14:paraId="48BF9579" w14:textId="77777777" w:rsidR="00D0169D" w:rsidRPr="004E5857" w:rsidRDefault="00000000">
            <w:pPr>
              <w:spacing w:after="0"/>
              <w:rPr>
                <w:rFonts w:ascii="Arial" w:hAnsi="Arial" w:cs="Arial"/>
                <w:sz w:val="18"/>
                <w:szCs w:val="18"/>
              </w:rPr>
            </w:pPr>
            <w:r w:rsidRPr="004E5857">
              <w:rPr>
                <w:rFonts w:ascii="Arial" w:hAnsi="Arial" w:cs="Arial"/>
                <w:sz w:val="18"/>
                <w:szCs w:val="18"/>
              </w:rPr>
              <w:t>-19.6%</w:t>
            </w:r>
          </w:p>
        </w:tc>
        <w:tc>
          <w:tcPr>
            <w:tcW w:w="1134" w:type="dxa"/>
          </w:tcPr>
          <w:p w14:paraId="78D60DE2" w14:textId="77777777" w:rsidR="00D0169D" w:rsidRPr="004E5857" w:rsidRDefault="00000000">
            <w:pPr>
              <w:spacing w:after="0"/>
              <w:rPr>
                <w:rFonts w:ascii="Arial" w:hAnsi="Arial" w:cs="Arial"/>
                <w:sz w:val="18"/>
                <w:szCs w:val="18"/>
              </w:rPr>
            </w:pPr>
            <w:r w:rsidRPr="004E5857">
              <w:rPr>
                <w:rFonts w:ascii="Arial" w:hAnsi="Arial" w:cs="Arial"/>
                <w:sz w:val="18"/>
                <w:szCs w:val="18"/>
              </w:rPr>
              <w:t>2.6%</w:t>
            </w:r>
          </w:p>
        </w:tc>
      </w:tr>
      <w:tr w:rsidR="00D0169D" w:rsidRPr="004E5857" w14:paraId="365D7416" w14:textId="77777777" w:rsidTr="008D384D">
        <w:trPr>
          <w:cantSplit/>
        </w:trPr>
        <w:tc>
          <w:tcPr>
            <w:tcW w:w="2196" w:type="dxa"/>
          </w:tcPr>
          <w:p w14:paraId="08AB74E2" w14:textId="77777777" w:rsidR="00D0169D" w:rsidRPr="004E5857" w:rsidRDefault="00000000">
            <w:pPr>
              <w:spacing w:after="0"/>
              <w:rPr>
                <w:rFonts w:ascii="Arial" w:hAnsi="Arial" w:cs="Arial"/>
                <w:sz w:val="18"/>
                <w:szCs w:val="18"/>
              </w:rPr>
            </w:pPr>
            <w:r w:rsidRPr="004E5857">
              <w:rPr>
                <w:rFonts w:ascii="Arial" w:hAnsi="Arial" w:cs="Arial"/>
                <w:sz w:val="18"/>
                <w:szCs w:val="18"/>
              </w:rPr>
              <w:t>Equity Tangency</w:t>
            </w:r>
          </w:p>
        </w:tc>
        <w:tc>
          <w:tcPr>
            <w:tcW w:w="1065" w:type="dxa"/>
          </w:tcPr>
          <w:p w14:paraId="34AFB31B" w14:textId="77777777" w:rsidR="00D0169D" w:rsidRPr="004E5857" w:rsidRDefault="00000000">
            <w:pPr>
              <w:spacing w:after="0"/>
              <w:rPr>
                <w:rFonts w:ascii="Arial" w:hAnsi="Arial" w:cs="Arial"/>
                <w:sz w:val="18"/>
                <w:szCs w:val="18"/>
              </w:rPr>
            </w:pPr>
            <w:r w:rsidRPr="004E5857">
              <w:rPr>
                <w:rFonts w:ascii="Arial" w:hAnsi="Arial" w:cs="Arial"/>
                <w:sz w:val="18"/>
                <w:szCs w:val="18"/>
              </w:rPr>
              <w:t>Equity</w:t>
            </w:r>
          </w:p>
        </w:tc>
        <w:tc>
          <w:tcPr>
            <w:tcW w:w="1275" w:type="dxa"/>
          </w:tcPr>
          <w:p w14:paraId="5376E4B4" w14:textId="77777777" w:rsidR="00D0169D" w:rsidRPr="004E5857" w:rsidRDefault="00000000">
            <w:pPr>
              <w:spacing w:after="0"/>
              <w:rPr>
                <w:rFonts w:ascii="Arial" w:hAnsi="Arial" w:cs="Arial"/>
                <w:sz w:val="18"/>
                <w:szCs w:val="18"/>
              </w:rPr>
            </w:pPr>
            <w:r w:rsidRPr="004E5857">
              <w:rPr>
                <w:rFonts w:ascii="Arial" w:hAnsi="Arial" w:cs="Arial"/>
                <w:sz w:val="18"/>
                <w:szCs w:val="18"/>
              </w:rPr>
              <w:t>Tangency</w:t>
            </w:r>
          </w:p>
        </w:tc>
        <w:tc>
          <w:tcPr>
            <w:tcW w:w="993" w:type="dxa"/>
          </w:tcPr>
          <w:p w14:paraId="1330BBB0" w14:textId="77777777" w:rsidR="00D0169D" w:rsidRPr="004E5857" w:rsidRDefault="00000000">
            <w:pPr>
              <w:spacing w:after="0"/>
              <w:rPr>
                <w:rFonts w:ascii="Arial" w:hAnsi="Arial" w:cs="Arial"/>
                <w:sz w:val="18"/>
                <w:szCs w:val="18"/>
              </w:rPr>
            </w:pPr>
            <w:r w:rsidRPr="004E5857">
              <w:rPr>
                <w:rFonts w:ascii="Arial" w:hAnsi="Arial" w:cs="Arial"/>
                <w:sz w:val="18"/>
                <w:szCs w:val="18"/>
              </w:rPr>
              <w:t>13.5%</w:t>
            </w:r>
          </w:p>
        </w:tc>
        <w:tc>
          <w:tcPr>
            <w:tcW w:w="992" w:type="dxa"/>
          </w:tcPr>
          <w:p w14:paraId="4F9D10CD" w14:textId="77777777" w:rsidR="00D0169D" w:rsidRPr="004E5857" w:rsidRDefault="00000000">
            <w:pPr>
              <w:spacing w:after="0"/>
              <w:rPr>
                <w:rFonts w:ascii="Arial" w:hAnsi="Arial" w:cs="Arial"/>
                <w:sz w:val="18"/>
                <w:szCs w:val="18"/>
              </w:rPr>
            </w:pPr>
            <w:r w:rsidRPr="004E5857">
              <w:rPr>
                <w:rFonts w:ascii="Arial" w:hAnsi="Arial" w:cs="Arial"/>
                <w:sz w:val="18"/>
                <w:szCs w:val="18"/>
              </w:rPr>
              <w:t>23.7%</w:t>
            </w:r>
          </w:p>
        </w:tc>
        <w:tc>
          <w:tcPr>
            <w:tcW w:w="850" w:type="dxa"/>
          </w:tcPr>
          <w:p w14:paraId="579A5559" w14:textId="77777777" w:rsidR="00D0169D" w:rsidRPr="004E5857" w:rsidRDefault="00000000">
            <w:pPr>
              <w:spacing w:after="0"/>
              <w:rPr>
                <w:rFonts w:ascii="Arial" w:hAnsi="Arial" w:cs="Arial"/>
                <w:sz w:val="18"/>
                <w:szCs w:val="18"/>
              </w:rPr>
            </w:pPr>
            <w:r w:rsidRPr="004E5857">
              <w:rPr>
                <w:rFonts w:ascii="Arial" w:hAnsi="Arial" w:cs="Arial"/>
                <w:sz w:val="18"/>
                <w:szCs w:val="18"/>
              </w:rPr>
              <w:t>0.65</w:t>
            </w:r>
          </w:p>
        </w:tc>
        <w:tc>
          <w:tcPr>
            <w:tcW w:w="851" w:type="dxa"/>
          </w:tcPr>
          <w:p w14:paraId="56C91F1B" w14:textId="77777777" w:rsidR="00D0169D" w:rsidRPr="004E5857" w:rsidRDefault="00000000">
            <w:pPr>
              <w:spacing w:after="0"/>
              <w:rPr>
                <w:rFonts w:ascii="Arial" w:hAnsi="Arial" w:cs="Arial"/>
                <w:sz w:val="18"/>
                <w:szCs w:val="18"/>
              </w:rPr>
            </w:pPr>
            <w:r w:rsidRPr="004E5857">
              <w:rPr>
                <w:rFonts w:ascii="Arial" w:hAnsi="Arial" w:cs="Arial"/>
                <w:sz w:val="18"/>
                <w:szCs w:val="18"/>
              </w:rPr>
              <w:t>-38.2%</w:t>
            </w:r>
          </w:p>
        </w:tc>
        <w:tc>
          <w:tcPr>
            <w:tcW w:w="1134" w:type="dxa"/>
          </w:tcPr>
          <w:p w14:paraId="7CBB3E99" w14:textId="77777777" w:rsidR="00D0169D" w:rsidRPr="004E5857" w:rsidRDefault="00000000">
            <w:pPr>
              <w:spacing w:after="0"/>
              <w:rPr>
                <w:rFonts w:ascii="Arial" w:hAnsi="Arial" w:cs="Arial"/>
                <w:sz w:val="18"/>
                <w:szCs w:val="18"/>
              </w:rPr>
            </w:pPr>
            <w:r w:rsidRPr="004E5857">
              <w:rPr>
                <w:rFonts w:ascii="Arial" w:hAnsi="Arial" w:cs="Arial"/>
                <w:sz w:val="18"/>
                <w:szCs w:val="18"/>
              </w:rPr>
              <w:t>13.7%</w:t>
            </w:r>
          </w:p>
        </w:tc>
      </w:tr>
    </w:tbl>
    <w:p w14:paraId="3A3B3740" w14:textId="77777777" w:rsidR="00D0169D" w:rsidRPr="008D384D" w:rsidRDefault="00000000">
      <w:pPr>
        <w:spacing w:before="20" w:after="60" w:line="240" w:lineRule="auto"/>
        <w:rPr>
          <w:rFonts w:ascii="Arial" w:hAnsi="Arial" w:cs="Arial"/>
          <w:i/>
          <w:color w:val="607086"/>
          <w:sz w:val="18"/>
          <w:lang w:eastAsia="zh-CN"/>
        </w:rPr>
      </w:pPr>
      <w:r w:rsidRPr="008D384D">
        <w:rPr>
          <w:rFonts w:ascii="Arial" w:hAnsi="Arial" w:cs="Arial"/>
          <w:i/>
          <w:color w:val="607086"/>
          <w:sz w:val="17"/>
        </w:rPr>
        <w:t>Source: results/tables/performance_metrics.csv.</w:t>
      </w:r>
    </w:p>
    <w:p w14:paraId="0CC36221" w14:textId="77777777" w:rsidR="00D0169D" w:rsidRPr="000B4B81" w:rsidRDefault="00000000" w:rsidP="000273E8">
      <w:pPr>
        <w:pStyle w:val="pdq2pgselectionanchorcontainer"/>
        <w:spacing w:before="0" w:after="80"/>
        <w:jc w:val="center"/>
        <w:rPr>
          <w:rFonts w:ascii="Calibri" w:eastAsiaTheme="minorEastAsia" w:hAnsi="Calibri" w:cstheme="minorBidi"/>
          <w:sz w:val="22"/>
          <w:szCs w:val="22"/>
          <w:lang w:eastAsia="en-US"/>
        </w:rPr>
      </w:pPr>
      <w:r w:rsidRPr="000B4B81">
        <w:rPr>
          <w:rFonts w:ascii="Calibri" w:eastAsiaTheme="minorEastAsia" w:hAnsi="Calibri" w:cstheme="minorBidi"/>
          <w:noProof/>
          <w:sz w:val="22"/>
          <w:szCs w:val="22"/>
          <w:lang w:eastAsia="en-US"/>
        </w:rPr>
        <w:drawing>
          <wp:inline distT="0" distB="0" distL="114300" distR="114300" wp14:anchorId="79927E31" wp14:editId="040020DB">
            <wp:extent cx="4892040" cy="2892373"/>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4"/>
                    <a:stretch>
                      <a:fillRect/>
                    </a:stretch>
                  </pic:blipFill>
                  <pic:spPr>
                    <a:xfrm>
                      <a:off x="0" y="0"/>
                      <a:ext cx="5042952" cy="2981600"/>
                    </a:xfrm>
                    <a:prstGeom prst="rect">
                      <a:avLst/>
                    </a:prstGeom>
                  </pic:spPr>
                </pic:pic>
              </a:graphicData>
            </a:graphic>
          </wp:inline>
        </w:drawing>
      </w:r>
    </w:p>
    <w:p w14:paraId="3E98313A" w14:textId="77777777" w:rsidR="00D0169D" w:rsidRPr="004A3550" w:rsidRDefault="00000000" w:rsidP="000B4B81">
      <w:pPr>
        <w:pStyle w:val="pdq2pgselectionanchorcontainer"/>
        <w:spacing w:before="40"/>
        <w:jc w:val="center"/>
        <w:rPr>
          <w:rFonts w:ascii="Calibri" w:eastAsiaTheme="minorEastAsia" w:hAnsi="Calibri" w:cstheme="minorBidi"/>
          <w:lang w:eastAsia="en-US"/>
        </w:rPr>
      </w:pPr>
      <w:r w:rsidRPr="004A3550">
        <w:rPr>
          <w:rFonts w:ascii="Calibri" w:eastAsiaTheme="minorEastAsia" w:hAnsi="Calibri" w:cstheme="minorBidi"/>
          <w:sz w:val="19"/>
          <w:lang w:eastAsia="en-US"/>
        </w:rPr>
        <w:t>Figure 3. Funds ranked by OOS Sharpe ratio</w:t>
      </w:r>
    </w:p>
    <w:p w14:paraId="6FA56279" w14:textId="77777777" w:rsidR="00D81744" w:rsidRDefault="00000000" w:rsidP="00D81744">
      <w:pPr>
        <w:pStyle w:val="pdq2pgselectionanchorcontainer"/>
        <w:spacing w:before="0" w:after="80"/>
        <w:jc w:val="center"/>
        <w:rPr>
          <w:rFonts w:ascii="Calibri" w:eastAsiaTheme="minorEastAsia" w:hAnsi="Calibri" w:cstheme="minorBidi"/>
          <w:sz w:val="22"/>
          <w:szCs w:val="22"/>
          <w:lang w:eastAsia="en-US"/>
        </w:rPr>
      </w:pPr>
      <w:r w:rsidRPr="000B4B81">
        <w:rPr>
          <w:rFonts w:ascii="Calibri" w:eastAsiaTheme="minorEastAsia" w:hAnsi="Calibri" w:cstheme="minorBidi"/>
          <w:noProof/>
          <w:sz w:val="22"/>
          <w:szCs w:val="22"/>
          <w:lang w:eastAsia="en-US"/>
        </w:rPr>
        <w:lastRenderedPageBreak/>
        <w:drawing>
          <wp:inline distT="0" distB="0" distL="0" distR="0" wp14:anchorId="13F91933" wp14:editId="56487060">
            <wp:extent cx="4892040" cy="4055271"/>
            <wp:effectExtent l="0" t="0" r="0" b="3175"/>
            <wp:docPr id="1789909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90929" name="图片 1"/>
                    <pic:cNvPicPr>
                      <a:picLocks noChangeAspect="1"/>
                    </pic:cNvPicPr>
                  </pic:nvPicPr>
                  <pic:blipFill>
                    <a:blip r:embed="rId15"/>
                    <a:stretch>
                      <a:fillRect/>
                    </a:stretch>
                  </pic:blipFill>
                  <pic:spPr>
                    <a:xfrm>
                      <a:off x="0" y="0"/>
                      <a:ext cx="4964081" cy="4114990"/>
                    </a:xfrm>
                    <a:prstGeom prst="rect">
                      <a:avLst/>
                    </a:prstGeom>
                  </pic:spPr>
                </pic:pic>
              </a:graphicData>
            </a:graphic>
          </wp:inline>
        </w:drawing>
      </w:r>
    </w:p>
    <w:p w14:paraId="36BFA515" w14:textId="77777777" w:rsidR="000A3B6E" w:rsidRDefault="00000000" w:rsidP="000273E8">
      <w:pPr>
        <w:spacing w:before="40" w:after="100" w:line="240" w:lineRule="auto"/>
        <w:jc w:val="center"/>
        <w:rPr>
          <w:sz w:val="19"/>
          <w:szCs w:val="24"/>
          <w:lang w:eastAsia="zh-CN"/>
        </w:rPr>
      </w:pPr>
      <w:r w:rsidRPr="000273E8">
        <w:rPr>
          <w:sz w:val="19"/>
          <w:szCs w:val="24"/>
        </w:rPr>
        <w:t>Figure 4. Combined fund sector and crypto weights by method, 2021-2023</w:t>
      </w:r>
    </w:p>
    <w:p w14:paraId="2155F188" w14:textId="77777777" w:rsidR="00AE3704" w:rsidRPr="00AE3704" w:rsidRDefault="00AE3704" w:rsidP="00AE3704">
      <w:pPr>
        <w:pStyle w:val="af2"/>
        <w:spacing w:before="0" w:after="80"/>
        <w:jc w:val="center"/>
        <w:rPr>
          <w:rFonts w:asciiTheme="majorHAnsi" w:hAnsiTheme="majorHAnsi" w:cstheme="majorHAnsi"/>
        </w:rPr>
      </w:pPr>
      <w:r w:rsidRPr="00AE3704">
        <w:rPr>
          <w:rFonts w:ascii="Arial" w:hAnsi="Arial" w:cs="Arial"/>
          <w:noProof/>
        </w:rPr>
        <w:drawing>
          <wp:inline distT="0" distB="0" distL="0" distR="0" wp14:anchorId="4DFC87FD" wp14:editId="6BF9CF59">
            <wp:extent cx="5442858" cy="2912164"/>
            <wp:effectExtent l="0" t="0" r="5715" b="0"/>
            <wp:docPr id="1502713913" name="图片 1" descr="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713913" name="图片 1" descr="Fig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6281390" cy="3360815"/>
                    </a:xfrm>
                    <a:prstGeom prst="rect">
                      <a:avLst/>
                    </a:prstGeom>
                    <a:noFill/>
                    <a:ln>
                      <a:noFill/>
                    </a:ln>
                  </pic:spPr>
                </pic:pic>
              </a:graphicData>
            </a:graphic>
          </wp:inline>
        </w:drawing>
      </w:r>
    </w:p>
    <w:p w14:paraId="791FA4A7" w14:textId="40BFF798" w:rsidR="00AE3704" w:rsidRPr="00AE3704" w:rsidRDefault="00AE3704" w:rsidP="00AE3704">
      <w:pPr>
        <w:spacing w:before="40" w:after="100" w:line="240" w:lineRule="auto"/>
        <w:jc w:val="center"/>
        <w:rPr>
          <w:sz w:val="24"/>
          <w:szCs w:val="24"/>
          <w:lang w:eastAsia="zh-CN"/>
        </w:rPr>
      </w:pPr>
      <w:r w:rsidRPr="00AE3704">
        <w:rPr>
          <w:sz w:val="19"/>
          <w:szCs w:val="24"/>
        </w:rPr>
        <w:t xml:space="preserve">Figure </w:t>
      </w:r>
      <w:r w:rsidR="0053699D">
        <w:rPr>
          <w:rFonts w:hint="eastAsia"/>
          <w:sz w:val="19"/>
          <w:szCs w:val="24"/>
          <w:lang w:eastAsia="zh-CN"/>
        </w:rPr>
        <w:t>A</w:t>
      </w:r>
      <w:r w:rsidRPr="00AE3704">
        <w:rPr>
          <w:sz w:val="19"/>
          <w:szCs w:val="24"/>
        </w:rPr>
        <w:t>5. Coverage-aware sector sentiment signals, 2020-2023</w:t>
      </w:r>
    </w:p>
    <w:p w14:paraId="0210FE2A" w14:textId="77777777" w:rsidR="00AE3704" w:rsidRPr="00AE3704" w:rsidRDefault="00AE3704" w:rsidP="000273E8">
      <w:pPr>
        <w:spacing w:before="40" w:after="100" w:line="240" w:lineRule="auto"/>
        <w:jc w:val="center"/>
        <w:rPr>
          <w:sz w:val="24"/>
          <w:szCs w:val="24"/>
          <w:lang w:eastAsia="zh-CN"/>
        </w:rPr>
      </w:pPr>
    </w:p>
    <w:p w14:paraId="712CEA79" w14:textId="77777777" w:rsidR="000273E8" w:rsidRPr="000273E8" w:rsidRDefault="000273E8" w:rsidP="000273E8">
      <w:pPr>
        <w:spacing w:after="80" w:line="240" w:lineRule="auto"/>
        <w:rPr>
          <w:lang w:eastAsia="zh-CN"/>
        </w:rPr>
      </w:pPr>
    </w:p>
    <w:p w14:paraId="632C079C" w14:textId="77777777" w:rsidR="00D0169D" w:rsidRPr="004E5857" w:rsidRDefault="00000000">
      <w:pPr>
        <w:pStyle w:val="21"/>
        <w:spacing w:before="120" w:after="80" w:line="240" w:lineRule="auto"/>
        <w:rPr>
          <w:sz w:val="22"/>
          <w:szCs w:val="22"/>
        </w:rPr>
      </w:pPr>
      <w:r w:rsidRPr="004E5857">
        <w:rPr>
          <w:sz w:val="22"/>
          <w:szCs w:val="22"/>
        </w:rPr>
        <w:lastRenderedPageBreak/>
        <w:t>Current Holdings Example</w:t>
      </w:r>
    </w:p>
    <w:p w14:paraId="2B2CDBD7" w14:textId="77777777" w:rsidR="00D0169D" w:rsidRPr="004E5857" w:rsidRDefault="00000000">
      <w:pPr>
        <w:keepNext/>
        <w:spacing w:before="40" w:after="60" w:line="240" w:lineRule="auto"/>
        <w:rPr>
          <w:sz w:val="22"/>
        </w:rPr>
      </w:pPr>
      <w:r w:rsidRPr="004E5857">
        <w:rPr>
          <w:sz w:val="22"/>
        </w:rPr>
        <w:t>Table A1. Top current holdings for Combined Risk Parity at the latest rebalance.</w:t>
      </w:r>
    </w:p>
    <w:tbl>
      <w:tblPr>
        <w:tblStyle w:val="af5"/>
        <w:tblW w:w="0" w:type="auto"/>
        <w:tblInd w:w="108" w:type="dxa"/>
        <w:tblLayout w:type="fixed"/>
        <w:tblLook w:val="04A0" w:firstRow="1" w:lastRow="0" w:firstColumn="1" w:lastColumn="0" w:noHBand="0" w:noVBand="1"/>
      </w:tblPr>
      <w:tblGrid>
        <w:gridCol w:w="2772"/>
        <w:gridCol w:w="1764"/>
      </w:tblGrid>
      <w:tr w:rsidR="00D0169D" w:rsidRPr="004E5857" w14:paraId="6E29CBA8" w14:textId="77777777">
        <w:trPr>
          <w:cantSplit/>
        </w:trPr>
        <w:tc>
          <w:tcPr>
            <w:tcW w:w="2772" w:type="dxa"/>
          </w:tcPr>
          <w:p w14:paraId="72FA9DB8" w14:textId="77777777" w:rsidR="00D0169D" w:rsidRPr="004E5857" w:rsidRDefault="00000000">
            <w:pPr>
              <w:spacing w:after="0"/>
              <w:rPr>
                <w:sz w:val="18"/>
                <w:szCs w:val="18"/>
              </w:rPr>
            </w:pPr>
            <w:r w:rsidRPr="004E5857">
              <w:rPr>
                <w:b/>
                <w:sz w:val="18"/>
                <w:szCs w:val="18"/>
              </w:rPr>
              <w:t>Ticker</w:t>
            </w:r>
          </w:p>
        </w:tc>
        <w:tc>
          <w:tcPr>
            <w:tcW w:w="1764" w:type="dxa"/>
          </w:tcPr>
          <w:p w14:paraId="13819B26" w14:textId="77777777" w:rsidR="00D0169D" w:rsidRPr="004E5857" w:rsidRDefault="00000000">
            <w:pPr>
              <w:spacing w:after="0"/>
              <w:rPr>
                <w:sz w:val="18"/>
                <w:szCs w:val="18"/>
              </w:rPr>
            </w:pPr>
            <w:r w:rsidRPr="004E5857">
              <w:rPr>
                <w:b/>
                <w:sz w:val="18"/>
                <w:szCs w:val="18"/>
              </w:rPr>
              <w:t>Weight</w:t>
            </w:r>
          </w:p>
        </w:tc>
      </w:tr>
      <w:tr w:rsidR="00D0169D" w:rsidRPr="004E5857" w14:paraId="0E2FC046" w14:textId="77777777">
        <w:trPr>
          <w:cantSplit/>
        </w:trPr>
        <w:tc>
          <w:tcPr>
            <w:tcW w:w="2772" w:type="dxa"/>
          </w:tcPr>
          <w:p w14:paraId="5476D77A" w14:textId="77777777" w:rsidR="00D0169D" w:rsidRPr="004E5857" w:rsidRDefault="00000000">
            <w:pPr>
              <w:spacing w:after="0"/>
              <w:rPr>
                <w:sz w:val="18"/>
                <w:szCs w:val="18"/>
              </w:rPr>
            </w:pPr>
            <w:r w:rsidRPr="004E5857">
              <w:rPr>
                <w:sz w:val="18"/>
                <w:szCs w:val="18"/>
              </w:rPr>
              <w:t>WMT</w:t>
            </w:r>
          </w:p>
        </w:tc>
        <w:tc>
          <w:tcPr>
            <w:tcW w:w="1764" w:type="dxa"/>
          </w:tcPr>
          <w:p w14:paraId="6E354F4A" w14:textId="77777777" w:rsidR="00D0169D" w:rsidRPr="004E5857" w:rsidRDefault="00000000">
            <w:pPr>
              <w:spacing w:after="0"/>
              <w:rPr>
                <w:sz w:val="18"/>
                <w:szCs w:val="18"/>
              </w:rPr>
            </w:pPr>
            <w:r w:rsidRPr="004E5857">
              <w:rPr>
                <w:sz w:val="18"/>
                <w:szCs w:val="18"/>
              </w:rPr>
              <w:t>3.17%</w:t>
            </w:r>
          </w:p>
        </w:tc>
      </w:tr>
      <w:tr w:rsidR="00D0169D" w:rsidRPr="004E5857" w14:paraId="5B125377" w14:textId="77777777">
        <w:trPr>
          <w:cantSplit/>
        </w:trPr>
        <w:tc>
          <w:tcPr>
            <w:tcW w:w="2772" w:type="dxa"/>
          </w:tcPr>
          <w:p w14:paraId="58EFF09B" w14:textId="77777777" w:rsidR="00D0169D" w:rsidRPr="004E5857" w:rsidRDefault="00000000">
            <w:pPr>
              <w:spacing w:after="0"/>
              <w:rPr>
                <w:sz w:val="18"/>
                <w:szCs w:val="18"/>
              </w:rPr>
            </w:pPr>
            <w:r w:rsidRPr="004E5857">
              <w:rPr>
                <w:sz w:val="18"/>
                <w:szCs w:val="18"/>
              </w:rPr>
              <w:t>GILD</w:t>
            </w:r>
          </w:p>
        </w:tc>
        <w:tc>
          <w:tcPr>
            <w:tcW w:w="1764" w:type="dxa"/>
          </w:tcPr>
          <w:p w14:paraId="07EE4679" w14:textId="77777777" w:rsidR="00D0169D" w:rsidRPr="004E5857" w:rsidRDefault="00000000">
            <w:pPr>
              <w:spacing w:after="0"/>
              <w:rPr>
                <w:sz w:val="18"/>
                <w:szCs w:val="18"/>
              </w:rPr>
            </w:pPr>
            <w:r w:rsidRPr="004E5857">
              <w:rPr>
                <w:sz w:val="18"/>
                <w:szCs w:val="18"/>
              </w:rPr>
              <w:t>3.10%</w:t>
            </w:r>
          </w:p>
        </w:tc>
      </w:tr>
      <w:tr w:rsidR="00D0169D" w:rsidRPr="004E5857" w14:paraId="6C7F5028" w14:textId="77777777">
        <w:trPr>
          <w:cantSplit/>
        </w:trPr>
        <w:tc>
          <w:tcPr>
            <w:tcW w:w="2772" w:type="dxa"/>
          </w:tcPr>
          <w:p w14:paraId="6918EF51" w14:textId="77777777" w:rsidR="00D0169D" w:rsidRPr="004E5857" w:rsidRDefault="00000000">
            <w:pPr>
              <w:spacing w:after="0"/>
              <w:rPr>
                <w:sz w:val="18"/>
                <w:szCs w:val="18"/>
              </w:rPr>
            </w:pPr>
            <w:r w:rsidRPr="004E5857">
              <w:rPr>
                <w:sz w:val="18"/>
                <w:szCs w:val="18"/>
              </w:rPr>
              <w:t>MRK</w:t>
            </w:r>
          </w:p>
        </w:tc>
        <w:tc>
          <w:tcPr>
            <w:tcW w:w="1764" w:type="dxa"/>
          </w:tcPr>
          <w:p w14:paraId="7CA1F6A0" w14:textId="77777777" w:rsidR="00D0169D" w:rsidRPr="004E5857" w:rsidRDefault="00000000">
            <w:pPr>
              <w:spacing w:after="0"/>
              <w:rPr>
                <w:sz w:val="18"/>
                <w:szCs w:val="18"/>
              </w:rPr>
            </w:pPr>
            <w:r w:rsidRPr="004E5857">
              <w:rPr>
                <w:sz w:val="18"/>
                <w:szCs w:val="18"/>
              </w:rPr>
              <w:t>2.98%</w:t>
            </w:r>
          </w:p>
        </w:tc>
      </w:tr>
      <w:tr w:rsidR="00D0169D" w:rsidRPr="004E5857" w14:paraId="476C4F16" w14:textId="77777777">
        <w:trPr>
          <w:cantSplit/>
        </w:trPr>
        <w:tc>
          <w:tcPr>
            <w:tcW w:w="2772" w:type="dxa"/>
          </w:tcPr>
          <w:p w14:paraId="6B330E48" w14:textId="77777777" w:rsidR="00D0169D" w:rsidRPr="004E5857" w:rsidRDefault="00000000">
            <w:pPr>
              <w:spacing w:after="0"/>
              <w:rPr>
                <w:sz w:val="18"/>
                <w:szCs w:val="18"/>
              </w:rPr>
            </w:pPr>
            <w:r w:rsidRPr="004E5857">
              <w:rPr>
                <w:sz w:val="18"/>
                <w:szCs w:val="18"/>
              </w:rPr>
              <w:t>NEM</w:t>
            </w:r>
          </w:p>
        </w:tc>
        <w:tc>
          <w:tcPr>
            <w:tcW w:w="1764" w:type="dxa"/>
          </w:tcPr>
          <w:p w14:paraId="20B7D4D2" w14:textId="77777777" w:rsidR="00D0169D" w:rsidRPr="004E5857" w:rsidRDefault="00000000">
            <w:pPr>
              <w:spacing w:after="0"/>
              <w:rPr>
                <w:sz w:val="18"/>
                <w:szCs w:val="18"/>
              </w:rPr>
            </w:pPr>
            <w:r w:rsidRPr="004E5857">
              <w:rPr>
                <w:sz w:val="18"/>
                <w:szCs w:val="18"/>
              </w:rPr>
              <w:t>2.89%</w:t>
            </w:r>
          </w:p>
        </w:tc>
      </w:tr>
      <w:tr w:rsidR="00D0169D" w:rsidRPr="004E5857" w14:paraId="31C23F30" w14:textId="77777777">
        <w:trPr>
          <w:cantSplit/>
        </w:trPr>
        <w:tc>
          <w:tcPr>
            <w:tcW w:w="2772" w:type="dxa"/>
          </w:tcPr>
          <w:p w14:paraId="2122CDD2" w14:textId="77777777" w:rsidR="00D0169D" w:rsidRPr="004E5857" w:rsidRDefault="00000000">
            <w:pPr>
              <w:spacing w:after="0"/>
              <w:rPr>
                <w:sz w:val="18"/>
                <w:szCs w:val="18"/>
              </w:rPr>
            </w:pPr>
            <w:r w:rsidRPr="004E5857">
              <w:rPr>
                <w:sz w:val="18"/>
                <w:szCs w:val="18"/>
              </w:rPr>
              <w:t>ABBV</w:t>
            </w:r>
          </w:p>
        </w:tc>
        <w:tc>
          <w:tcPr>
            <w:tcW w:w="1764" w:type="dxa"/>
          </w:tcPr>
          <w:p w14:paraId="4F3EA810" w14:textId="77777777" w:rsidR="00D0169D" w:rsidRPr="004E5857" w:rsidRDefault="00000000">
            <w:pPr>
              <w:spacing w:after="0"/>
              <w:rPr>
                <w:sz w:val="18"/>
                <w:szCs w:val="18"/>
              </w:rPr>
            </w:pPr>
            <w:r w:rsidRPr="004E5857">
              <w:rPr>
                <w:sz w:val="18"/>
                <w:szCs w:val="18"/>
              </w:rPr>
              <w:t>2.80%</w:t>
            </w:r>
          </w:p>
        </w:tc>
      </w:tr>
      <w:tr w:rsidR="00D0169D" w:rsidRPr="004E5857" w14:paraId="04E8B2F4" w14:textId="77777777">
        <w:trPr>
          <w:cantSplit/>
        </w:trPr>
        <w:tc>
          <w:tcPr>
            <w:tcW w:w="2772" w:type="dxa"/>
          </w:tcPr>
          <w:p w14:paraId="03FED1F5" w14:textId="77777777" w:rsidR="00D0169D" w:rsidRPr="004E5857" w:rsidRDefault="00000000">
            <w:pPr>
              <w:spacing w:after="0"/>
              <w:rPr>
                <w:sz w:val="18"/>
                <w:szCs w:val="18"/>
              </w:rPr>
            </w:pPr>
            <w:r w:rsidRPr="004E5857">
              <w:rPr>
                <w:sz w:val="18"/>
                <w:szCs w:val="18"/>
              </w:rPr>
              <w:t>EA</w:t>
            </w:r>
          </w:p>
        </w:tc>
        <w:tc>
          <w:tcPr>
            <w:tcW w:w="1764" w:type="dxa"/>
          </w:tcPr>
          <w:p w14:paraId="61C95C59" w14:textId="77777777" w:rsidR="00D0169D" w:rsidRPr="004E5857" w:rsidRDefault="00000000">
            <w:pPr>
              <w:spacing w:after="0"/>
              <w:rPr>
                <w:sz w:val="18"/>
                <w:szCs w:val="18"/>
              </w:rPr>
            </w:pPr>
            <w:r w:rsidRPr="004E5857">
              <w:rPr>
                <w:sz w:val="18"/>
                <w:szCs w:val="18"/>
              </w:rPr>
              <w:t>2.77%</w:t>
            </w:r>
          </w:p>
        </w:tc>
      </w:tr>
      <w:tr w:rsidR="00D0169D" w:rsidRPr="004E5857" w14:paraId="5B9DE62D" w14:textId="77777777">
        <w:trPr>
          <w:cantSplit/>
        </w:trPr>
        <w:tc>
          <w:tcPr>
            <w:tcW w:w="2772" w:type="dxa"/>
          </w:tcPr>
          <w:p w14:paraId="6E25EE57" w14:textId="77777777" w:rsidR="00D0169D" w:rsidRPr="004E5857" w:rsidRDefault="00000000">
            <w:pPr>
              <w:spacing w:after="0"/>
              <w:rPr>
                <w:sz w:val="18"/>
                <w:szCs w:val="18"/>
              </w:rPr>
            </w:pPr>
            <w:r w:rsidRPr="004E5857">
              <w:rPr>
                <w:sz w:val="18"/>
                <w:szCs w:val="18"/>
              </w:rPr>
              <w:t>AMGN</w:t>
            </w:r>
          </w:p>
        </w:tc>
        <w:tc>
          <w:tcPr>
            <w:tcW w:w="1764" w:type="dxa"/>
          </w:tcPr>
          <w:p w14:paraId="4035662F" w14:textId="77777777" w:rsidR="00D0169D" w:rsidRPr="004E5857" w:rsidRDefault="00000000">
            <w:pPr>
              <w:spacing w:after="0"/>
              <w:rPr>
                <w:sz w:val="18"/>
                <w:szCs w:val="18"/>
              </w:rPr>
            </w:pPr>
            <w:r w:rsidRPr="004E5857">
              <w:rPr>
                <w:sz w:val="18"/>
                <w:szCs w:val="18"/>
              </w:rPr>
              <w:t>2.52%</w:t>
            </w:r>
          </w:p>
        </w:tc>
      </w:tr>
      <w:tr w:rsidR="00D0169D" w:rsidRPr="004E5857" w14:paraId="043A87B4" w14:textId="77777777" w:rsidTr="004E5857">
        <w:trPr>
          <w:cantSplit/>
          <w:trHeight w:val="73"/>
        </w:trPr>
        <w:tc>
          <w:tcPr>
            <w:tcW w:w="2772" w:type="dxa"/>
          </w:tcPr>
          <w:p w14:paraId="539422AA" w14:textId="77777777" w:rsidR="00D0169D" w:rsidRPr="004E5857" w:rsidRDefault="00000000">
            <w:pPr>
              <w:spacing w:after="0"/>
              <w:rPr>
                <w:sz w:val="18"/>
                <w:szCs w:val="18"/>
              </w:rPr>
            </w:pPr>
            <w:r w:rsidRPr="004E5857">
              <w:rPr>
                <w:sz w:val="18"/>
                <w:szCs w:val="18"/>
              </w:rPr>
              <w:t>KO</w:t>
            </w:r>
          </w:p>
        </w:tc>
        <w:tc>
          <w:tcPr>
            <w:tcW w:w="1764" w:type="dxa"/>
          </w:tcPr>
          <w:p w14:paraId="7502B72F" w14:textId="77777777" w:rsidR="00D0169D" w:rsidRPr="004E5857" w:rsidRDefault="00000000">
            <w:pPr>
              <w:spacing w:after="0"/>
              <w:rPr>
                <w:sz w:val="18"/>
                <w:szCs w:val="18"/>
              </w:rPr>
            </w:pPr>
            <w:r w:rsidRPr="004E5857">
              <w:rPr>
                <w:sz w:val="18"/>
                <w:szCs w:val="18"/>
              </w:rPr>
              <w:t>2.39%</w:t>
            </w:r>
          </w:p>
        </w:tc>
      </w:tr>
    </w:tbl>
    <w:p w14:paraId="5474C102" w14:textId="77777777" w:rsidR="00D0169D" w:rsidRPr="004E5857" w:rsidRDefault="00000000">
      <w:pPr>
        <w:spacing w:before="20" w:after="60" w:line="240" w:lineRule="auto"/>
        <w:rPr>
          <w:i/>
          <w:color w:val="607086"/>
          <w:sz w:val="22"/>
          <w:lang w:eastAsia="zh-CN"/>
        </w:rPr>
      </w:pPr>
      <w:r w:rsidRPr="004E5857">
        <w:rPr>
          <w:i/>
          <w:color w:val="607086"/>
          <w:sz w:val="22"/>
        </w:rPr>
        <w:t>Source: results/data/current_holdings.csv.</w:t>
      </w:r>
    </w:p>
    <w:p w14:paraId="1E1D418B" w14:textId="77777777" w:rsidR="00942B31" w:rsidRDefault="00942B31">
      <w:pPr>
        <w:spacing w:after="80" w:line="240" w:lineRule="auto"/>
        <w:rPr>
          <w:i/>
          <w:color w:val="607086"/>
          <w:sz w:val="18"/>
          <w:lang w:eastAsia="zh-CN"/>
        </w:rPr>
      </w:pPr>
    </w:p>
    <w:p w14:paraId="636846D6" w14:textId="77777777" w:rsidR="00E107A7" w:rsidRPr="00E107A7" w:rsidRDefault="00E107A7" w:rsidP="00E107A7">
      <w:pPr>
        <w:pStyle w:val="1"/>
        <w:pageBreakBefore/>
        <w:spacing w:before="120" w:after="80" w:line="240" w:lineRule="auto"/>
        <w:rPr>
          <w:lang w:eastAsia="zh-CN"/>
        </w:rPr>
      </w:pPr>
      <w:r>
        <w:lastRenderedPageBreak/>
        <w:t>Appendix</w:t>
      </w:r>
      <w:r>
        <w:rPr>
          <w:rFonts w:hint="eastAsia"/>
          <w:lang w:eastAsia="zh-CN"/>
        </w:rPr>
        <w:t xml:space="preserve"> B</w:t>
      </w:r>
      <w:r>
        <w:t xml:space="preserve">: </w:t>
      </w:r>
      <w:proofErr w:type="spellStart"/>
      <w:r>
        <w:t>Streamlit</w:t>
      </w:r>
      <w:proofErr w:type="spellEnd"/>
      <w:r>
        <w:t xml:space="preserve"> App Evidence</w:t>
      </w:r>
    </w:p>
    <w:p w14:paraId="32727BAD" w14:textId="77777777" w:rsidR="00942B31" w:rsidRPr="004E5857" w:rsidRDefault="00942B31" w:rsidP="004E5857">
      <w:pPr>
        <w:spacing w:before="40" w:after="100" w:line="240" w:lineRule="auto"/>
        <w:jc w:val="both"/>
        <w:rPr>
          <w:sz w:val="22"/>
          <w:lang w:eastAsia="zh-CN"/>
        </w:rPr>
      </w:pPr>
      <w:r w:rsidRPr="004E5857">
        <w:rPr>
          <w:sz w:val="22"/>
        </w:rPr>
        <w:t xml:space="preserve">Figure </w:t>
      </w:r>
      <w:r w:rsidR="00E107A7" w:rsidRPr="004E5857">
        <w:rPr>
          <w:rFonts w:hint="eastAsia"/>
          <w:sz w:val="22"/>
          <w:lang w:eastAsia="zh-CN"/>
        </w:rPr>
        <w:t>B</w:t>
      </w:r>
      <w:r w:rsidRPr="004E5857">
        <w:rPr>
          <w:sz w:val="22"/>
        </w:rPr>
        <w:t xml:space="preserve">1. </w:t>
      </w:r>
      <w:proofErr w:type="spellStart"/>
      <w:r w:rsidRPr="004E5857">
        <w:rPr>
          <w:sz w:val="22"/>
        </w:rPr>
        <w:t>SignalHarbor</w:t>
      </w:r>
      <w:proofErr w:type="spellEnd"/>
      <w:r w:rsidRPr="004E5857">
        <w:rPr>
          <w:sz w:val="22"/>
        </w:rPr>
        <w:t xml:space="preserve"> fund fact sheet interface. </w:t>
      </w:r>
    </w:p>
    <w:p w14:paraId="6CFF5FF4" w14:textId="77777777" w:rsidR="00942B31" w:rsidRPr="004E5857" w:rsidRDefault="00942B31" w:rsidP="004E5857">
      <w:pPr>
        <w:spacing w:after="80" w:line="240" w:lineRule="auto"/>
        <w:jc w:val="both"/>
        <w:rPr>
          <w:sz w:val="22"/>
          <w:lang w:eastAsia="zh-CN"/>
        </w:rPr>
      </w:pPr>
      <w:r w:rsidRPr="004E5857">
        <w:rPr>
          <w:sz w:val="22"/>
        </w:rPr>
        <w:t>The app allows investors to select a fund and view its OOS return, volatility, Sharpe ratio, maximum drawdown, Growth of $1 path, drawdown path, current holdings and audit checks. This supports the brief's investor journey because a user can compare funds, inspect a fact sheet, build a blended allocation and view sentiment analytics without seeing code or rerunning the model.</w:t>
      </w:r>
    </w:p>
    <w:p w14:paraId="1C11181E" w14:textId="77777777" w:rsidR="00942B31" w:rsidRDefault="00942B31" w:rsidP="00942B31">
      <w:pPr>
        <w:spacing w:after="80" w:line="240" w:lineRule="auto"/>
        <w:rPr>
          <w:lang w:eastAsia="zh-CN"/>
        </w:rPr>
      </w:pPr>
      <w:r w:rsidRPr="00942B31">
        <w:rPr>
          <w:noProof/>
          <w:lang w:eastAsia="zh-CN"/>
        </w:rPr>
        <w:drawing>
          <wp:inline distT="0" distB="0" distL="0" distR="0" wp14:anchorId="340BEB37" wp14:editId="484B7CBD">
            <wp:extent cx="4892040" cy="2717799"/>
            <wp:effectExtent l="0" t="0" r="0" b="6350"/>
            <wp:docPr id="36036871"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6871" name="图片 1" descr="图形用户界面, 应用程序&#10;&#10;AI 生成的内容可能不正确。"/>
                    <pic:cNvPicPr/>
                  </pic:nvPicPr>
                  <pic:blipFill>
                    <a:blip r:embed="rId17"/>
                    <a:stretch>
                      <a:fillRect/>
                    </a:stretch>
                  </pic:blipFill>
                  <pic:spPr>
                    <a:xfrm>
                      <a:off x="0" y="0"/>
                      <a:ext cx="4914620" cy="2730344"/>
                    </a:xfrm>
                    <a:prstGeom prst="rect">
                      <a:avLst/>
                    </a:prstGeom>
                  </pic:spPr>
                </pic:pic>
              </a:graphicData>
            </a:graphic>
          </wp:inline>
        </w:drawing>
      </w:r>
    </w:p>
    <w:p w14:paraId="56D6EFC5" w14:textId="77777777" w:rsidR="00942B31" w:rsidRDefault="00942B31" w:rsidP="00942B31">
      <w:pPr>
        <w:spacing w:after="80" w:line="240" w:lineRule="auto"/>
        <w:rPr>
          <w:lang w:eastAsia="zh-CN"/>
        </w:rPr>
      </w:pPr>
      <w:r w:rsidRPr="00942B31">
        <w:rPr>
          <w:noProof/>
          <w:lang w:eastAsia="zh-CN"/>
        </w:rPr>
        <w:drawing>
          <wp:inline distT="0" distB="0" distL="0" distR="0" wp14:anchorId="12FD3DBF" wp14:editId="18368F1F">
            <wp:extent cx="4892040" cy="2675987"/>
            <wp:effectExtent l="0" t="0" r="0" b="2540"/>
            <wp:docPr id="1778956646"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956646" name="图片 1" descr="图形用户界面, 应用程序&#10;&#10;AI 生成的内容可能不正确。"/>
                    <pic:cNvPicPr/>
                  </pic:nvPicPr>
                  <pic:blipFill>
                    <a:blip r:embed="rId18"/>
                    <a:stretch>
                      <a:fillRect/>
                    </a:stretch>
                  </pic:blipFill>
                  <pic:spPr>
                    <a:xfrm>
                      <a:off x="0" y="0"/>
                      <a:ext cx="4957055" cy="2711551"/>
                    </a:xfrm>
                    <a:prstGeom prst="rect">
                      <a:avLst/>
                    </a:prstGeom>
                  </pic:spPr>
                </pic:pic>
              </a:graphicData>
            </a:graphic>
          </wp:inline>
        </w:drawing>
      </w:r>
    </w:p>
    <w:p w14:paraId="0EB92D3D" w14:textId="77777777" w:rsidR="00942B31" w:rsidRDefault="00942B31" w:rsidP="00942B31">
      <w:pPr>
        <w:spacing w:after="80" w:line="240" w:lineRule="auto"/>
        <w:rPr>
          <w:lang w:eastAsia="zh-CN"/>
        </w:rPr>
      </w:pPr>
    </w:p>
    <w:p w14:paraId="71093A60" w14:textId="77777777" w:rsidR="000273E8" w:rsidRDefault="000273E8" w:rsidP="00942B31">
      <w:pPr>
        <w:spacing w:after="80" w:line="240" w:lineRule="auto"/>
        <w:rPr>
          <w:lang w:eastAsia="zh-CN"/>
        </w:rPr>
      </w:pPr>
    </w:p>
    <w:p w14:paraId="0A115E14" w14:textId="77777777" w:rsidR="000273E8" w:rsidRDefault="000273E8" w:rsidP="00942B31">
      <w:pPr>
        <w:spacing w:after="80" w:line="240" w:lineRule="auto"/>
        <w:rPr>
          <w:lang w:eastAsia="zh-CN"/>
        </w:rPr>
      </w:pPr>
    </w:p>
    <w:p w14:paraId="5752D9A4" w14:textId="77777777" w:rsidR="000273E8" w:rsidRDefault="000273E8" w:rsidP="00942B31">
      <w:pPr>
        <w:spacing w:after="80" w:line="240" w:lineRule="auto"/>
        <w:rPr>
          <w:lang w:eastAsia="zh-CN"/>
        </w:rPr>
      </w:pPr>
    </w:p>
    <w:p w14:paraId="20744125" w14:textId="77777777" w:rsidR="004E5857" w:rsidRDefault="004E5857" w:rsidP="00942B31">
      <w:pPr>
        <w:spacing w:before="40" w:after="100" w:line="240" w:lineRule="auto"/>
        <w:rPr>
          <w:sz w:val="19"/>
          <w:szCs w:val="24"/>
          <w:lang w:eastAsia="zh-CN"/>
        </w:rPr>
      </w:pPr>
    </w:p>
    <w:p w14:paraId="26F3F6BE" w14:textId="77777777" w:rsidR="004E5857" w:rsidRDefault="004E5857" w:rsidP="00942B31">
      <w:pPr>
        <w:spacing w:before="40" w:after="100" w:line="240" w:lineRule="auto"/>
        <w:rPr>
          <w:sz w:val="19"/>
          <w:szCs w:val="24"/>
          <w:lang w:eastAsia="zh-CN"/>
        </w:rPr>
      </w:pPr>
    </w:p>
    <w:p w14:paraId="784DA9BE" w14:textId="77777777" w:rsidR="004E5857" w:rsidRDefault="004E5857" w:rsidP="00942B31">
      <w:pPr>
        <w:spacing w:before="40" w:after="100" w:line="240" w:lineRule="auto"/>
        <w:rPr>
          <w:sz w:val="19"/>
          <w:szCs w:val="24"/>
          <w:lang w:eastAsia="zh-CN"/>
        </w:rPr>
      </w:pPr>
    </w:p>
    <w:p w14:paraId="5675CC3E" w14:textId="77777777" w:rsidR="004E5857" w:rsidRDefault="004E5857" w:rsidP="00942B31">
      <w:pPr>
        <w:spacing w:before="40" w:after="100" w:line="240" w:lineRule="auto"/>
        <w:rPr>
          <w:sz w:val="19"/>
          <w:szCs w:val="24"/>
          <w:lang w:eastAsia="zh-CN"/>
        </w:rPr>
      </w:pPr>
    </w:p>
    <w:p w14:paraId="002947DC" w14:textId="77777777" w:rsidR="000273E8" w:rsidRPr="004E5857" w:rsidRDefault="00942B31" w:rsidP="00942B31">
      <w:pPr>
        <w:spacing w:before="40" w:after="100" w:line="240" w:lineRule="auto"/>
        <w:rPr>
          <w:sz w:val="22"/>
          <w:lang w:eastAsia="zh-CN"/>
        </w:rPr>
      </w:pPr>
      <w:r w:rsidRPr="004E5857">
        <w:rPr>
          <w:sz w:val="22"/>
        </w:rPr>
        <w:lastRenderedPageBreak/>
        <w:t xml:space="preserve">Figure B2. </w:t>
      </w:r>
      <w:proofErr w:type="spellStart"/>
      <w:r w:rsidRPr="004E5857">
        <w:rPr>
          <w:sz w:val="22"/>
        </w:rPr>
        <w:t>SignalHarbor</w:t>
      </w:r>
      <w:proofErr w:type="spellEnd"/>
      <w:r w:rsidRPr="004E5857">
        <w:rPr>
          <w:sz w:val="22"/>
        </w:rPr>
        <w:t xml:space="preserve"> sentiment analytics interface. </w:t>
      </w:r>
    </w:p>
    <w:p w14:paraId="4AB67486" w14:textId="77777777" w:rsidR="00942B31" w:rsidRPr="004E5857" w:rsidRDefault="00942B31" w:rsidP="00942B31">
      <w:pPr>
        <w:spacing w:after="80" w:line="240" w:lineRule="auto"/>
        <w:rPr>
          <w:sz w:val="22"/>
          <w:lang w:eastAsia="zh-CN"/>
        </w:rPr>
      </w:pPr>
      <w:r w:rsidRPr="004E5857">
        <w:rPr>
          <w:sz w:val="22"/>
        </w:rPr>
        <w:t>The app displays the coverage-aware lagged sector sentiment signal by sector, allows the user to switch to the 0-100 display index, and summarises the base-versus-sentiment-fusion test using precomputed project results.</w:t>
      </w:r>
    </w:p>
    <w:p w14:paraId="54A11BF6" w14:textId="77777777" w:rsidR="00942B31" w:rsidRPr="00942B31" w:rsidRDefault="00942B31">
      <w:pPr>
        <w:spacing w:after="80" w:line="240" w:lineRule="auto"/>
        <w:rPr>
          <w:lang w:eastAsia="zh-CN"/>
        </w:rPr>
      </w:pPr>
      <w:r w:rsidRPr="00942B31">
        <w:rPr>
          <w:noProof/>
          <w:lang w:eastAsia="zh-CN"/>
        </w:rPr>
        <w:drawing>
          <wp:inline distT="0" distB="0" distL="0" distR="0" wp14:anchorId="001D5DB9" wp14:editId="01A1444C">
            <wp:extent cx="4892040" cy="6524287"/>
            <wp:effectExtent l="0" t="0" r="5080" b="0"/>
            <wp:docPr id="1952697534" name="图片 1" descr="图形用户界面, 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97534" name="图片 1" descr="图形用户界面, 图表, 折线图&#10;&#10;AI 生成的内容可能不正确。"/>
                    <pic:cNvPicPr/>
                  </pic:nvPicPr>
                  <pic:blipFill>
                    <a:blip r:embed="rId19"/>
                    <a:stretch>
                      <a:fillRect/>
                    </a:stretch>
                  </pic:blipFill>
                  <pic:spPr>
                    <a:xfrm>
                      <a:off x="0" y="0"/>
                      <a:ext cx="5441058" cy="7256488"/>
                    </a:xfrm>
                    <a:prstGeom prst="rect">
                      <a:avLst/>
                    </a:prstGeom>
                  </pic:spPr>
                </pic:pic>
              </a:graphicData>
            </a:graphic>
          </wp:inline>
        </w:drawing>
      </w:r>
    </w:p>
    <w:p w14:paraId="43BA8814" w14:textId="77777777" w:rsidR="003D4EDD" w:rsidRPr="008819C4" w:rsidRDefault="003D4EDD">
      <w:pPr>
        <w:pStyle w:val="1"/>
        <w:pageBreakBefore/>
        <w:spacing w:before="120" w:after="80" w:line="240" w:lineRule="auto"/>
        <w:rPr>
          <w:lang w:val="en-AU" w:eastAsia="zh-CN"/>
        </w:rPr>
      </w:pPr>
      <w:r>
        <w:rPr>
          <w:rFonts w:hint="eastAsia"/>
          <w:lang w:eastAsia="zh-CN"/>
        </w:rPr>
        <w:lastRenderedPageBreak/>
        <w:t>Reference</w:t>
      </w:r>
      <w:r w:rsidR="008819C4">
        <w:rPr>
          <w:rFonts w:hint="eastAsia"/>
          <w:lang w:eastAsia="zh-CN"/>
        </w:rPr>
        <w:t>s</w:t>
      </w:r>
    </w:p>
    <w:p w14:paraId="66034DB1" w14:textId="77777777" w:rsidR="00F3634D" w:rsidRDefault="00000000" w:rsidP="0072265B">
      <w:pPr>
        <w:spacing w:after="80" w:line="240" w:lineRule="auto"/>
        <w:jc w:val="both"/>
      </w:pPr>
      <w:r>
        <w:t>Baker, M. and Wurgler, J. (2007). Investor sentiment in the stock market. Journal of Economic Perspectives, 21(2), 129-152.</w:t>
      </w:r>
    </w:p>
    <w:p w14:paraId="27C864C1" w14:textId="77777777" w:rsidR="00F3634D" w:rsidRDefault="00000000" w:rsidP="0072265B">
      <w:pPr>
        <w:spacing w:after="80" w:line="240" w:lineRule="auto"/>
        <w:jc w:val="both"/>
      </w:pPr>
      <w:r>
        <w:t>DeMiguel, V., Garlappi, L. and Uppal, R. (2009). Optimal versus naive diversification: How inefficient is the 1/N portfolio strategy? Review of Financial Studies, 22(5), 1915-1953.</w:t>
      </w:r>
    </w:p>
    <w:p w14:paraId="4DCE17B4" w14:textId="77777777" w:rsidR="00F3634D" w:rsidRDefault="00000000" w:rsidP="0072265B">
      <w:pPr>
        <w:spacing w:after="80" w:line="240" w:lineRule="auto"/>
        <w:jc w:val="both"/>
      </w:pPr>
      <w:r>
        <w:t>Hutto, C. and Gilbert, E. (2014). VADER: A parsimonious rule-based model for sentiment analysis of social media text.</w:t>
      </w:r>
    </w:p>
    <w:p w14:paraId="76703B30" w14:textId="77777777" w:rsidR="00F3634D" w:rsidRDefault="00000000" w:rsidP="0072265B">
      <w:pPr>
        <w:spacing w:after="80" w:line="240" w:lineRule="auto"/>
        <w:jc w:val="both"/>
      </w:pPr>
      <w:r>
        <w:t>Maillard, S., Roncalli, T. and Teiletche, J. (2010). The properties of equally weighted risk contribution portfolios. Journal of Portfolio Management, 36(4), 60-70.</w:t>
      </w:r>
    </w:p>
    <w:p w14:paraId="4A9BA8BB" w14:textId="77777777" w:rsidR="00F3634D" w:rsidRDefault="00000000" w:rsidP="0072265B">
      <w:pPr>
        <w:spacing w:after="80" w:line="240" w:lineRule="auto"/>
        <w:jc w:val="both"/>
      </w:pPr>
      <w:r>
        <w:t>Markowitz, H. (1952). Portfolio selection. Journal of Finance, 7(1), 77-91.</w:t>
      </w:r>
    </w:p>
    <w:p w14:paraId="50A4F75B" w14:textId="77777777" w:rsidR="00F3634D" w:rsidRDefault="00000000" w:rsidP="0072265B">
      <w:pPr>
        <w:spacing w:after="80" w:line="240" w:lineRule="auto"/>
        <w:jc w:val="both"/>
      </w:pPr>
      <w:r>
        <w:t>Tetlock, P. (2007). Giving content to investor sentiment: The role of media in the stock market. Journal of Finance, 62(3), 1139-1168.</w:t>
      </w:r>
    </w:p>
    <w:p w14:paraId="63B24DB3" w14:textId="77777777" w:rsidR="00F3634D" w:rsidRDefault="00000000" w:rsidP="0072265B">
      <w:pPr>
        <w:spacing w:after="80" w:line="240" w:lineRule="auto"/>
        <w:jc w:val="both"/>
      </w:pPr>
      <w:r>
        <w:t>Official FINS3645 starter data: equity prices, crypto prices, and news headline files accessed via src/data_access.py.</w:t>
      </w:r>
    </w:p>
    <w:sectPr w:rsidR="00F3634D">
      <w:pgSz w:w="12240" w:h="15840"/>
      <w:pgMar w:top="1181" w:right="1181" w:bottom="1181"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37223" w14:textId="77777777" w:rsidR="002E7532" w:rsidRDefault="002E7532">
      <w:pPr>
        <w:spacing w:line="240" w:lineRule="auto"/>
      </w:pPr>
      <w:r>
        <w:separator/>
      </w:r>
    </w:p>
  </w:endnote>
  <w:endnote w:type="continuationSeparator" w:id="0">
    <w:p w14:paraId="783D0254" w14:textId="77777777" w:rsidR="002E7532" w:rsidRDefault="002E75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ambria">
    <w:altName w:val="苹方-简"/>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f6"/>
      </w:rPr>
      <w:id w:val="357326122"/>
      <w:docPartObj>
        <w:docPartGallery w:val="Page Numbers (Bottom of Page)"/>
        <w:docPartUnique/>
      </w:docPartObj>
    </w:sdtPr>
    <w:sdtContent>
      <w:p w14:paraId="3FAD332A" w14:textId="77777777" w:rsidR="005933E3" w:rsidRDefault="005933E3" w:rsidP="002919CB">
        <w:pPr>
          <w:pStyle w:val="ab"/>
          <w:framePr w:wrap="none" w:vAnchor="text" w:hAnchor="margin" w:xAlign="right" w:y="1"/>
          <w:rPr>
            <w:rStyle w:val="aff6"/>
          </w:rPr>
        </w:pPr>
        <w:r>
          <w:rPr>
            <w:rStyle w:val="aff6"/>
          </w:rPr>
          <w:fldChar w:fldCharType="begin"/>
        </w:r>
        <w:r>
          <w:rPr>
            <w:rStyle w:val="aff6"/>
          </w:rPr>
          <w:instrText xml:space="preserve"> PAGE </w:instrText>
        </w:r>
        <w:r>
          <w:rPr>
            <w:rStyle w:val="aff6"/>
          </w:rPr>
          <w:fldChar w:fldCharType="separate"/>
        </w:r>
        <w:r w:rsidR="00880C38">
          <w:rPr>
            <w:rStyle w:val="aff6"/>
            <w:noProof/>
          </w:rPr>
          <w:t>10</w:t>
        </w:r>
        <w:r>
          <w:rPr>
            <w:rStyle w:val="aff6"/>
          </w:rPr>
          <w:fldChar w:fldCharType="end"/>
        </w:r>
      </w:p>
    </w:sdtContent>
  </w:sdt>
  <w:p w14:paraId="7290B6F5" w14:textId="77777777" w:rsidR="005933E3" w:rsidRDefault="005933E3" w:rsidP="005933E3">
    <w:pPr>
      <w:pStyle w:val="ab"/>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f6"/>
      </w:rPr>
      <w:id w:val="-670333679"/>
      <w:docPartObj>
        <w:docPartGallery w:val="Page Numbers (Bottom of Page)"/>
        <w:docPartUnique/>
      </w:docPartObj>
    </w:sdtPr>
    <w:sdtContent>
      <w:p w14:paraId="72031BB9" w14:textId="77777777" w:rsidR="005933E3" w:rsidRDefault="005933E3" w:rsidP="002919CB">
        <w:pPr>
          <w:pStyle w:val="ab"/>
          <w:framePr w:wrap="none" w:vAnchor="text" w:hAnchor="margin" w:xAlign="right" w:y="1"/>
          <w:rPr>
            <w:rStyle w:val="aff6"/>
          </w:rPr>
        </w:pPr>
        <w:r>
          <w:rPr>
            <w:rStyle w:val="aff6"/>
          </w:rPr>
          <w:fldChar w:fldCharType="begin"/>
        </w:r>
        <w:r>
          <w:rPr>
            <w:rStyle w:val="aff6"/>
          </w:rPr>
          <w:instrText xml:space="preserve"> PAGE </w:instrText>
        </w:r>
        <w:r>
          <w:rPr>
            <w:rStyle w:val="aff6"/>
          </w:rPr>
          <w:fldChar w:fldCharType="separate"/>
        </w:r>
        <w:r>
          <w:rPr>
            <w:rStyle w:val="aff6"/>
            <w:noProof/>
          </w:rPr>
          <w:t>10</w:t>
        </w:r>
        <w:r>
          <w:rPr>
            <w:rStyle w:val="aff6"/>
          </w:rPr>
          <w:fldChar w:fldCharType="end"/>
        </w:r>
      </w:p>
    </w:sdtContent>
  </w:sdt>
  <w:p w14:paraId="7C4B6D5B" w14:textId="77777777" w:rsidR="005933E3" w:rsidRDefault="005933E3" w:rsidP="005933E3">
    <w:pPr>
      <w:pStyle w:val="ab"/>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18F8D" w14:textId="77777777" w:rsidR="002E7532" w:rsidRDefault="002E7532">
      <w:pPr>
        <w:spacing w:after="0"/>
      </w:pPr>
      <w:r>
        <w:separator/>
      </w:r>
    </w:p>
  </w:footnote>
  <w:footnote w:type="continuationSeparator" w:id="0">
    <w:p w14:paraId="193BA324" w14:textId="77777777" w:rsidR="002E7532" w:rsidRDefault="002E753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6" w15:restartNumberingAfterBreak="0">
    <w:nsid w:val="5A177D22"/>
    <w:multiLevelType w:val="multilevel"/>
    <w:tmpl w:val="5A177D22"/>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318967570">
    <w:abstractNumId w:val="1"/>
  </w:num>
  <w:num w:numId="2" w16cid:durableId="2096894832">
    <w:abstractNumId w:val="4"/>
  </w:num>
  <w:num w:numId="3" w16cid:durableId="1632594905">
    <w:abstractNumId w:val="5"/>
  </w:num>
  <w:num w:numId="4" w16cid:durableId="909269050">
    <w:abstractNumId w:val="2"/>
  </w:num>
  <w:num w:numId="5" w16cid:durableId="1217621930">
    <w:abstractNumId w:val="0"/>
  </w:num>
  <w:num w:numId="6" w16cid:durableId="1154031616">
    <w:abstractNumId w:val="3"/>
  </w:num>
  <w:num w:numId="7" w16cid:durableId="11505567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DB1FAF77"/>
    <w:rsid w:val="DBF698C9"/>
    <w:rsid w:val="FFF71271"/>
    <w:rsid w:val="00011515"/>
    <w:rsid w:val="000266E3"/>
    <w:rsid w:val="000273E8"/>
    <w:rsid w:val="00034616"/>
    <w:rsid w:val="00055A13"/>
    <w:rsid w:val="0006063C"/>
    <w:rsid w:val="00094718"/>
    <w:rsid w:val="000A3B6E"/>
    <w:rsid w:val="000B4B81"/>
    <w:rsid w:val="000D291C"/>
    <w:rsid w:val="00117D1C"/>
    <w:rsid w:val="0015074B"/>
    <w:rsid w:val="00164503"/>
    <w:rsid w:val="001823C4"/>
    <w:rsid w:val="001862F5"/>
    <w:rsid w:val="00191F2A"/>
    <w:rsid w:val="001A6D46"/>
    <w:rsid w:val="001D28AC"/>
    <w:rsid w:val="001F34D2"/>
    <w:rsid w:val="001F5BEA"/>
    <w:rsid w:val="00205D09"/>
    <w:rsid w:val="00217422"/>
    <w:rsid w:val="002376BA"/>
    <w:rsid w:val="002720F5"/>
    <w:rsid w:val="0028043B"/>
    <w:rsid w:val="0029639D"/>
    <w:rsid w:val="002A7AE8"/>
    <w:rsid w:val="002B1C43"/>
    <w:rsid w:val="002B63D9"/>
    <w:rsid w:val="002C3896"/>
    <w:rsid w:val="002D1468"/>
    <w:rsid w:val="002D4ADB"/>
    <w:rsid w:val="002E0E0C"/>
    <w:rsid w:val="002E7532"/>
    <w:rsid w:val="00317FF1"/>
    <w:rsid w:val="00320302"/>
    <w:rsid w:val="00326F90"/>
    <w:rsid w:val="00333A81"/>
    <w:rsid w:val="00341536"/>
    <w:rsid w:val="003572D4"/>
    <w:rsid w:val="00375994"/>
    <w:rsid w:val="003D2908"/>
    <w:rsid w:val="003D4EDD"/>
    <w:rsid w:val="00404E82"/>
    <w:rsid w:val="00422D0E"/>
    <w:rsid w:val="00424369"/>
    <w:rsid w:val="0043356F"/>
    <w:rsid w:val="004859BC"/>
    <w:rsid w:val="00486C5C"/>
    <w:rsid w:val="00496209"/>
    <w:rsid w:val="004A0B46"/>
    <w:rsid w:val="004A1778"/>
    <w:rsid w:val="004A3550"/>
    <w:rsid w:val="004C0282"/>
    <w:rsid w:val="004E3839"/>
    <w:rsid w:val="004E5857"/>
    <w:rsid w:val="00502C9F"/>
    <w:rsid w:val="005164D9"/>
    <w:rsid w:val="0053699D"/>
    <w:rsid w:val="005444AF"/>
    <w:rsid w:val="005900DD"/>
    <w:rsid w:val="005933E3"/>
    <w:rsid w:val="005A4863"/>
    <w:rsid w:val="005B33A4"/>
    <w:rsid w:val="005D6B15"/>
    <w:rsid w:val="0061073F"/>
    <w:rsid w:val="00616A8B"/>
    <w:rsid w:val="00630A48"/>
    <w:rsid w:val="0063264E"/>
    <w:rsid w:val="00663622"/>
    <w:rsid w:val="006C7876"/>
    <w:rsid w:val="00712742"/>
    <w:rsid w:val="0072265B"/>
    <w:rsid w:val="007306BC"/>
    <w:rsid w:val="0073105B"/>
    <w:rsid w:val="00761F35"/>
    <w:rsid w:val="007641D7"/>
    <w:rsid w:val="007725F7"/>
    <w:rsid w:val="00772EED"/>
    <w:rsid w:val="007824A7"/>
    <w:rsid w:val="007879C4"/>
    <w:rsid w:val="00790945"/>
    <w:rsid w:val="00791872"/>
    <w:rsid w:val="007C5F41"/>
    <w:rsid w:val="00802087"/>
    <w:rsid w:val="00825538"/>
    <w:rsid w:val="00827FBD"/>
    <w:rsid w:val="0083369A"/>
    <w:rsid w:val="00842239"/>
    <w:rsid w:val="00880C38"/>
    <w:rsid w:val="008819C4"/>
    <w:rsid w:val="008B78A3"/>
    <w:rsid w:val="008C146C"/>
    <w:rsid w:val="008C5A47"/>
    <w:rsid w:val="008D098A"/>
    <w:rsid w:val="008D384D"/>
    <w:rsid w:val="008E2097"/>
    <w:rsid w:val="00903509"/>
    <w:rsid w:val="00910CFF"/>
    <w:rsid w:val="009208EA"/>
    <w:rsid w:val="00927EA3"/>
    <w:rsid w:val="00942B31"/>
    <w:rsid w:val="009473B7"/>
    <w:rsid w:val="009617BF"/>
    <w:rsid w:val="00982148"/>
    <w:rsid w:val="009A2C3E"/>
    <w:rsid w:val="009B2E8F"/>
    <w:rsid w:val="009C451C"/>
    <w:rsid w:val="009E0810"/>
    <w:rsid w:val="00A06749"/>
    <w:rsid w:val="00A33D39"/>
    <w:rsid w:val="00A70A34"/>
    <w:rsid w:val="00A744FD"/>
    <w:rsid w:val="00A9543F"/>
    <w:rsid w:val="00A964DB"/>
    <w:rsid w:val="00AA1D8D"/>
    <w:rsid w:val="00AA7FE3"/>
    <w:rsid w:val="00AC4E91"/>
    <w:rsid w:val="00AE19AD"/>
    <w:rsid w:val="00AE3704"/>
    <w:rsid w:val="00AE7D96"/>
    <w:rsid w:val="00B0296A"/>
    <w:rsid w:val="00B11EF3"/>
    <w:rsid w:val="00B47730"/>
    <w:rsid w:val="00B55BA7"/>
    <w:rsid w:val="00B63BDC"/>
    <w:rsid w:val="00BB4F68"/>
    <w:rsid w:val="00BD112F"/>
    <w:rsid w:val="00C16C8C"/>
    <w:rsid w:val="00C17FE7"/>
    <w:rsid w:val="00C44223"/>
    <w:rsid w:val="00C446BB"/>
    <w:rsid w:val="00C6186B"/>
    <w:rsid w:val="00C8122A"/>
    <w:rsid w:val="00C9073B"/>
    <w:rsid w:val="00CB0664"/>
    <w:rsid w:val="00CB58B7"/>
    <w:rsid w:val="00CC2403"/>
    <w:rsid w:val="00CF03C3"/>
    <w:rsid w:val="00D0169D"/>
    <w:rsid w:val="00D43DA9"/>
    <w:rsid w:val="00D64E54"/>
    <w:rsid w:val="00D67904"/>
    <w:rsid w:val="00D81744"/>
    <w:rsid w:val="00D87DB8"/>
    <w:rsid w:val="00DA27DE"/>
    <w:rsid w:val="00DA3529"/>
    <w:rsid w:val="00DB5D39"/>
    <w:rsid w:val="00DE19FD"/>
    <w:rsid w:val="00DE68EF"/>
    <w:rsid w:val="00E034FD"/>
    <w:rsid w:val="00E107A7"/>
    <w:rsid w:val="00E12786"/>
    <w:rsid w:val="00E41879"/>
    <w:rsid w:val="00E55801"/>
    <w:rsid w:val="00E56227"/>
    <w:rsid w:val="00E60D08"/>
    <w:rsid w:val="00E97308"/>
    <w:rsid w:val="00EA3CFB"/>
    <w:rsid w:val="00EB2EC1"/>
    <w:rsid w:val="00EE3AEA"/>
    <w:rsid w:val="00EF04C4"/>
    <w:rsid w:val="00EF58C3"/>
    <w:rsid w:val="00EF60D4"/>
    <w:rsid w:val="00F1611B"/>
    <w:rsid w:val="00F205BC"/>
    <w:rsid w:val="00F245BD"/>
    <w:rsid w:val="00F35E8D"/>
    <w:rsid w:val="00F3634D"/>
    <w:rsid w:val="00F54713"/>
    <w:rsid w:val="00F628D8"/>
    <w:rsid w:val="00F769C8"/>
    <w:rsid w:val="00F93237"/>
    <w:rsid w:val="00FB230F"/>
    <w:rsid w:val="00FC693F"/>
    <w:rsid w:val="00FE51BD"/>
    <w:rsid w:val="00FE5F67"/>
    <w:rsid w:val="00FF60B3"/>
    <w:rsid w:val="1FDF0F7A"/>
    <w:rsid w:val="753FFE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FA80FA"/>
  <w14:defaultImageDpi w14:val="300"/>
  <w15:docId w15:val="{51B957B5-FA53-0545-8275-8FAA9F273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120" w:line="264" w:lineRule="auto"/>
    </w:pPr>
    <w:rPr>
      <w:rFonts w:ascii="Calibri" w:hAnsi="Calibri"/>
      <w:sz w:val="21"/>
      <w:szCs w:val="22"/>
      <w:lang w:eastAsia="en-US"/>
    </w:rPr>
  </w:style>
  <w:style w:type="paragraph" w:styleId="1">
    <w:name w:val="heading 1"/>
    <w:basedOn w:val="a1"/>
    <w:next w:val="a1"/>
    <w:link w:val="10"/>
    <w:uiPriority w:val="9"/>
    <w:qFormat/>
    <w:pPr>
      <w:keepNext/>
      <w:keepLines/>
      <w:spacing w:before="240"/>
      <w:outlineLvl w:val="0"/>
    </w:pPr>
    <w:rPr>
      <w:rFonts w:asciiTheme="majorHAnsi" w:eastAsiaTheme="majorEastAsia" w:hAnsiTheme="majorHAnsi" w:cstheme="majorBidi"/>
      <w:b/>
      <w:bCs/>
      <w:color w:val="2E74B5"/>
      <w:sz w:val="30"/>
      <w:szCs w:val="28"/>
    </w:rPr>
  </w:style>
  <w:style w:type="paragraph" w:styleId="21">
    <w:name w:val="heading 2"/>
    <w:basedOn w:val="a1"/>
    <w:next w:val="a1"/>
    <w:link w:val="22"/>
    <w:uiPriority w:val="9"/>
    <w:unhideWhenUsed/>
    <w:qFormat/>
    <w:pPr>
      <w:keepNext/>
      <w:keepLines/>
      <w:spacing w:before="240"/>
      <w:outlineLvl w:val="1"/>
    </w:pPr>
    <w:rPr>
      <w:rFonts w:asciiTheme="majorHAnsi" w:eastAsiaTheme="majorEastAsia" w:hAnsiTheme="majorHAnsi" w:cstheme="majorBidi"/>
      <w:b/>
      <w:bCs/>
      <w:color w:val="2E74B5"/>
      <w:sz w:val="25"/>
      <w:szCs w:val="26"/>
    </w:rPr>
  </w:style>
  <w:style w:type="paragraph" w:styleId="31">
    <w:name w:val="heading 3"/>
    <w:basedOn w:val="a1"/>
    <w:next w:val="a1"/>
    <w:link w:val="32"/>
    <w:uiPriority w:val="9"/>
    <w:unhideWhenUsed/>
    <w:qFormat/>
    <w:pPr>
      <w:keepNext/>
      <w:keepLines/>
      <w:spacing w:before="240"/>
      <w:outlineLvl w:val="2"/>
    </w:pPr>
    <w:rPr>
      <w:rFonts w:asciiTheme="majorHAnsi" w:eastAsiaTheme="majorEastAsia" w:hAnsiTheme="majorHAnsi" w:cstheme="majorBidi"/>
      <w:b/>
      <w:bCs/>
      <w:color w:val="1F4D78"/>
      <w:sz w:val="24"/>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pPr>
      <w:numPr>
        <w:numId w:val="3"/>
      </w:numPr>
      <w:contextualSpacing/>
    </w:pPr>
  </w:style>
  <w:style w:type="paragraph" w:styleId="34">
    <w:name w:val="Body Text 3"/>
    <w:basedOn w:val="a1"/>
    <w:link w:val="35"/>
    <w:uiPriority w:val="99"/>
    <w:unhideWhenUsed/>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pPr>
      <w:ind w:left="360"/>
      <w:contextualSpacing/>
    </w:pPr>
  </w:style>
  <w:style w:type="paragraph" w:styleId="20">
    <w:name w:val="List Bullet 2"/>
    <w:basedOn w:val="a1"/>
    <w:uiPriority w:val="99"/>
    <w:unhideWhenUsed/>
    <w:pPr>
      <w:numPr>
        <w:numId w:val="6"/>
      </w:numPr>
      <w:contextualSpacing/>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pPr>
      <w:ind w:left="360" w:hanging="360"/>
      <w:contextualSpacing/>
    </w:pPr>
  </w:style>
  <w:style w:type="paragraph" w:styleId="24">
    <w:name w:val="Body Text 2"/>
    <w:basedOn w:val="a1"/>
    <w:link w:val="25"/>
    <w:uiPriority w:val="99"/>
    <w:unhideWhenUsed/>
    <w:pPr>
      <w:spacing w:line="480" w:lineRule="auto"/>
    </w:pPr>
  </w:style>
  <w:style w:type="paragraph" w:styleId="26">
    <w:name w:val="List Continue 2"/>
    <w:basedOn w:val="a1"/>
    <w:uiPriority w:val="99"/>
    <w:unhideWhenUsed/>
    <w:pPr>
      <w:ind w:left="720"/>
      <w:contextualSpacing/>
    </w:pPr>
  </w:style>
  <w:style w:type="paragraph" w:styleId="af2">
    <w:name w:val="Normal (Web)"/>
    <w:basedOn w:val="a1"/>
    <w:uiPriority w:val="99"/>
    <w:unhideWhenUsed/>
    <w:pPr>
      <w:spacing w:before="100" w:beforeAutospacing="1" w:after="100" w:afterAutospacing="1" w:line="240" w:lineRule="auto"/>
    </w:pPr>
    <w:rPr>
      <w:rFonts w:ascii="宋体" w:eastAsia="宋体" w:hAnsi="宋体" w:cs="宋体"/>
      <w:sz w:val="24"/>
      <w:szCs w:val="24"/>
      <w:lang w:eastAsia="zh-CN"/>
    </w:rPr>
  </w:style>
  <w:style w:type="paragraph" w:styleId="36">
    <w:name w:val="List Continue 3"/>
    <w:basedOn w:val="a1"/>
    <w:uiPriority w:val="99"/>
    <w:unhideWhenUsed/>
    <w:pPr>
      <w:ind w:left="1080"/>
      <w:contextualSpacing/>
    </w:pPr>
  </w:style>
  <w:style w:type="paragraph" w:styleId="af3">
    <w:name w:val="Title"/>
    <w:basedOn w:val="a1"/>
    <w:next w:val="a1"/>
    <w:link w:val="af4"/>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5">
    <w:name w:val="Table Grid"/>
    <w:basedOn w:val="a3"/>
    <w:uiPriority w:val="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6">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7">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8">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9">
    <w:name w:val="Dark List"/>
    <w:basedOn w:val="a3"/>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a">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b">
    <w:name w:val="Colorful List"/>
    <w:basedOn w:val="a3"/>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c">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d">
    <w:name w:val="Strong"/>
    <w:basedOn w:val="a2"/>
    <w:uiPriority w:val="22"/>
    <w:qFormat/>
    <w:rPr>
      <w:b/>
      <w:bCs/>
    </w:rPr>
  </w:style>
  <w:style w:type="character" w:styleId="afe">
    <w:name w:val="Emphasis"/>
    <w:basedOn w:val="a2"/>
    <w:uiPriority w:val="20"/>
    <w:qFormat/>
    <w:rPr>
      <w:i/>
      <w:iCs/>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f">
    <w:name w:val="No Spacing"/>
    <w:uiPriority w:val="1"/>
    <w:qFormat/>
    <w:rPr>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4">
    <w:name w:val="标题 字符"/>
    <w:basedOn w:val="a2"/>
    <w:link w:val="af3"/>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rPr>
      <w:rFonts w:asciiTheme="majorHAnsi" w:eastAsiaTheme="majorEastAsia" w:hAnsiTheme="majorHAnsi" w:cstheme="majorBidi"/>
      <w:i/>
      <w:iCs/>
      <w:color w:val="4F81BD" w:themeColor="accent1"/>
      <w:spacing w:val="15"/>
      <w:sz w:val="24"/>
      <w:szCs w:val="24"/>
    </w:rPr>
  </w:style>
  <w:style w:type="paragraph" w:styleId="aff0">
    <w:name w:val="List Paragraph"/>
    <w:basedOn w:val="a1"/>
    <w:uiPriority w:val="34"/>
    <w:qFormat/>
    <w:pPr>
      <w:ind w:left="720"/>
      <w:contextualSpacing/>
    </w:pPr>
  </w:style>
  <w:style w:type="character" w:customStyle="1" w:styleId="a9">
    <w:name w:val="正文文本 字符"/>
    <w:basedOn w:val="a2"/>
    <w:link w:val="a8"/>
    <w:uiPriority w:val="99"/>
  </w:style>
  <w:style w:type="character" w:customStyle="1" w:styleId="25">
    <w:name w:val="正文文本 2 字符"/>
    <w:basedOn w:val="a2"/>
    <w:link w:val="24"/>
    <w:uiPriority w:val="99"/>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rPr>
      <w:rFonts w:ascii="Courier" w:hAnsi="Courier"/>
      <w:sz w:val="20"/>
      <w:szCs w:val="20"/>
    </w:rPr>
  </w:style>
  <w:style w:type="paragraph" w:styleId="aff1">
    <w:name w:val="Quote"/>
    <w:basedOn w:val="a1"/>
    <w:next w:val="a1"/>
    <w:link w:val="aff2"/>
    <w:uiPriority w:val="29"/>
    <w:qFormat/>
    <w:rPr>
      <w:i/>
      <w:iCs/>
      <w:color w:val="000000" w:themeColor="text1"/>
    </w:rPr>
  </w:style>
  <w:style w:type="character" w:customStyle="1" w:styleId="aff2">
    <w:name w:val="引用 字符"/>
    <w:basedOn w:val="a2"/>
    <w:link w:val="aff1"/>
    <w:uiPriority w:val="29"/>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3">
    <w:name w:val="Intense Quote"/>
    <w:basedOn w:val="a1"/>
    <w:next w:val="a1"/>
    <w:link w:val="aff4"/>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4">
    <w:name w:val="明显引用 字符"/>
    <w:basedOn w:val="a2"/>
    <w:link w:val="aff3"/>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 w:type="paragraph" w:customStyle="1" w:styleId="pdq2pgselectionanchorcontainer">
    <w:name w:val="pdq2pg_selectionanchorcontainer"/>
    <w:basedOn w:val="a1"/>
    <w:pPr>
      <w:spacing w:before="100" w:beforeAutospacing="1" w:after="100" w:afterAutospacing="1" w:line="240" w:lineRule="auto"/>
    </w:pPr>
    <w:rPr>
      <w:rFonts w:ascii="宋体" w:eastAsia="宋体" w:hAnsi="宋体" w:cs="宋体"/>
      <w:sz w:val="24"/>
      <w:szCs w:val="24"/>
      <w:lang w:eastAsia="zh-CN"/>
    </w:rPr>
  </w:style>
  <w:style w:type="character" w:styleId="aff5">
    <w:name w:val="Placeholder Text"/>
    <w:basedOn w:val="a2"/>
    <w:uiPriority w:val="99"/>
    <w:unhideWhenUsed/>
    <w:rPr>
      <w:color w:val="666666"/>
    </w:rPr>
  </w:style>
  <w:style w:type="character" w:customStyle="1" w:styleId="mord">
    <w:name w:val="mord"/>
    <w:basedOn w:val="a2"/>
  </w:style>
  <w:style w:type="character" w:customStyle="1" w:styleId="vlist-s">
    <w:name w:val="vlist-s"/>
    <w:basedOn w:val="a2"/>
  </w:style>
  <w:style w:type="character" w:customStyle="1" w:styleId="mspace">
    <w:name w:val="mspace"/>
    <w:basedOn w:val="a2"/>
  </w:style>
  <w:style w:type="character" w:customStyle="1" w:styleId="mpunct">
    <w:name w:val="mpunct"/>
    <w:basedOn w:val="a2"/>
  </w:style>
  <w:style w:type="character" w:customStyle="1" w:styleId="mbin">
    <w:name w:val="mbin"/>
    <w:basedOn w:val="a2"/>
  </w:style>
  <w:style w:type="character" w:customStyle="1" w:styleId="mrel">
    <w:name w:val="mrel"/>
    <w:basedOn w:val="a2"/>
  </w:style>
  <w:style w:type="character" w:styleId="aff6">
    <w:name w:val="page number"/>
    <w:basedOn w:val="a2"/>
    <w:uiPriority w:val="99"/>
    <w:semiHidden/>
    <w:unhideWhenUsed/>
    <w:rsid w:val="005933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E83879-BC66-124C-9C34-7952727CDB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320</TotalTime>
  <Pages>16</Pages>
  <Words>5223</Words>
  <Characters>29772</Characters>
  <Application>Microsoft Office Word</Application>
  <DocSecurity>0</DocSecurity>
  <Lines>248</Lines>
  <Paragraphs>69</Paragraphs>
  <ScaleCrop>false</ScaleCrop>
  <Company/>
  <LinksUpToDate>false</LinksUpToDate>
  <CharactersWithSpaces>34926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hdh050118@qq.com</cp:lastModifiedBy>
  <cp:revision>75</cp:revision>
  <dcterms:created xsi:type="dcterms:W3CDTF">2013-12-24T19:15:00Z</dcterms:created>
  <dcterms:modified xsi:type="dcterms:W3CDTF">2026-08-12T12:23:00Z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2052-6.5.1.8687</vt:lpwstr>
  </property>
  <property fmtid="{D5CDD505-2E9C-101B-9397-08002B2CF9AE}" pid="3" name="ICV">
    <vt:lpwstr>C8A2CB28AAF4959ABA1E786A9A3EC72D_43</vt:lpwstr>
  </property>
</Properties>
</file>