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5D5" w:rsidRDefault="008435A0" w:rsidP="008435A0">
      <w:pPr>
        <w:jc w:val="center"/>
      </w:pPr>
      <w:r>
        <w:t>TESA/NOG LRP Workshop Background Reading</w:t>
      </w:r>
    </w:p>
    <w:p w:rsidR="008435A0" w:rsidRDefault="008435A0" w:rsidP="008435A0">
      <w:r>
        <w:t>Required:</w:t>
      </w:r>
    </w:p>
    <w:p w:rsidR="008435A0" w:rsidRDefault="008435A0" w:rsidP="008435A0">
      <w:pPr>
        <w:pStyle w:val="ListParagraph"/>
        <w:numPr>
          <w:ilvl w:val="0"/>
          <w:numId w:val="1"/>
        </w:numPr>
      </w:pPr>
      <w:r>
        <w:t xml:space="preserve">DFO’s </w:t>
      </w:r>
      <w:r w:rsidRPr="008435A0">
        <w:t>A fishery decision-making framework incorporating the precautionary approach</w:t>
      </w:r>
      <w:r>
        <w:t xml:space="preserve"> (20 mins) [</w:t>
      </w:r>
      <w:hyperlink r:id="rId7" w:history="1">
        <w:r w:rsidRPr="008435A0">
          <w:rPr>
            <w:rStyle w:val="Hyperlink"/>
          </w:rPr>
          <w:t>DFO 2009</w:t>
        </w:r>
      </w:hyperlink>
      <w:r>
        <w:t>]</w:t>
      </w:r>
    </w:p>
    <w:p w:rsidR="008435A0" w:rsidRDefault="008435A0" w:rsidP="008435A0"/>
    <w:p w:rsidR="008435A0" w:rsidRDefault="008435A0" w:rsidP="008435A0">
      <w:r>
        <w:t>Additional Resources (optional and for future reference):</w:t>
      </w:r>
      <w:bookmarkStart w:id="0" w:name="_GoBack"/>
      <w:bookmarkEnd w:id="0"/>
    </w:p>
    <w:p w:rsidR="008435A0" w:rsidRDefault="008435A0" w:rsidP="008435A0">
      <w:r>
        <w:t>DFO:</w:t>
      </w:r>
    </w:p>
    <w:p w:rsidR="008435A0" w:rsidRDefault="008435A0" w:rsidP="003C102D">
      <w:pPr>
        <w:pStyle w:val="ListParagraph"/>
        <w:numPr>
          <w:ilvl w:val="0"/>
          <w:numId w:val="1"/>
        </w:numPr>
      </w:pPr>
      <w:r>
        <w:t>Limits to overfishing: reference points in the context of the Canadian perspective on the precautionary approach [</w:t>
      </w:r>
      <w:hyperlink r:id="rId8" w:history="1">
        <w:r w:rsidRPr="008435A0">
          <w:rPr>
            <w:rStyle w:val="Hyperlink"/>
          </w:rPr>
          <w:t>Shelton and Rice 2002</w:t>
        </w:r>
      </w:hyperlink>
      <w:r>
        <w:t>]</w:t>
      </w:r>
    </w:p>
    <w:p w:rsidR="003C102D" w:rsidRDefault="003C102D" w:rsidP="003C102D">
      <w:pPr>
        <w:pStyle w:val="ListParagraph"/>
        <w:numPr>
          <w:ilvl w:val="0"/>
          <w:numId w:val="1"/>
        </w:numPr>
      </w:pPr>
      <w:r>
        <w:t>National Workshop on Reference Points for Gadoids, Ottawa, November 5-8, 2002 [</w:t>
      </w:r>
      <w:hyperlink r:id="rId9" w:history="1">
        <w:r w:rsidRPr="003C102D">
          <w:rPr>
            <w:rStyle w:val="Hyperlink"/>
          </w:rPr>
          <w:t>Rivard and Rice 2003</w:t>
        </w:r>
      </w:hyperlink>
      <w:r>
        <w:t>]</w:t>
      </w:r>
    </w:p>
    <w:p w:rsidR="003C102D" w:rsidRDefault="003C102D" w:rsidP="003C102D">
      <w:pPr>
        <w:pStyle w:val="ListParagraph"/>
        <w:numPr>
          <w:ilvl w:val="0"/>
          <w:numId w:val="1"/>
        </w:numPr>
      </w:pPr>
      <w:r>
        <w:t>Workshop on Biological Reference Points for Invertebrate Fisheries held in Halifax, Nova Scotia, 2–5 December 2002: Abstracts and Proceedings [</w:t>
      </w:r>
      <w:hyperlink r:id="rId10" w:history="1">
        <w:r w:rsidRPr="00864D13">
          <w:rPr>
            <w:rStyle w:val="Hyperlink"/>
          </w:rPr>
          <w:t>Smith 2003</w:t>
        </w:r>
      </w:hyperlink>
      <w:r>
        <w:t>]</w:t>
      </w:r>
    </w:p>
    <w:p w:rsidR="000052AA" w:rsidRDefault="000052AA" w:rsidP="003C102D">
      <w:pPr>
        <w:pStyle w:val="ListParagraph"/>
        <w:numPr>
          <w:ilvl w:val="0"/>
          <w:numId w:val="1"/>
        </w:numPr>
      </w:pPr>
      <w:r>
        <w:t>Canada’s Policy for Conservation of Wild Pacific Salmon [</w:t>
      </w:r>
      <w:hyperlink r:id="rId11" w:history="1">
        <w:r w:rsidRPr="000052AA">
          <w:rPr>
            <w:rStyle w:val="Hyperlink"/>
          </w:rPr>
          <w:t>DFO 2005</w:t>
        </w:r>
      </w:hyperlink>
      <w:r>
        <w:t>]</w:t>
      </w:r>
    </w:p>
    <w:p w:rsidR="00864D13" w:rsidRDefault="00864D13" w:rsidP="00864D13">
      <w:pPr>
        <w:pStyle w:val="ListParagraph"/>
        <w:numPr>
          <w:ilvl w:val="0"/>
          <w:numId w:val="1"/>
        </w:numPr>
      </w:pPr>
      <w:r>
        <w:t>Proceedings of the National Workshop for Technical Expertise in Stock Assessment (TESA): Maximum Sustainable Yield (MSY) Reference Points and the Precautionary Approach when Productivity Varies [</w:t>
      </w:r>
      <w:hyperlink r:id="rId12" w:history="1">
        <w:r w:rsidRPr="00864D13">
          <w:rPr>
            <w:rStyle w:val="Hyperlink"/>
          </w:rPr>
          <w:t>Cadigan and Duplisea 2012</w:t>
        </w:r>
      </w:hyperlink>
      <w:r>
        <w:t>]</w:t>
      </w:r>
    </w:p>
    <w:p w:rsidR="003C102D" w:rsidRDefault="003C102D" w:rsidP="00864D13">
      <w:pPr>
        <w:pStyle w:val="ListParagraph"/>
        <w:numPr>
          <w:ilvl w:val="0"/>
          <w:numId w:val="1"/>
        </w:numPr>
      </w:pPr>
      <w:r>
        <w:t>Development of reference points for Atlantic Salmon (</w:t>
      </w:r>
      <w:r w:rsidRPr="00867564">
        <w:rPr>
          <w:i/>
        </w:rPr>
        <w:t>Salmo salar</w:t>
      </w:r>
      <w:r>
        <w:t>) that conform to the Precautionary Approach [</w:t>
      </w:r>
      <w:hyperlink r:id="rId13" w:history="1">
        <w:r w:rsidRPr="003C102D">
          <w:rPr>
            <w:rStyle w:val="Hyperlink"/>
          </w:rPr>
          <w:t>DFO 2015</w:t>
        </w:r>
      </w:hyperlink>
      <w:r>
        <w:t>]</w:t>
      </w:r>
    </w:p>
    <w:p w:rsidR="00864D13" w:rsidRDefault="00864D13" w:rsidP="00864D13">
      <w:pPr>
        <w:pStyle w:val="ListParagraph"/>
        <w:numPr>
          <w:ilvl w:val="0"/>
          <w:numId w:val="1"/>
        </w:numPr>
      </w:pPr>
      <w:r>
        <w:t>The Selection and Role of Limit Reference Points for Pacific Herring (</w:t>
      </w:r>
      <w:r w:rsidRPr="00864D13">
        <w:rPr>
          <w:i/>
        </w:rPr>
        <w:t>Clupea pallasii</w:t>
      </w:r>
      <w:r>
        <w:t>) in British Columbia, Canada [</w:t>
      </w:r>
      <w:hyperlink r:id="rId14" w:history="1">
        <w:r w:rsidRPr="00864D13">
          <w:rPr>
            <w:rStyle w:val="Hyperlink"/>
          </w:rPr>
          <w:t>Kronlund et al. 2018</w:t>
        </w:r>
      </w:hyperlink>
      <w:r>
        <w:t>]</w:t>
      </w:r>
    </w:p>
    <w:p w:rsidR="003C102D" w:rsidRDefault="003C102D" w:rsidP="003C102D">
      <w:pPr>
        <w:pStyle w:val="ListParagraph"/>
        <w:numPr>
          <w:ilvl w:val="0"/>
          <w:numId w:val="1"/>
        </w:numPr>
      </w:pPr>
      <w:r w:rsidRPr="00864D13">
        <w:t>Specification of Precautionary Approach Reference Points and Harvest Control Rules in Domestically Managed and Assessed Major Fish Stocks In Canada</w:t>
      </w:r>
      <w:r>
        <w:t xml:space="preserve"> [</w:t>
      </w:r>
      <w:hyperlink r:id="rId15" w:history="1">
        <w:r w:rsidRPr="009E76D2">
          <w:rPr>
            <w:rStyle w:val="Hyperlink"/>
          </w:rPr>
          <w:t>Marentette et al. 2021</w:t>
        </w:r>
      </w:hyperlink>
      <w:r>
        <w:t>]</w:t>
      </w:r>
    </w:p>
    <w:p w:rsidR="003C102D" w:rsidRDefault="003C102D" w:rsidP="003C102D">
      <w:pPr>
        <w:pStyle w:val="ListParagraph"/>
        <w:numPr>
          <w:ilvl w:val="0"/>
          <w:numId w:val="1"/>
        </w:numPr>
      </w:pPr>
      <w:r>
        <w:t>Science Advice for Precautionary Approach Harvest Strategies Under the Fish Stocks Provisions [</w:t>
      </w:r>
      <w:hyperlink r:id="rId16" w:history="1">
        <w:r w:rsidRPr="00864D13">
          <w:rPr>
            <w:rStyle w:val="Hyperlink"/>
          </w:rPr>
          <w:t>DFO 2021</w:t>
        </w:r>
      </w:hyperlink>
      <w:r>
        <w:t>]</w:t>
      </w:r>
    </w:p>
    <w:p w:rsidR="000052AA" w:rsidRDefault="000052AA" w:rsidP="003C102D">
      <w:pPr>
        <w:pStyle w:val="ListParagraph"/>
        <w:numPr>
          <w:ilvl w:val="0"/>
          <w:numId w:val="1"/>
        </w:numPr>
      </w:pPr>
      <w:r>
        <w:t>Science Guidelines to Support Development of Rebuilding Plans for Canadian Fish Stocks [</w:t>
      </w:r>
      <w:hyperlink r:id="rId17" w:history="1">
        <w:r w:rsidRPr="000052AA">
          <w:rPr>
            <w:rStyle w:val="Hyperlink"/>
          </w:rPr>
          <w:t>DFO 2021</w:t>
        </w:r>
      </w:hyperlink>
      <w:r>
        <w:t>]</w:t>
      </w:r>
    </w:p>
    <w:p w:rsidR="008435A0" w:rsidRDefault="008435A0" w:rsidP="008435A0">
      <w:r>
        <w:t>Other Jurisdictions:</w:t>
      </w:r>
    </w:p>
    <w:p w:rsidR="008435A0" w:rsidRDefault="008435A0" w:rsidP="008435A0">
      <w:pPr>
        <w:pStyle w:val="ListParagraph"/>
        <w:numPr>
          <w:ilvl w:val="0"/>
          <w:numId w:val="1"/>
        </w:numPr>
      </w:pPr>
      <w:r w:rsidRPr="008435A0">
        <w:t>Best Practice Reference Points for Australian Fisheries</w:t>
      </w:r>
      <w:r>
        <w:t xml:space="preserve"> [</w:t>
      </w:r>
      <w:hyperlink r:id="rId18" w:history="1">
        <w:r w:rsidRPr="008435A0">
          <w:rPr>
            <w:rStyle w:val="Hyperlink"/>
          </w:rPr>
          <w:t>Sainsbury 2008</w:t>
        </w:r>
      </w:hyperlink>
      <w:r>
        <w:t>]</w:t>
      </w:r>
    </w:p>
    <w:p w:rsidR="00864D13" w:rsidRDefault="00864D13" w:rsidP="00864D13">
      <w:pPr>
        <w:pStyle w:val="ListParagraph"/>
        <w:numPr>
          <w:ilvl w:val="0"/>
          <w:numId w:val="1"/>
        </w:numPr>
      </w:pPr>
      <w:r>
        <w:t>Guidelines for the Implementation of the Commonwealth Fisheries Harvest Strategy Policy [</w:t>
      </w:r>
      <w:hyperlink r:id="rId19" w:history="1">
        <w:r w:rsidRPr="00864D13">
          <w:rPr>
            <w:rStyle w:val="Hyperlink"/>
          </w:rPr>
          <w:t>Australia 2018</w:t>
        </w:r>
      </w:hyperlink>
      <w:r>
        <w:t>]</w:t>
      </w:r>
    </w:p>
    <w:p w:rsidR="008435A0" w:rsidRDefault="008435A0" w:rsidP="008435A0">
      <w:pPr>
        <w:pStyle w:val="ListParagraph"/>
        <w:numPr>
          <w:ilvl w:val="0"/>
          <w:numId w:val="1"/>
        </w:numPr>
      </w:pPr>
      <w:r>
        <w:t>ICES Fishery Management Reference Points for Category 1 and 2 Stocks [</w:t>
      </w:r>
      <w:hyperlink r:id="rId20" w:history="1">
        <w:r w:rsidRPr="008435A0">
          <w:rPr>
            <w:rStyle w:val="Hyperlink"/>
          </w:rPr>
          <w:t>ICES 2021</w:t>
        </w:r>
      </w:hyperlink>
      <w:r>
        <w:t>]</w:t>
      </w:r>
    </w:p>
    <w:p w:rsidR="008435A0" w:rsidRDefault="008435A0" w:rsidP="008435A0">
      <w:pPr>
        <w:pStyle w:val="ListParagraph"/>
        <w:numPr>
          <w:ilvl w:val="0"/>
          <w:numId w:val="1"/>
        </w:numPr>
      </w:pPr>
      <w:r>
        <w:t>ICES</w:t>
      </w:r>
      <w:r w:rsidRPr="008435A0">
        <w:t xml:space="preserve"> Workshop of Fisheries Management Reference Points in a Changing Environment</w:t>
      </w:r>
      <w:r>
        <w:t xml:space="preserve"> [</w:t>
      </w:r>
      <w:hyperlink r:id="rId21" w:history="1">
        <w:r w:rsidRPr="008435A0">
          <w:rPr>
            <w:rStyle w:val="Hyperlink"/>
          </w:rPr>
          <w:t>ICES 2021</w:t>
        </w:r>
      </w:hyperlink>
      <w:r>
        <w:t>]</w:t>
      </w:r>
    </w:p>
    <w:p w:rsidR="00864D13" w:rsidRDefault="00864D13" w:rsidP="00864D13">
      <w:pPr>
        <w:pStyle w:val="ListParagraph"/>
        <w:numPr>
          <w:ilvl w:val="0"/>
          <w:numId w:val="1"/>
        </w:numPr>
      </w:pPr>
      <w:r>
        <w:t>Operational Guideline for New Zealand’s Harvest Strategy Standard [</w:t>
      </w:r>
      <w:hyperlink r:id="rId22" w:history="1">
        <w:r w:rsidRPr="00864D13">
          <w:rPr>
            <w:rStyle w:val="Hyperlink"/>
          </w:rPr>
          <w:t>New Zealand 2011</w:t>
        </w:r>
      </w:hyperlink>
      <w:r>
        <w:t>]</w:t>
      </w:r>
    </w:p>
    <w:p w:rsidR="008435A0" w:rsidRDefault="00864D13" w:rsidP="00864D13">
      <w:pPr>
        <w:pStyle w:val="ListParagraph"/>
        <w:numPr>
          <w:ilvl w:val="0"/>
          <w:numId w:val="1"/>
        </w:numPr>
      </w:pPr>
      <w:r>
        <w:t>Technical Guidance On the Use of Precautionary Approaches to Implementing National Standard 1 of the Magnuson-Stevens Fishery Conservation and Management Act [</w:t>
      </w:r>
      <w:hyperlink r:id="rId23" w:history="1">
        <w:r w:rsidRPr="00864D13">
          <w:rPr>
            <w:rStyle w:val="Hyperlink"/>
          </w:rPr>
          <w:t>Restrepo et al. 1998</w:t>
        </w:r>
      </w:hyperlink>
      <w:r>
        <w:t>]</w:t>
      </w:r>
    </w:p>
    <w:sectPr w:rsidR="00843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17D" w:rsidRDefault="009D017D" w:rsidP="006070CF">
      <w:pPr>
        <w:spacing w:after="0" w:line="240" w:lineRule="auto"/>
      </w:pPr>
      <w:r>
        <w:separator/>
      </w:r>
    </w:p>
  </w:endnote>
  <w:endnote w:type="continuationSeparator" w:id="0">
    <w:p w:rsidR="009D017D" w:rsidRDefault="009D017D" w:rsidP="00607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17D" w:rsidRDefault="009D017D" w:rsidP="006070CF">
      <w:pPr>
        <w:spacing w:after="0" w:line="240" w:lineRule="auto"/>
      </w:pPr>
      <w:r>
        <w:separator/>
      </w:r>
    </w:p>
  </w:footnote>
  <w:footnote w:type="continuationSeparator" w:id="0">
    <w:p w:rsidR="009D017D" w:rsidRDefault="009D017D" w:rsidP="00607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A3FB6"/>
    <w:multiLevelType w:val="hybridMultilevel"/>
    <w:tmpl w:val="ED7090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5A0"/>
    <w:rsid w:val="000052AA"/>
    <w:rsid w:val="003C102D"/>
    <w:rsid w:val="006070CF"/>
    <w:rsid w:val="006A133E"/>
    <w:rsid w:val="0084227D"/>
    <w:rsid w:val="008435A0"/>
    <w:rsid w:val="00850751"/>
    <w:rsid w:val="00864D13"/>
    <w:rsid w:val="00867564"/>
    <w:rsid w:val="009D017D"/>
    <w:rsid w:val="009E76D2"/>
    <w:rsid w:val="00BE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90598-FCA2-4698-B379-E8CDDD97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5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35A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0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0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s-vagues.dfo-mpo.gc.ca/Library/266061.pdf" TargetMode="External"/><Relationship Id="rId13" Type="http://schemas.openxmlformats.org/officeDocument/2006/relationships/hyperlink" Target="https://www.dfo-mpo.gc.ca/csas-sccs/Publications/SAR-AS/2015/2015_058-eng.html" TargetMode="External"/><Relationship Id="rId18" Type="http://schemas.openxmlformats.org/officeDocument/2006/relationships/hyperlink" Target="https://www.awe.gov.au/sites/default/files/sitecollectiondocuments/fisheries/environment/bycatch/best-practice-references-keith-sainsbury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ces.dk/sites/pub/Publication%20Reports/Forms/DispForm.aspx?ID=37302" TargetMode="External"/><Relationship Id="rId7" Type="http://schemas.openxmlformats.org/officeDocument/2006/relationships/hyperlink" Target="https://www.dfo-mpo.gc.ca/reports-rapports/regs/sff-cpd/precaution-eng.htm" TargetMode="External"/><Relationship Id="rId12" Type="http://schemas.openxmlformats.org/officeDocument/2006/relationships/hyperlink" Target="https://waves-vagues.dfo-mpo.gc.ca/Library/348613.pdf." TargetMode="External"/><Relationship Id="rId17" Type="http://schemas.openxmlformats.org/officeDocument/2006/relationships/hyperlink" Target="https://www.dfo-mpo.gc.ca/csas-sccs/Publications/SAR-AS/2021/2021_006-eng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ublications.gc.ca/collections/collection_2021/mpo-dfo/fs70-6/Fs70-6-2021-004-eng.pdf" TargetMode="External"/><Relationship Id="rId20" Type="http://schemas.openxmlformats.org/officeDocument/2006/relationships/hyperlink" Target="https://www.ices.dk/sites/pub/Publication%20Reports/Guidelines%20and%20Policies/16.04.03.01_Reference_points_for_category_1_and_2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c.dfo-mpo.gc.ca/fm-gp/salmon-saumon/wsp-pss/policy-politique-eng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dfo-mpo.gc.ca/csas-sccs/Publications/ResDocs-DocRech/2021/2021_057-eng.html" TargetMode="External"/><Relationship Id="rId23" Type="http://schemas.openxmlformats.org/officeDocument/2006/relationships/hyperlink" Target="https://www.st.nmfs.noaa.gov/Assets/stock/documents/Tech-Guidelines.pdf" TargetMode="External"/><Relationship Id="rId10" Type="http://schemas.openxmlformats.org/officeDocument/2006/relationships/hyperlink" Target="https://waves-vagues.dfo-mpo.gc.ca/Library/271099.pdf" TargetMode="External"/><Relationship Id="rId19" Type="http://schemas.openxmlformats.org/officeDocument/2006/relationships/hyperlink" Target="https://www.awe.gov.au/sites/default/files/sitecollectiondocuments/fisheries/domestic/hsp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ves-vagues.dfo-mpo.gc.ca/Library/270613.pdf" TargetMode="External"/><Relationship Id="rId14" Type="http://schemas.openxmlformats.org/officeDocument/2006/relationships/hyperlink" Target="https://waves-vagues.dfo-mpo.gc.ca/Library/40685147.pdf" TargetMode="External"/><Relationship Id="rId22" Type="http://schemas.openxmlformats.org/officeDocument/2006/relationships/hyperlink" Target="https://fs.fish.govt.nz/Doc/22847/Operational_Guidelines_for_HSS_rev_1_Jun_2011.pdf.ash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3</cp:revision>
  <dcterms:created xsi:type="dcterms:W3CDTF">2021-10-29T13:38:00Z</dcterms:created>
  <dcterms:modified xsi:type="dcterms:W3CDTF">2021-10-29T13:39:00Z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2021-10-29T12:50:49Z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95c29666-5219-4009-833c-0000838f0b0d</vt:lpwstr>
  </property>
</Properties>
</file>