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ABC9FC1" w14:textId="77777777" w:rsidR="00DF0187" w:rsidRPr="002E1C23" w:rsidRDefault="00DF0187" w:rsidP="00DF0187">
      <w:pPr>
        <w:pStyle w:val="Heading1"/>
        <w:spacing w:beforeLines="120" w:before="288" w:afterLines="120" w:after="288" w:line="264" w:lineRule="auto"/>
        <w:contextualSpacing/>
        <w:jc w:val="center"/>
        <w:rPr>
          <w:rFonts w:ascii="Times New Roman" w:hAnsi="Times New Roman" w:cs="Times New Roman"/>
          <w:b/>
          <w:color w:val="auto"/>
          <w:sz w:val="22"/>
          <w:szCs w:val="22"/>
        </w:rPr>
      </w:pPr>
      <w:r w:rsidRPr="00F50227">
        <w:rPr>
          <w:rFonts w:ascii="Times New Roman" w:hAnsi="Times New Roman" w:cs="Times New Roman"/>
          <w:b/>
          <w:noProof/>
          <w:lang w:val="en-CA" w:eastAsia="en-CA"/>
        </w:rPr>
        <w:drawing>
          <wp:anchor distT="0" distB="0" distL="114300" distR="114300" simplePos="0" relativeHeight="251659264" behindDoc="0" locked="0" layoutInCell="1" allowOverlap="1" wp14:anchorId="4F4A47C2" wp14:editId="6FAFC819">
            <wp:simplePos x="0" y="0"/>
            <wp:positionH relativeFrom="margin">
              <wp:posOffset>3810000</wp:posOffset>
            </wp:positionH>
            <wp:positionV relativeFrom="paragraph">
              <wp:posOffset>-438150</wp:posOffset>
            </wp:positionV>
            <wp:extent cx="2125980" cy="1285875"/>
            <wp:effectExtent l="0" t="0" r="7620" b="0"/>
            <wp:wrapNone/>
            <wp:docPr id="4" name="Picture 4" descr="Atlantic herr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lantic herring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25980" cy="1285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E1C23">
        <w:rPr>
          <w:rFonts w:ascii="Times New Roman" w:hAnsi="Times New Roman" w:cs="Times New Roman"/>
          <w:b/>
          <w:color w:val="auto"/>
          <w:sz w:val="22"/>
          <w:szCs w:val="22"/>
        </w:rPr>
        <w:t>4VWX Atlantic Herring</w:t>
      </w:r>
    </w:p>
    <w:p w14:paraId="514979BE" w14:textId="27AE7ACA" w:rsidR="00DF0187" w:rsidRPr="002E1C23" w:rsidRDefault="00DF0187" w:rsidP="00DF0187">
      <w:pPr>
        <w:spacing w:beforeLines="120" w:before="288" w:afterLines="120" w:after="288" w:line="264" w:lineRule="auto"/>
        <w:contextualSpacing/>
        <w:rPr>
          <w:rFonts w:ascii="Times New Roman" w:hAnsi="Times New Roman" w:cs="Times New Roman"/>
          <w:b/>
        </w:rPr>
      </w:pPr>
      <w:r w:rsidRPr="002E1C23">
        <w:rPr>
          <w:rFonts w:ascii="Times New Roman" w:hAnsi="Times New Roman" w:cs="Times New Roman"/>
          <w:b/>
        </w:rPr>
        <w:t>Background on Fishery</w:t>
      </w:r>
      <w:r>
        <w:rPr>
          <w:rFonts w:ascii="Times New Roman" w:hAnsi="Times New Roman" w:cs="Times New Roman"/>
          <w:b/>
        </w:rPr>
        <w:t xml:space="preserve"> </w:t>
      </w:r>
      <w:r w:rsidRPr="00DF0187">
        <w:rPr>
          <w:rFonts w:ascii="Times New Roman" w:hAnsi="Times New Roman" w:cs="Times New Roman"/>
          <w:b/>
          <w:highlight w:val="yellow"/>
        </w:rPr>
        <w:t>(Copied from Exercise 1 for future reference)</w:t>
      </w:r>
    </w:p>
    <w:p w14:paraId="0AD04492" w14:textId="77777777" w:rsidR="00DF0187" w:rsidRPr="002E1C23" w:rsidRDefault="00DF0187" w:rsidP="00DF0187">
      <w:pPr>
        <w:pStyle w:val="BodyText"/>
        <w:spacing w:beforeLines="50" w:afterLines="50" w:line="264" w:lineRule="auto"/>
        <w:jc w:val="both"/>
        <w:rPr>
          <w:rFonts w:ascii="Times New Roman" w:hAnsi="Times New Roman"/>
          <w:szCs w:val="22"/>
        </w:rPr>
      </w:pPr>
      <w:r w:rsidRPr="002E1C23">
        <w:rPr>
          <w:rFonts w:ascii="Times New Roman" w:hAnsi="Times New Roman"/>
          <w:szCs w:val="22"/>
        </w:rPr>
        <w:t>The Atlantic herring (</w:t>
      </w:r>
      <w:r w:rsidRPr="002E1C23">
        <w:rPr>
          <w:rFonts w:ascii="Times New Roman" w:hAnsi="Times New Roman"/>
          <w:i/>
          <w:szCs w:val="22"/>
        </w:rPr>
        <w:t>Clupea harengus</w:t>
      </w:r>
      <w:r w:rsidRPr="002E1C23">
        <w:rPr>
          <w:rFonts w:ascii="Times New Roman" w:hAnsi="Times New Roman"/>
          <w:szCs w:val="22"/>
        </w:rPr>
        <w:t xml:space="preserve">) is a small pelagic species found on both sides of the North Atlantic Ocean. Herring are a schooling fish that form predictable aggregations for feeding, overwintering, and spawning. The 4VWX herring stock is divided in multiple management components for the purposes of </w:t>
      </w:r>
      <w:r>
        <w:rPr>
          <w:rFonts w:ascii="Times New Roman" w:hAnsi="Times New Roman"/>
          <w:szCs w:val="22"/>
        </w:rPr>
        <w:t>assessment</w:t>
      </w:r>
      <w:r w:rsidRPr="002E1C23">
        <w:rPr>
          <w:rFonts w:ascii="Times New Roman" w:hAnsi="Times New Roman"/>
          <w:szCs w:val="22"/>
        </w:rPr>
        <w:t xml:space="preserve"> and m</w:t>
      </w:r>
      <w:bookmarkStart w:id="0" w:name="_GoBack"/>
      <w:bookmarkEnd w:id="0"/>
      <w:r w:rsidRPr="002E1C23">
        <w:rPr>
          <w:rFonts w:ascii="Times New Roman" w:hAnsi="Times New Roman"/>
          <w:szCs w:val="22"/>
        </w:rPr>
        <w:t>anagement</w:t>
      </w:r>
      <w:r>
        <w:rPr>
          <w:rFonts w:ascii="Times New Roman" w:hAnsi="Times New Roman"/>
          <w:szCs w:val="22"/>
        </w:rPr>
        <w:t xml:space="preserve"> (Figure 1)</w:t>
      </w:r>
      <w:r w:rsidRPr="002E1C23">
        <w:rPr>
          <w:rFonts w:ascii="Times New Roman" w:hAnsi="Times New Roman"/>
          <w:szCs w:val="22"/>
        </w:rPr>
        <w:t>:</w:t>
      </w:r>
    </w:p>
    <w:p w14:paraId="72E340A5" w14:textId="77777777" w:rsidR="00DF0187" w:rsidRPr="002E1C23" w:rsidRDefault="00DF0187" w:rsidP="00DF0187">
      <w:pPr>
        <w:pStyle w:val="BodyText"/>
        <w:numPr>
          <w:ilvl w:val="0"/>
          <w:numId w:val="5"/>
        </w:numPr>
        <w:spacing w:beforeLines="120" w:before="288" w:afterLines="120" w:after="288" w:line="264" w:lineRule="auto"/>
        <w:contextualSpacing/>
        <w:jc w:val="both"/>
        <w:rPr>
          <w:rFonts w:ascii="Times New Roman" w:hAnsi="Times New Roman"/>
          <w:szCs w:val="22"/>
        </w:rPr>
      </w:pPr>
      <w:r w:rsidRPr="002E1C23">
        <w:rPr>
          <w:rFonts w:ascii="Times New Roman" w:hAnsi="Times New Roman"/>
          <w:szCs w:val="22"/>
        </w:rPr>
        <w:t xml:space="preserve">Southwest Nova Scotia/Bay of Fundy (SWNS/BoF) </w:t>
      </w:r>
      <w:r>
        <w:rPr>
          <w:rFonts w:ascii="Times New Roman" w:hAnsi="Times New Roman"/>
          <w:szCs w:val="22"/>
        </w:rPr>
        <w:t>spawning component</w:t>
      </w:r>
    </w:p>
    <w:p w14:paraId="1333EF35" w14:textId="77777777" w:rsidR="00DF0187" w:rsidRPr="002E1C23" w:rsidRDefault="00DF0187" w:rsidP="00DF0187">
      <w:pPr>
        <w:pStyle w:val="BodyText"/>
        <w:numPr>
          <w:ilvl w:val="0"/>
          <w:numId w:val="5"/>
        </w:numPr>
        <w:spacing w:beforeLines="120" w:before="288" w:afterLines="120" w:after="288" w:line="264" w:lineRule="auto"/>
        <w:contextualSpacing/>
        <w:jc w:val="both"/>
        <w:rPr>
          <w:rFonts w:ascii="Times New Roman" w:hAnsi="Times New Roman"/>
          <w:szCs w:val="22"/>
        </w:rPr>
      </w:pPr>
      <w:r w:rsidRPr="002E1C23">
        <w:rPr>
          <w:rFonts w:ascii="Times New Roman" w:hAnsi="Times New Roman"/>
          <w:szCs w:val="22"/>
        </w:rPr>
        <w:t>Offshore Scotian Shelf banks spawning component</w:t>
      </w:r>
    </w:p>
    <w:p w14:paraId="4A6C8212" w14:textId="77777777" w:rsidR="00DF0187" w:rsidRPr="002E1C23" w:rsidRDefault="00DF0187" w:rsidP="00DF0187">
      <w:pPr>
        <w:pStyle w:val="BodyText"/>
        <w:numPr>
          <w:ilvl w:val="0"/>
          <w:numId w:val="5"/>
        </w:numPr>
        <w:spacing w:beforeLines="120" w:before="288" w:afterLines="120" w:after="288" w:line="264" w:lineRule="auto"/>
        <w:contextualSpacing/>
        <w:jc w:val="both"/>
        <w:rPr>
          <w:rFonts w:ascii="Times New Roman" w:hAnsi="Times New Roman"/>
          <w:szCs w:val="22"/>
        </w:rPr>
      </w:pPr>
      <w:r w:rsidRPr="002E1C23">
        <w:rPr>
          <w:rFonts w:ascii="Times New Roman" w:hAnsi="Times New Roman"/>
          <w:szCs w:val="22"/>
        </w:rPr>
        <w:t>Coastal Nova Scotia spawning component</w:t>
      </w:r>
    </w:p>
    <w:p w14:paraId="3FC6C0C2" w14:textId="77777777" w:rsidR="00DF0187" w:rsidRPr="004F44B3" w:rsidRDefault="00DF0187" w:rsidP="00DF0187">
      <w:pPr>
        <w:pStyle w:val="BodyText"/>
        <w:numPr>
          <w:ilvl w:val="0"/>
          <w:numId w:val="5"/>
        </w:numPr>
        <w:spacing w:beforeLines="50" w:afterLines="50" w:line="264" w:lineRule="auto"/>
        <w:jc w:val="both"/>
        <w:rPr>
          <w:rFonts w:ascii="Times New Roman" w:hAnsi="Times New Roman"/>
          <w:szCs w:val="22"/>
        </w:rPr>
      </w:pPr>
      <w:r w:rsidRPr="002E1C23">
        <w:rPr>
          <w:rFonts w:ascii="Times New Roman" w:hAnsi="Times New Roman"/>
          <w:szCs w:val="22"/>
        </w:rPr>
        <w:t>Southwest New Brunswick (SWNB) migrant juveniles (weir fishery)</w:t>
      </w:r>
    </w:p>
    <w:p w14:paraId="46DDB29C" w14:textId="77777777" w:rsidR="00DF0187" w:rsidRDefault="00DF0187" w:rsidP="00DF0187">
      <w:pPr>
        <w:pStyle w:val="BodyText"/>
        <w:spacing w:beforeLines="120" w:before="288" w:afterLines="120" w:after="288" w:line="264" w:lineRule="auto"/>
        <w:contextualSpacing/>
        <w:jc w:val="both"/>
        <w:rPr>
          <w:rFonts w:ascii="Times New Roman" w:hAnsi="Times New Roman"/>
          <w:szCs w:val="22"/>
        </w:rPr>
      </w:pPr>
      <w:r w:rsidRPr="002E1C23">
        <w:rPr>
          <w:rFonts w:ascii="Times New Roman" w:hAnsi="Times New Roman"/>
          <w:szCs w:val="22"/>
        </w:rPr>
        <w:t xml:space="preserve">Each spawning component has several spawning areas and there is mixing of herring among the 4VWX spawning components and the 5YZ (US stock) during annual feeding and overwintering migrations. The assumption that herring exhibit spawning-area fidelity has been the basis of the definition of herring stocks and fisheries management. Spawning areas in close proximity with similar spawning times share a common larval distribution area and are considered part of the same component. Although the SWNB </w:t>
      </w:r>
      <w:r>
        <w:rPr>
          <w:rFonts w:ascii="Times New Roman" w:hAnsi="Times New Roman"/>
          <w:szCs w:val="22"/>
        </w:rPr>
        <w:t>“</w:t>
      </w:r>
      <w:r w:rsidRPr="002E1C23">
        <w:rPr>
          <w:rFonts w:ascii="Times New Roman" w:hAnsi="Times New Roman"/>
          <w:szCs w:val="22"/>
        </w:rPr>
        <w:t>migrant juvenile</w:t>
      </w:r>
      <w:r>
        <w:rPr>
          <w:rFonts w:ascii="Times New Roman" w:hAnsi="Times New Roman"/>
          <w:szCs w:val="22"/>
        </w:rPr>
        <w:t>”</w:t>
      </w:r>
      <w:r w:rsidRPr="002E1C23">
        <w:rPr>
          <w:rFonts w:ascii="Times New Roman" w:hAnsi="Times New Roman"/>
          <w:szCs w:val="22"/>
        </w:rPr>
        <w:t xml:space="preserve"> weir fishery occurs within the spatial bounds of the SWNS/BoF management area (Figure 1), it is considered a separate component and includes a mixture of herring from 4VW</w:t>
      </w:r>
      <w:r>
        <w:rPr>
          <w:rFonts w:ascii="Times New Roman" w:hAnsi="Times New Roman"/>
          <w:szCs w:val="22"/>
        </w:rPr>
        <w:t>X and 5YZ spawning areas</w:t>
      </w:r>
      <w:r w:rsidRPr="002E1C23">
        <w:rPr>
          <w:rFonts w:ascii="Times New Roman" w:hAnsi="Times New Roman"/>
          <w:szCs w:val="22"/>
        </w:rPr>
        <w:t>.</w:t>
      </w:r>
    </w:p>
    <w:p w14:paraId="4219E63C" w14:textId="77777777" w:rsidR="00DF0187" w:rsidRDefault="00DF0187" w:rsidP="00DF0187">
      <w:pPr>
        <w:pStyle w:val="BodyText"/>
        <w:spacing w:beforeLines="120" w:before="288" w:afterLines="120" w:after="288" w:line="264" w:lineRule="auto"/>
        <w:contextualSpacing/>
        <w:jc w:val="both"/>
        <w:rPr>
          <w:rFonts w:ascii="Times New Roman" w:hAnsi="Times New Roman"/>
          <w:szCs w:val="22"/>
        </w:rPr>
      </w:pPr>
    </w:p>
    <w:tbl>
      <w:tblPr>
        <w:tblStyle w:val="TableGrid"/>
        <w:tblW w:w="0" w:type="auto"/>
        <w:jc w:val="center"/>
        <w:tblLook w:val="04A0" w:firstRow="1" w:lastRow="0" w:firstColumn="1" w:lastColumn="0" w:noHBand="0" w:noVBand="1"/>
      </w:tblPr>
      <w:tblGrid>
        <w:gridCol w:w="2155"/>
        <w:gridCol w:w="7195"/>
      </w:tblGrid>
      <w:tr w:rsidR="00DF0187" w14:paraId="23093ED3" w14:textId="77777777" w:rsidTr="00D05816">
        <w:trPr>
          <w:jc w:val="center"/>
        </w:trPr>
        <w:tc>
          <w:tcPr>
            <w:tcW w:w="2155" w:type="dxa"/>
            <w:shd w:val="clear" w:color="auto" w:fill="BFBFBF" w:themeFill="background1" w:themeFillShade="BF"/>
            <w:vAlign w:val="center"/>
          </w:tcPr>
          <w:p w14:paraId="76A26449" w14:textId="77777777" w:rsidR="00DF0187" w:rsidRPr="008F6E37" w:rsidRDefault="00DF0187" w:rsidP="00D05816">
            <w:pPr>
              <w:pStyle w:val="BodyText"/>
              <w:spacing w:before="0" w:after="0" w:line="264" w:lineRule="auto"/>
              <w:contextualSpacing/>
              <w:jc w:val="center"/>
              <w:rPr>
                <w:rFonts w:ascii="Times New Roman" w:hAnsi="Times New Roman"/>
                <w:b/>
                <w:szCs w:val="22"/>
              </w:rPr>
            </w:pPr>
            <w:r w:rsidRPr="008F6E37">
              <w:rPr>
                <w:rFonts w:ascii="Times New Roman" w:hAnsi="Times New Roman"/>
                <w:b/>
                <w:szCs w:val="22"/>
              </w:rPr>
              <w:t>MANAGEMENT COMPONENT</w:t>
            </w:r>
          </w:p>
        </w:tc>
        <w:tc>
          <w:tcPr>
            <w:tcW w:w="7195" w:type="dxa"/>
            <w:shd w:val="clear" w:color="auto" w:fill="BFBFBF" w:themeFill="background1" w:themeFillShade="BF"/>
            <w:vAlign w:val="center"/>
          </w:tcPr>
          <w:p w14:paraId="4EEE3237" w14:textId="77777777" w:rsidR="00DF0187" w:rsidRPr="008F6E37" w:rsidRDefault="00DF0187" w:rsidP="00D05816">
            <w:pPr>
              <w:pStyle w:val="BodyText"/>
              <w:spacing w:before="0" w:after="0" w:line="264" w:lineRule="auto"/>
              <w:contextualSpacing/>
              <w:jc w:val="center"/>
              <w:rPr>
                <w:rFonts w:ascii="Times New Roman" w:hAnsi="Times New Roman"/>
                <w:b/>
                <w:szCs w:val="22"/>
              </w:rPr>
            </w:pPr>
            <w:r w:rsidRPr="008F6E37">
              <w:rPr>
                <w:rFonts w:ascii="Times New Roman" w:hAnsi="Times New Roman"/>
                <w:b/>
                <w:szCs w:val="22"/>
              </w:rPr>
              <w:t>DETAILS</w:t>
            </w:r>
          </w:p>
        </w:tc>
      </w:tr>
      <w:tr w:rsidR="00DF0187" w14:paraId="658F5CB5" w14:textId="77777777" w:rsidTr="00D05816">
        <w:trPr>
          <w:trHeight w:val="557"/>
          <w:jc w:val="center"/>
        </w:trPr>
        <w:tc>
          <w:tcPr>
            <w:tcW w:w="2155" w:type="dxa"/>
          </w:tcPr>
          <w:p w14:paraId="34BBEC23" w14:textId="77777777" w:rsidR="00DF0187" w:rsidRDefault="00DF0187" w:rsidP="00D05816">
            <w:pPr>
              <w:pStyle w:val="BodyText"/>
              <w:spacing w:before="0" w:after="0" w:line="264" w:lineRule="auto"/>
              <w:contextualSpacing/>
              <w:jc w:val="center"/>
              <w:rPr>
                <w:rFonts w:ascii="Times New Roman" w:hAnsi="Times New Roman"/>
                <w:szCs w:val="22"/>
              </w:rPr>
            </w:pPr>
            <w:r w:rsidRPr="002E1C23">
              <w:rPr>
                <w:rFonts w:ascii="Times New Roman" w:hAnsi="Times New Roman"/>
                <w:szCs w:val="22"/>
              </w:rPr>
              <w:t>Southwest Nova Scotia/Bay of Fundy (SWNS/BoF)</w:t>
            </w:r>
          </w:p>
        </w:tc>
        <w:tc>
          <w:tcPr>
            <w:tcW w:w="7195" w:type="dxa"/>
            <w:vAlign w:val="center"/>
          </w:tcPr>
          <w:p w14:paraId="285EB922" w14:textId="77777777" w:rsidR="00DF0187" w:rsidRDefault="00DF0187" w:rsidP="00D05816">
            <w:pPr>
              <w:pStyle w:val="BodyText"/>
              <w:numPr>
                <w:ilvl w:val="0"/>
                <w:numId w:val="17"/>
              </w:numPr>
              <w:spacing w:before="0" w:after="0" w:line="264" w:lineRule="auto"/>
              <w:contextualSpacing/>
              <w:rPr>
                <w:rFonts w:ascii="Times New Roman" w:hAnsi="Times New Roman"/>
                <w:szCs w:val="22"/>
              </w:rPr>
            </w:pPr>
            <w:r>
              <w:rPr>
                <w:rFonts w:ascii="Times New Roman" w:hAnsi="Times New Roman"/>
                <w:szCs w:val="22"/>
              </w:rPr>
              <w:t>Largest component by landings (~75% for the 4VWX stock)</w:t>
            </w:r>
          </w:p>
          <w:p w14:paraId="54F10C97" w14:textId="77777777" w:rsidR="00DF0187" w:rsidRDefault="00DF0187" w:rsidP="00D05816">
            <w:pPr>
              <w:pStyle w:val="BodyText"/>
              <w:numPr>
                <w:ilvl w:val="0"/>
                <w:numId w:val="17"/>
              </w:numPr>
              <w:spacing w:before="0" w:after="0" w:line="264" w:lineRule="auto"/>
              <w:contextualSpacing/>
              <w:rPr>
                <w:rFonts w:ascii="Times New Roman" w:hAnsi="Times New Roman"/>
                <w:szCs w:val="22"/>
              </w:rPr>
            </w:pPr>
            <w:r>
              <w:rPr>
                <w:rFonts w:ascii="Times New Roman" w:hAnsi="Times New Roman"/>
                <w:szCs w:val="22"/>
              </w:rPr>
              <w:t>Primary spawning areas: German Bank, Scots Bay (Figure 1)</w:t>
            </w:r>
          </w:p>
          <w:p w14:paraId="3E7CE262" w14:textId="77777777" w:rsidR="00DF0187" w:rsidRDefault="00DF0187" w:rsidP="00D05816">
            <w:pPr>
              <w:pStyle w:val="BodyText"/>
              <w:numPr>
                <w:ilvl w:val="0"/>
                <w:numId w:val="17"/>
              </w:numPr>
              <w:spacing w:before="0" w:after="0" w:line="264" w:lineRule="auto"/>
              <w:contextualSpacing/>
              <w:rPr>
                <w:rFonts w:ascii="Times New Roman" w:hAnsi="Times New Roman"/>
                <w:szCs w:val="22"/>
              </w:rPr>
            </w:pPr>
            <w:r>
              <w:rPr>
                <w:rFonts w:ascii="Times New Roman" w:hAnsi="Times New Roman"/>
                <w:szCs w:val="22"/>
              </w:rPr>
              <w:t>Multiple gear types, including purse seine with accounts for ~90% of total catches for this component; other gear include gillnet and weir</w:t>
            </w:r>
          </w:p>
          <w:p w14:paraId="5805A829" w14:textId="77777777" w:rsidR="00DF0187" w:rsidRDefault="00DF0187" w:rsidP="00D05816">
            <w:pPr>
              <w:pStyle w:val="BodyText"/>
              <w:numPr>
                <w:ilvl w:val="0"/>
                <w:numId w:val="17"/>
              </w:numPr>
              <w:spacing w:before="0" w:after="0" w:line="264" w:lineRule="auto"/>
              <w:contextualSpacing/>
              <w:rPr>
                <w:rFonts w:ascii="Times New Roman" w:hAnsi="Times New Roman"/>
                <w:szCs w:val="22"/>
              </w:rPr>
            </w:pPr>
            <w:r>
              <w:rPr>
                <w:rFonts w:ascii="Times New Roman" w:hAnsi="Times New Roman"/>
                <w:szCs w:val="22"/>
              </w:rPr>
              <w:t>Purse seiners target spawning aggregations and summer feeding aggregations and historically (pre-2002) overwintering aggregations</w:t>
            </w:r>
          </w:p>
          <w:p w14:paraId="6C110F93" w14:textId="77777777" w:rsidR="00DF0187" w:rsidRDefault="00DF0187" w:rsidP="00D05816">
            <w:pPr>
              <w:pStyle w:val="BodyText"/>
              <w:numPr>
                <w:ilvl w:val="0"/>
                <w:numId w:val="17"/>
              </w:numPr>
              <w:spacing w:before="0" w:after="0" w:line="264" w:lineRule="auto"/>
              <w:contextualSpacing/>
              <w:rPr>
                <w:rFonts w:ascii="Times New Roman" w:hAnsi="Times New Roman"/>
                <w:szCs w:val="22"/>
              </w:rPr>
            </w:pPr>
            <w:r>
              <w:rPr>
                <w:rFonts w:ascii="Times New Roman" w:hAnsi="Times New Roman"/>
                <w:szCs w:val="22"/>
              </w:rPr>
              <w:t>Managed by TAC; excludes catches from weirs in SWNB</w:t>
            </w:r>
          </w:p>
        </w:tc>
      </w:tr>
      <w:tr w:rsidR="00DF0187" w14:paraId="0BA373C2" w14:textId="77777777" w:rsidTr="00D05816">
        <w:trPr>
          <w:jc w:val="center"/>
        </w:trPr>
        <w:tc>
          <w:tcPr>
            <w:tcW w:w="2155" w:type="dxa"/>
            <w:vAlign w:val="center"/>
          </w:tcPr>
          <w:p w14:paraId="47E47195" w14:textId="77777777" w:rsidR="00DF0187" w:rsidRDefault="00DF0187" w:rsidP="00D05816">
            <w:pPr>
              <w:pStyle w:val="BodyText"/>
              <w:spacing w:before="0" w:after="0" w:line="264" w:lineRule="auto"/>
              <w:contextualSpacing/>
              <w:jc w:val="center"/>
              <w:rPr>
                <w:rFonts w:ascii="Times New Roman" w:hAnsi="Times New Roman"/>
                <w:szCs w:val="22"/>
              </w:rPr>
            </w:pPr>
            <w:r w:rsidRPr="002E1C23">
              <w:rPr>
                <w:rFonts w:ascii="Times New Roman" w:hAnsi="Times New Roman"/>
                <w:szCs w:val="22"/>
              </w:rPr>
              <w:t>Offshore Scotian Shelf banks</w:t>
            </w:r>
          </w:p>
        </w:tc>
        <w:tc>
          <w:tcPr>
            <w:tcW w:w="7195" w:type="dxa"/>
            <w:vAlign w:val="center"/>
          </w:tcPr>
          <w:p w14:paraId="21E63533" w14:textId="77777777" w:rsidR="00DF0187" w:rsidRDefault="00DF0187" w:rsidP="00D05816">
            <w:pPr>
              <w:pStyle w:val="BodyText"/>
              <w:numPr>
                <w:ilvl w:val="0"/>
                <w:numId w:val="20"/>
              </w:numPr>
              <w:spacing w:beforeLines="120" w:before="288" w:afterLines="120" w:after="288" w:line="264" w:lineRule="auto"/>
              <w:contextualSpacing/>
              <w:rPr>
                <w:rFonts w:ascii="Times New Roman" w:hAnsi="Times New Roman"/>
                <w:szCs w:val="22"/>
              </w:rPr>
            </w:pPr>
            <w:r>
              <w:rPr>
                <w:rFonts w:ascii="Times New Roman" w:hAnsi="Times New Roman"/>
                <w:szCs w:val="22"/>
              </w:rPr>
              <w:t xml:space="preserve">Data limited and stock structure is unknown </w:t>
            </w:r>
          </w:p>
          <w:p w14:paraId="1793B7BA" w14:textId="77777777" w:rsidR="00DF0187" w:rsidRDefault="00DF0187" w:rsidP="00D05816">
            <w:pPr>
              <w:pStyle w:val="BodyText"/>
              <w:numPr>
                <w:ilvl w:val="0"/>
                <w:numId w:val="20"/>
              </w:numPr>
              <w:spacing w:beforeLines="120" w:before="288" w:afterLines="120" w:after="288" w:line="264" w:lineRule="auto"/>
              <w:contextualSpacing/>
              <w:rPr>
                <w:rFonts w:ascii="Times New Roman" w:hAnsi="Times New Roman"/>
                <w:szCs w:val="22"/>
              </w:rPr>
            </w:pPr>
            <w:r>
              <w:rPr>
                <w:rFonts w:ascii="Times New Roman" w:hAnsi="Times New Roman"/>
                <w:szCs w:val="22"/>
              </w:rPr>
              <w:t>Managed with arbitrary allocation of 12,000 t</w:t>
            </w:r>
          </w:p>
          <w:p w14:paraId="18FC1804" w14:textId="77777777" w:rsidR="00DF0187" w:rsidRDefault="00DF0187" w:rsidP="00D05816">
            <w:pPr>
              <w:pStyle w:val="BodyText"/>
              <w:numPr>
                <w:ilvl w:val="0"/>
                <w:numId w:val="20"/>
              </w:numPr>
              <w:spacing w:beforeLines="120" w:before="288" w:afterLines="120" w:after="288" w:line="264" w:lineRule="auto"/>
              <w:contextualSpacing/>
              <w:rPr>
                <w:rFonts w:ascii="Times New Roman" w:hAnsi="Times New Roman"/>
                <w:szCs w:val="22"/>
              </w:rPr>
            </w:pPr>
            <w:r>
              <w:rPr>
                <w:rFonts w:ascii="Times New Roman" w:hAnsi="Times New Roman"/>
                <w:szCs w:val="22"/>
              </w:rPr>
              <w:t>Offshore fishing activity is limited due to distance</w:t>
            </w:r>
          </w:p>
          <w:p w14:paraId="1A3202D5" w14:textId="77777777" w:rsidR="00DF0187" w:rsidRDefault="00DF0187" w:rsidP="00D05816">
            <w:pPr>
              <w:pStyle w:val="BodyText"/>
              <w:numPr>
                <w:ilvl w:val="0"/>
                <w:numId w:val="20"/>
              </w:numPr>
              <w:spacing w:beforeLines="120" w:before="288" w:after="0" w:line="264" w:lineRule="auto"/>
              <w:contextualSpacing/>
              <w:rPr>
                <w:rFonts w:ascii="Times New Roman" w:hAnsi="Times New Roman"/>
                <w:szCs w:val="22"/>
              </w:rPr>
            </w:pPr>
            <w:r>
              <w:rPr>
                <w:rFonts w:ascii="Times New Roman" w:hAnsi="Times New Roman"/>
                <w:szCs w:val="22"/>
              </w:rPr>
              <w:t>Spawning times and locations are unknown</w:t>
            </w:r>
          </w:p>
        </w:tc>
      </w:tr>
      <w:tr w:rsidR="00DF0187" w14:paraId="35DDFBF6" w14:textId="77777777" w:rsidTr="00D05816">
        <w:trPr>
          <w:jc w:val="center"/>
        </w:trPr>
        <w:tc>
          <w:tcPr>
            <w:tcW w:w="2155" w:type="dxa"/>
            <w:vAlign w:val="center"/>
          </w:tcPr>
          <w:p w14:paraId="189C8CCE" w14:textId="77777777" w:rsidR="00DF0187" w:rsidRDefault="00DF0187" w:rsidP="00D05816">
            <w:pPr>
              <w:pStyle w:val="BodyText"/>
              <w:spacing w:before="0" w:after="0" w:line="264" w:lineRule="auto"/>
              <w:contextualSpacing/>
              <w:jc w:val="center"/>
              <w:rPr>
                <w:rFonts w:ascii="Times New Roman" w:hAnsi="Times New Roman"/>
                <w:szCs w:val="22"/>
              </w:rPr>
            </w:pPr>
            <w:r w:rsidRPr="002E1C23">
              <w:rPr>
                <w:rFonts w:ascii="Times New Roman" w:hAnsi="Times New Roman"/>
                <w:szCs w:val="22"/>
              </w:rPr>
              <w:t>Coastal Nova Scotia</w:t>
            </w:r>
          </w:p>
        </w:tc>
        <w:tc>
          <w:tcPr>
            <w:tcW w:w="7195" w:type="dxa"/>
            <w:vAlign w:val="center"/>
          </w:tcPr>
          <w:p w14:paraId="48D27E92" w14:textId="77777777" w:rsidR="00DF0187" w:rsidRDefault="00DF0187" w:rsidP="00D05816">
            <w:pPr>
              <w:pStyle w:val="BodyText"/>
              <w:numPr>
                <w:ilvl w:val="0"/>
                <w:numId w:val="18"/>
              </w:numPr>
              <w:spacing w:before="0" w:after="0" w:line="264" w:lineRule="auto"/>
              <w:contextualSpacing/>
              <w:rPr>
                <w:rFonts w:ascii="Times New Roman" w:hAnsi="Times New Roman"/>
                <w:szCs w:val="22"/>
              </w:rPr>
            </w:pPr>
            <w:r>
              <w:rPr>
                <w:rFonts w:ascii="Times New Roman" w:hAnsi="Times New Roman"/>
                <w:szCs w:val="22"/>
              </w:rPr>
              <w:t>Acoustic surveys in 2 of 3 spawning areas (South Shore and Eastern Shore); no surveys/fishery in Cape Breton</w:t>
            </w:r>
          </w:p>
          <w:p w14:paraId="4E4E88AC" w14:textId="77777777" w:rsidR="00DF0187" w:rsidRDefault="00DF0187" w:rsidP="00D05816">
            <w:pPr>
              <w:pStyle w:val="BodyText"/>
              <w:numPr>
                <w:ilvl w:val="0"/>
                <w:numId w:val="18"/>
              </w:numPr>
              <w:spacing w:before="0" w:after="0" w:line="264" w:lineRule="auto"/>
              <w:contextualSpacing/>
              <w:rPr>
                <w:rFonts w:ascii="Times New Roman" w:hAnsi="Times New Roman"/>
                <w:szCs w:val="22"/>
              </w:rPr>
            </w:pPr>
            <w:r>
              <w:rPr>
                <w:rFonts w:ascii="Times New Roman" w:hAnsi="Times New Roman"/>
                <w:szCs w:val="22"/>
              </w:rPr>
              <w:t>Managed with separate TACs for each area based survey index</w:t>
            </w:r>
          </w:p>
        </w:tc>
      </w:tr>
      <w:tr w:rsidR="00DF0187" w14:paraId="5B877E6E" w14:textId="77777777" w:rsidTr="00D05816">
        <w:trPr>
          <w:jc w:val="center"/>
        </w:trPr>
        <w:tc>
          <w:tcPr>
            <w:tcW w:w="2155" w:type="dxa"/>
            <w:vAlign w:val="center"/>
          </w:tcPr>
          <w:p w14:paraId="2017DF2A" w14:textId="77777777" w:rsidR="00DF0187" w:rsidRDefault="00DF0187" w:rsidP="00D05816">
            <w:pPr>
              <w:pStyle w:val="BodyText"/>
              <w:spacing w:before="0" w:after="0" w:line="264" w:lineRule="auto"/>
              <w:contextualSpacing/>
              <w:jc w:val="center"/>
              <w:rPr>
                <w:rFonts w:ascii="Times New Roman" w:hAnsi="Times New Roman"/>
                <w:szCs w:val="22"/>
              </w:rPr>
            </w:pPr>
            <w:r w:rsidRPr="002E1C23">
              <w:rPr>
                <w:rFonts w:ascii="Times New Roman" w:hAnsi="Times New Roman"/>
                <w:szCs w:val="22"/>
              </w:rPr>
              <w:t>Southwest New Brunswick (SWNB) migrant juveniles (weir fishery)</w:t>
            </w:r>
          </w:p>
        </w:tc>
        <w:tc>
          <w:tcPr>
            <w:tcW w:w="7195" w:type="dxa"/>
            <w:vAlign w:val="center"/>
          </w:tcPr>
          <w:p w14:paraId="4ED91D15" w14:textId="77777777" w:rsidR="00DF0187" w:rsidRDefault="00DF0187" w:rsidP="00D05816">
            <w:pPr>
              <w:pStyle w:val="BodyText"/>
              <w:numPr>
                <w:ilvl w:val="0"/>
                <w:numId w:val="19"/>
              </w:numPr>
              <w:spacing w:before="0" w:after="0" w:line="264" w:lineRule="auto"/>
              <w:contextualSpacing/>
              <w:rPr>
                <w:rFonts w:ascii="Times New Roman" w:hAnsi="Times New Roman"/>
                <w:szCs w:val="22"/>
              </w:rPr>
            </w:pPr>
            <w:r>
              <w:rPr>
                <w:rFonts w:ascii="Times New Roman" w:hAnsi="Times New Roman"/>
                <w:szCs w:val="22"/>
              </w:rPr>
              <w:t>Effort controlled (allowing a maximum number of weirs)</w:t>
            </w:r>
          </w:p>
          <w:p w14:paraId="7A3D8BC3" w14:textId="77777777" w:rsidR="00DF0187" w:rsidRDefault="00DF0187" w:rsidP="00D05816">
            <w:pPr>
              <w:pStyle w:val="BodyText"/>
              <w:numPr>
                <w:ilvl w:val="0"/>
                <w:numId w:val="19"/>
              </w:numPr>
              <w:spacing w:before="0" w:after="0" w:line="264" w:lineRule="auto"/>
              <w:contextualSpacing/>
              <w:rPr>
                <w:rFonts w:ascii="Times New Roman" w:hAnsi="Times New Roman"/>
                <w:szCs w:val="22"/>
              </w:rPr>
            </w:pPr>
            <w:r>
              <w:rPr>
                <w:rFonts w:ascii="Times New Roman" w:hAnsi="Times New Roman"/>
                <w:szCs w:val="22"/>
              </w:rPr>
              <w:t>Landings are primarily juveniles and are counted toward US herring stock</w:t>
            </w:r>
          </w:p>
          <w:p w14:paraId="2627AF94" w14:textId="77777777" w:rsidR="00DF0187" w:rsidRDefault="00DF0187" w:rsidP="00D05816">
            <w:pPr>
              <w:pStyle w:val="BodyText"/>
              <w:numPr>
                <w:ilvl w:val="0"/>
                <w:numId w:val="19"/>
              </w:numPr>
              <w:spacing w:before="0" w:after="0" w:line="264" w:lineRule="auto"/>
              <w:contextualSpacing/>
              <w:rPr>
                <w:rFonts w:ascii="Times New Roman" w:hAnsi="Times New Roman"/>
                <w:szCs w:val="22"/>
              </w:rPr>
            </w:pPr>
            <w:r>
              <w:rPr>
                <w:rFonts w:ascii="Times New Roman" w:hAnsi="Times New Roman"/>
                <w:szCs w:val="22"/>
              </w:rPr>
              <w:t>Unknown proportion of juveniles are from 4VWX stock, supported by tagging studies</w:t>
            </w:r>
          </w:p>
        </w:tc>
      </w:tr>
    </w:tbl>
    <w:p w14:paraId="780A2E9B" w14:textId="77777777" w:rsidR="00DF0187" w:rsidRPr="002E1C23" w:rsidRDefault="00DF0187" w:rsidP="00DF0187">
      <w:pPr>
        <w:spacing w:beforeLines="120" w:before="288" w:afterLines="120" w:after="288" w:line="264" w:lineRule="auto"/>
        <w:contextualSpacing/>
        <w:rPr>
          <w:rFonts w:ascii="Times New Roman" w:hAnsi="Times New Roman" w:cs="Times New Roman"/>
        </w:rPr>
      </w:pPr>
      <w:r w:rsidRPr="004D58D7">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lastRenderedPageBreak/>
        <w:t xml:space="preserve"> </w:t>
      </w:r>
      <w:r w:rsidRPr="004D58D7">
        <w:rPr>
          <w:rFonts w:ascii="Times New Roman" w:hAnsi="Times New Roman" w:cs="Times New Roman"/>
          <w:noProof/>
          <w:lang w:val="en-CA" w:eastAsia="en-CA"/>
        </w:rPr>
        <w:drawing>
          <wp:inline distT="0" distB="0" distL="0" distR="0" wp14:anchorId="459C5321" wp14:editId="192DF022">
            <wp:extent cx="5943600" cy="3845859"/>
            <wp:effectExtent l="0" t="0" r="0" b="2540"/>
            <wp:docPr id="6" name="Picture 6" descr="C:\Users\barretttj\Desktop\Workshop\Figure_1_all_l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arretttj\Desktop\Workshop\Figure_1_all_lab.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845859"/>
                    </a:xfrm>
                    <a:prstGeom prst="rect">
                      <a:avLst/>
                    </a:prstGeom>
                    <a:noFill/>
                    <a:ln>
                      <a:noFill/>
                    </a:ln>
                  </pic:spPr>
                </pic:pic>
              </a:graphicData>
            </a:graphic>
          </wp:inline>
        </w:drawing>
      </w:r>
    </w:p>
    <w:p w14:paraId="39AAD8AF" w14:textId="77777777" w:rsidR="00DF0187" w:rsidRDefault="00DF0187" w:rsidP="00DF0187">
      <w:pPr>
        <w:pStyle w:val="Caption-Figure"/>
        <w:spacing w:beforeLines="120" w:before="288" w:afterLines="120" w:after="288" w:line="264" w:lineRule="auto"/>
        <w:contextualSpacing/>
        <w:rPr>
          <w:rFonts w:ascii="Times New Roman" w:hAnsi="Times New Roman"/>
          <w:sz w:val="22"/>
          <w:szCs w:val="22"/>
        </w:rPr>
      </w:pPr>
      <w:r w:rsidRPr="002E1C23">
        <w:rPr>
          <w:rFonts w:ascii="Times New Roman" w:hAnsi="Times New Roman"/>
          <w:sz w:val="22"/>
          <w:szCs w:val="22"/>
        </w:rPr>
        <w:t xml:space="preserve">Figure </w:t>
      </w:r>
      <w:r>
        <w:rPr>
          <w:rFonts w:ascii="Times New Roman" w:hAnsi="Times New Roman"/>
          <w:sz w:val="22"/>
          <w:szCs w:val="22"/>
        </w:rPr>
        <w:t>1</w:t>
      </w:r>
      <w:r w:rsidRPr="002E1C23">
        <w:rPr>
          <w:rFonts w:ascii="Times New Roman" w:hAnsi="Times New Roman"/>
          <w:sz w:val="22"/>
          <w:szCs w:val="22"/>
        </w:rPr>
        <w:t xml:space="preserve">. Map of herring fishing areas in NAFO area 4VWX. </w:t>
      </w:r>
    </w:p>
    <w:p w14:paraId="6A478C76" w14:textId="77777777" w:rsidR="00DF0187" w:rsidRPr="002E1C23" w:rsidRDefault="00DF0187" w:rsidP="00DF0187">
      <w:pPr>
        <w:pStyle w:val="Caption-Figure"/>
        <w:spacing w:beforeLines="120" w:before="288" w:afterLines="120" w:after="288" w:line="264" w:lineRule="auto"/>
        <w:contextualSpacing/>
        <w:rPr>
          <w:rFonts w:ascii="Times New Roman" w:hAnsi="Times New Roman"/>
          <w:sz w:val="22"/>
          <w:szCs w:val="22"/>
        </w:rPr>
      </w:pPr>
    </w:p>
    <w:p w14:paraId="55E4715E" w14:textId="77777777" w:rsidR="00DF0187" w:rsidRPr="002E1C23" w:rsidRDefault="00DF0187" w:rsidP="00DF0187">
      <w:pPr>
        <w:pStyle w:val="Caption-Figure"/>
        <w:spacing w:beforeLines="120" w:before="288" w:afterLines="120" w:after="288" w:line="264" w:lineRule="auto"/>
        <w:contextualSpacing/>
        <w:rPr>
          <w:rFonts w:ascii="Times New Roman" w:hAnsi="Times New Roman"/>
          <w:sz w:val="22"/>
          <w:szCs w:val="22"/>
        </w:rPr>
      </w:pPr>
      <w:r w:rsidRPr="002E1C23">
        <w:rPr>
          <w:rFonts w:ascii="Times New Roman" w:hAnsi="Times New Roman"/>
          <w:sz w:val="22"/>
          <w:szCs w:val="22"/>
        </w:rPr>
        <w:t>Summary of management components for the 4VWX herring stock:</w:t>
      </w:r>
    </w:p>
    <w:p w14:paraId="37DE0F92" w14:textId="77777777" w:rsidR="00DF0187" w:rsidRDefault="00DF0187" w:rsidP="00DF0187">
      <w:pPr>
        <w:pStyle w:val="Caption-Figure"/>
        <w:numPr>
          <w:ilvl w:val="0"/>
          <w:numId w:val="23"/>
        </w:numPr>
        <w:spacing w:beforeLines="120" w:before="288" w:afterLines="120" w:after="288" w:line="264" w:lineRule="auto"/>
        <w:contextualSpacing/>
        <w:rPr>
          <w:rFonts w:ascii="Times New Roman" w:hAnsi="Times New Roman"/>
          <w:sz w:val="22"/>
          <w:szCs w:val="22"/>
        </w:rPr>
      </w:pPr>
      <w:r w:rsidRPr="004D58D7">
        <w:rPr>
          <w:rFonts w:ascii="Times New Roman" w:hAnsi="Times New Roman"/>
          <w:sz w:val="22"/>
          <w:szCs w:val="22"/>
        </w:rPr>
        <w:t>SWNS/BoF management component: red shading, SB = Scots Bay spawning area; GB = German Bank spawning area</w:t>
      </w:r>
    </w:p>
    <w:p w14:paraId="5D082782" w14:textId="77777777" w:rsidR="00DF0187" w:rsidRDefault="00DF0187" w:rsidP="00DF0187">
      <w:pPr>
        <w:pStyle w:val="Caption-Figure"/>
        <w:numPr>
          <w:ilvl w:val="0"/>
          <w:numId w:val="23"/>
        </w:numPr>
        <w:spacing w:beforeLines="120" w:before="288" w:afterLines="120" w:after="288" w:line="264" w:lineRule="auto"/>
        <w:contextualSpacing/>
        <w:rPr>
          <w:rFonts w:ascii="Times New Roman" w:hAnsi="Times New Roman"/>
          <w:sz w:val="22"/>
          <w:szCs w:val="22"/>
        </w:rPr>
      </w:pPr>
      <w:r w:rsidRPr="004D58D7">
        <w:rPr>
          <w:rFonts w:ascii="Times New Roman" w:hAnsi="Times New Roman"/>
          <w:sz w:val="22"/>
          <w:szCs w:val="22"/>
        </w:rPr>
        <w:t>Offshore Scot</w:t>
      </w:r>
      <w:r>
        <w:rPr>
          <w:rFonts w:ascii="Times New Roman" w:hAnsi="Times New Roman"/>
          <w:sz w:val="22"/>
          <w:szCs w:val="22"/>
        </w:rPr>
        <w:t>ian Shelf management component:</w:t>
      </w:r>
      <w:r w:rsidRPr="004D58D7">
        <w:rPr>
          <w:rFonts w:ascii="Times New Roman" w:hAnsi="Times New Roman"/>
          <w:sz w:val="22"/>
          <w:szCs w:val="22"/>
        </w:rPr>
        <w:t xml:space="preserve"> grey shading, area in 4VWX east of SWNS/BoF and greater than ~25 miles from shore.</w:t>
      </w:r>
    </w:p>
    <w:p w14:paraId="1CE08D68" w14:textId="77777777" w:rsidR="00DF0187" w:rsidRDefault="00DF0187" w:rsidP="00DF0187">
      <w:pPr>
        <w:pStyle w:val="Caption-Figure"/>
        <w:numPr>
          <w:ilvl w:val="0"/>
          <w:numId w:val="23"/>
        </w:numPr>
        <w:spacing w:beforeLines="120" w:before="288" w:afterLines="120" w:after="288" w:line="264" w:lineRule="auto"/>
        <w:contextualSpacing/>
        <w:rPr>
          <w:rFonts w:ascii="Times New Roman" w:hAnsi="Times New Roman"/>
          <w:sz w:val="22"/>
          <w:szCs w:val="22"/>
        </w:rPr>
      </w:pPr>
      <w:r w:rsidRPr="004D58D7">
        <w:rPr>
          <w:rFonts w:ascii="Times New Roman" w:hAnsi="Times New Roman"/>
          <w:sz w:val="22"/>
          <w:szCs w:val="22"/>
        </w:rPr>
        <w:t>Coastal NS management component: gold shading, area in 4VWX east of SWNS/BoF and within ~25 miles from shore. SS = South Shore; ES = Eastern Shore; CB = Cape Breton.</w:t>
      </w:r>
    </w:p>
    <w:p w14:paraId="1C2B408E" w14:textId="6D9D86D3" w:rsidR="00514193" w:rsidRPr="00DF0187" w:rsidRDefault="00DF0187" w:rsidP="00DF0187">
      <w:r w:rsidRPr="004D58D7">
        <w:rPr>
          <w:rFonts w:ascii="Times New Roman" w:hAnsi="Times New Roman"/>
        </w:rPr>
        <w:t>SWNB Weir management component = Southwest New Brunswick (herring landed by weir in coastal SWNB). Note: herring landed in SWNB by other gear types are included in the SWNS/BoF management component</w:t>
      </w:r>
    </w:p>
    <w:sectPr w:rsidR="00514193" w:rsidRPr="00DF0187" w:rsidSect="004F44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Bold">
    <w:panose1 w:val="020B07040202020202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B25964"/>
    <w:multiLevelType w:val="hybridMultilevel"/>
    <w:tmpl w:val="59383B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1586C"/>
    <w:multiLevelType w:val="hybridMultilevel"/>
    <w:tmpl w:val="D88E77D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72E66E5"/>
    <w:multiLevelType w:val="hybridMultilevel"/>
    <w:tmpl w:val="4C48F80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D893D5F"/>
    <w:multiLevelType w:val="hybridMultilevel"/>
    <w:tmpl w:val="65C6F8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072775C"/>
    <w:multiLevelType w:val="hybridMultilevel"/>
    <w:tmpl w:val="55728DC2"/>
    <w:lvl w:ilvl="0" w:tplc="10090001">
      <w:start w:val="1"/>
      <w:numFmt w:val="bullet"/>
      <w:lvlText w:val=""/>
      <w:lvlJc w:val="left"/>
      <w:pPr>
        <w:ind w:left="994" w:hanging="360"/>
      </w:pPr>
      <w:rPr>
        <w:rFonts w:ascii="Symbol" w:hAnsi="Symbol" w:hint="default"/>
      </w:rPr>
    </w:lvl>
    <w:lvl w:ilvl="1" w:tplc="10090003" w:tentative="1">
      <w:start w:val="1"/>
      <w:numFmt w:val="bullet"/>
      <w:lvlText w:val="o"/>
      <w:lvlJc w:val="left"/>
      <w:pPr>
        <w:ind w:left="1714" w:hanging="360"/>
      </w:pPr>
      <w:rPr>
        <w:rFonts w:ascii="Courier New" w:hAnsi="Courier New" w:cs="Courier New" w:hint="default"/>
      </w:rPr>
    </w:lvl>
    <w:lvl w:ilvl="2" w:tplc="10090005" w:tentative="1">
      <w:start w:val="1"/>
      <w:numFmt w:val="bullet"/>
      <w:lvlText w:val=""/>
      <w:lvlJc w:val="left"/>
      <w:pPr>
        <w:ind w:left="2434" w:hanging="360"/>
      </w:pPr>
      <w:rPr>
        <w:rFonts w:ascii="Wingdings" w:hAnsi="Wingdings" w:hint="default"/>
      </w:rPr>
    </w:lvl>
    <w:lvl w:ilvl="3" w:tplc="10090001" w:tentative="1">
      <w:start w:val="1"/>
      <w:numFmt w:val="bullet"/>
      <w:lvlText w:val=""/>
      <w:lvlJc w:val="left"/>
      <w:pPr>
        <w:ind w:left="3154" w:hanging="360"/>
      </w:pPr>
      <w:rPr>
        <w:rFonts w:ascii="Symbol" w:hAnsi="Symbol" w:hint="default"/>
      </w:rPr>
    </w:lvl>
    <w:lvl w:ilvl="4" w:tplc="10090003" w:tentative="1">
      <w:start w:val="1"/>
      <w:numFmt w:val="bullet"/>
      <w:lvlText w:val="o"/>
      <w:lvlJc w:val="left"/>
      <w:pPr>
        <w:ind w:left="3874" w:hanging="360"/>
      </w:pPr>
      <w:rPr>
        <w:rFonts w:ascii="Courier New" w:hAnsi="Courier New" w:cs="Courier New" w:hint="default"/>
      </w:rPr>
    </w:lvl>
    <w:lvl w:ilvl="5" w:tplc="10090005" w:tentative="1">
      <w:start w:val="1"/>
      <w:numFmt w:val="bullet"/>
      <w:lvlText w:val=""/>
      <w:lvlJc w:val="left"/>
      <w:pPr>
        <w:ind w:left="4594" w:hanging="360"/>
      </w:pPr>
      <w:rPr>
        <w:rFonts w:ascii="Wingdings" w:hAnsi="Wingdings" w:hint="default"/>
      </w:rPr>
    </w:lvl>
    <w:lvl w:ilvl="6" w:tplc="10090001" w:tentative="1">
      <w:start w:val="1"/>
      <w:numFmt w:val="bullet"/>
      <w:lvlText w:val=""/>
      <w:lvlJc w:val="left"/>
      <w:pPr>
        <w:ind w:left="5314" w:hanging="360"/>
      </w:pPr>
      <w:rPr>
        <w:rFonts w:ascii="Symbol" w:hAnsi="Symbol" w:hint="default"/>
      </w:rPr>
    </w:lvl>
    <w:lvl w:ilvl="7" w:tplc="10090003" w:tentative="1">
      <w:start w:val="1"/>
      <w:numFmt w:val="bullet"/>
      <w:lvlText w:val="o"/>
      <w:lvlJc w:val="left"/>
      <w:pPr>
        <w:ind w:left="6034" w:hanging="360"/>
      </w:pPr>
      <w:rPr>
        <w:rFonts w:ascii="Courier New" w:hAnsi="Courier New" w:cs="Courier New" w:hint="default"/>
      </w:rPr>
    </w:lvl>
    <w:lvl w:ilvl="8" w:tplc="10090005" w:tentative="1">
      <w:start w:val="1"/>
      <w:numFmt w:val="bullet"/>
      <w:lvlText w:val=""/>
      <w:lvlJc w:val="left"/>
      <w:pPr>
        <w:ind w:left="6754" w:hanging="360"/>
      </w:pPr>
      <w:rPr>
        <w:rFonts w:ascii="Wingdings" w:hAnsi="Wingdings" w:hint="default"/>
      </w:rPr>
    </w:lvl>
  </w:abstractNum>
  <w:abstractNum w:abstractNumId="5" w15:restartNumberingAfterBreak="0">
    <w:nsid w:val="24883A0D"/>
    <w:multiLevelType w:val="hybridMultilevel"/>
    <w:tmpl w:val="9490F24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33685E9A"/>
    <w:multiLevelType w:val="hybridMultilevel"/>
    <w:tmpl w:val="E32A4AB0"/>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7" w15:restartNumberingAfterBreak="0">
    <w:nsid w:val="36B57A9C"/>
    <w:multiLevelType w:val="hybridMultilevel"/>
    <w:tmpl w:val="E90E3F4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6C02783"/>
    <w:multiLevelType w:val="hybridMultilevel"/>
    <w:tmpl w:val="18C6D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8F43A59"/>
    <w:multiLevelType w:val="hybridMultilevel"/>
    <w:tmpl w:val="7046B8E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91F109A"/>
    <w:multiLevelType w:val="hybridMultilevel"/>
    <w:tmpl w:val="4D5E6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8679DE"/>
    <w:multiLevelType w:val="hybridMultilevel"/>
    <w:tmpl w:val="2BE65B5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6950D1D"/>
    <w:multiLevelType w:val="hybridMultilevel"/>
    <w:tmpl w:val="6A188D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4B5A7D30"/>
    <w:multiLevelType w:val="hybridMultilevel"/>
    <w:tmpl w:val="0122E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097769"/>
    <w:multiLevelType w:val="hybridMultilevel"/>
    <w:tmpl w:val="A45ABEA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5" w15:restartNumberingAfterBreak="0">
    <w:nsid w:val="54656F6C"/>
    <w:multiLevelType w:val="hybridMultilevel"/>
    <w:tmpl w:val="2364F63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58113E5B"/>
    <w:multiLevelType w:val="hybridMultilevel"/>
    <w:tmpl w:val="C622A6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5FBC7CA7"/>
    <w:multiLevelType w:val="hybridMultilevel"/>
    <w:tmpl w:val="CA7C9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1DE42A8"/>
    <w:multiLevelType w:val="hybridMultilevel"/>
    <w:tmpl w:val="B2F4F2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64F67E8A"/>
    <w:multiLevelType w:val="hybridMultilevel"/>
    <w:tmpl w:val="898AE8F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6F8C26B6"/>
    <w:multiLevelType w:val="hybridMultilevel"/>
    <w:tmpl w:val="A37C5F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7B320A17"/>
    <w:multiLevelType w:val="hybridMultilevel"/>
    <w:tmpl w:val="78663F3A"/>
    <w:lvl w:ilvl="0" w:tplc="10090001">
      <w:start w:val="1"/>
      <w:numFmt w:val="bullet"/>
      <w:lvlText w:val=""/>
      <w:lvlJc w:val="left"/>
      <w:pPr>
        <w:ind w:left="780" w:hanging="360"/>
      </w:pPr>
      <w:rPr>
        <w:rFonts w:ascii="Symbol" w:hAnsi="Symbol" w:hint="default"/>
      </w:rPr>
    </w:lvl>
    <w:lvl w:ilvl="1" w:tplc="10090003" w:tentative="1">
      <w:start w:val="1"/>
      <w:numFmt w:val="bullet"/>
      <w:lvlText w:val="o"/>
      <w:lvlJc w:val="left"/>
      <w:pPr>
        <w:ind w:left="1500" w:hanging="360"/>
      </w:pPr>
      <w:rPr>
        <w:rFonts w:ascii="Courier New" w:hAnsi="Courier New" w:cs="Courier New" w:hint="default"/>
      </w:rPr>
    </w:lvl>
    <w:lvl w:ilvl="2" w:tplc="10090005" w:tentative="1">
      <w:start w:val="1"/>
      <w:numFmt w:val="bullet"/>
      <w:lvlText w:val=""/>
      <w:lvlJc w:val="left"/>
      <w:pPr>
        <w:ind w:left="2220" w:hanging="360"/>
      </w:pPr>
      <w:rPr>
        <w:rFonts w:ascii="Wingdings" w:hAnsi="Wingdings" w:hint="default"/>
      </w:rPr>
    </w:lvl>
    <w:lvl w:ilvl="3" w:tplc="10090001" w:tentative="1">
      <w:start w:val="1"/>
      <w:numFmt w:val="bullet"/>
      <w:lvlText w:val=""/>
      <w:lvlJc w:val="left"/>
      <w:pPr>
        <w:ind w:left="2940" w:hanging="360"/>
      </w:pPr>
      <w:rPr>
        <w:rFonts w:ascii="Symbol" w:hAnsi="Symbol" w:hint="default"/>
      </w:rPr>
    </w:lvl>
    <w:lvl w:ilvl="4" w:tplc="10090003" w:tentative="1">
      <w:start w:val="1"/>
      <w:numFmt w:val="bullet"/>
      <w:lvlText w:val="o"/>
      <w:lvlJc w:val="left"/>
      <w:pPr>
        <w:ind w:left="3660" w:hanging="360"/>
      </w:pPr>
      <w:rPr>
        <w:rFonts w:ascii="Courier New" w:hAnsi="Courier New" w:cs="Courier New" w:hint="default"/>
      </w:rPr>
    </w:lvl>
    <w:lvl w:ilvl="5" w:tplc="10090005" w:tentative="1">
      <w:start w:val="1"/>
      <w:numFmt w:val="bullet"/>
      <w:lvlText w:val=""/>
      <w:lvlJc w:val="left"/>
      <w:pPr>
        <w:ind w:left="4380" w:hanging="360"/>
      </w:pPr>
      <w:rPr>
        <w:rFonts w:ascii="Wingdings" w:hAnsi="Wingdings" w:hint="default"/>
      </w:rPr>
    </w:lvl>
    <w:lvl w:ilvl="6" w:tplc="10090001" w:tentative="1">
      <w:start w:val="1"/>
      <w:numFmt w:val="bullet"/>
      <w:lvlText w:val=""/>
      <w:lvlJc w:val="left"/>
      <w:pPr>
        <w:ind w:left="5100" w:hanging="360"/>
      </w:pPr>
      <w:rPr>
        <w:rFonts w:ascii="Symbol" w:hAnsi="Symbol" w:hint="default"/>
      </w:rPr>
    </w:lvl>
    <w:lvl w:ilvl="7" w:tplc="10090003" w:tentative="1">
      <w:start w:val="1"/>
      <w:numFmt w:val="bullet"/>
      <w:lvlText w:val="o"/>
      <w:lvlJc w:val="left"/>
      <w:pPr>
        <w:ind w:left="5820" w:hanging="360"/>
      </w:pPr>
      <w:rPr>
        <w:rFonts w:ascii="Courier New" w:hAnsi="Courier New" w:cs="Courier New" w:hint="default"/>
      </w:rPr>
    </w:lvl>
    <w:lvl w:ilvl="8" w:tplc="10090005" w:tentative="1">
      <w:start w:val="1"/>
      <w:numFmt w:val="bullet"/>
      <w:lvlText w:val=""/>
      <w:lvlJc w:val="left"/>
      <w:pPr>
        <w:ind w:left="6540" w:hanging="360"/>
      </w:pPr>
      <w:rPr>
        <w:rFonts w:ascii="Wingdings" w:hAnsi="Wingdings" w:hint="default"/>
      </w:rPr>
    </w:lvl>
  </w:abstractNum>
  <w:abstractNum w:abstractNumId="22" w15:restartNumberingAfterBreak="0">
    <w:nsid w:val="7EF264EF"/>
    <w:multiLevelType w:val="hybridMultilevel"/>
    <w:tmpl w:val="6818E81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abstractNumId w:val="3"/>
  </w:num>
  <w:num w:numId="2">
    <w:abstractNumId w:val="9"/>
  </w:num>
  <w:num w:numId="3">
    <w:abstractNumId w:val="21"/>
  </w:num>
  <w:num w:numId="4">
    <w:abstractNumId w:val="19"/>
  </w:num>
  <w:num w:numId="5">
    <w:abstractNumId w:val="4"/>
  </w:num>
  <w:num w:numId="6">
    <w:abstractNumId w:val="12"/>
  </w:num>
  <w:num w:numId="7">
    <w:abstractNumId w:val="11"/>
  </w:num>
  <w:num w:numId="8">
    <w:abstractNumId w:val="6"/>
  </w:num>
  <w:num w:numId="9">
    <w:abstractNumId w:val="2"/>
  </w:num>
  <w:num w:numId="10">
    <w:abstractNumId w:val="20"/>
  </w:num>
  <w:num w:numId="11">
    <w:abstractNumId w:val="7"/>
  </w:num>
  <w:num w:numId="12">
    <w:abstractNumId w:val="16"/>
  </w:num>
  <w:num w:numId="13">
    <w:abstractNumId w:val="5"/>
  </w:num>
  <w:num w:numId="14">
    <w:abstractNumId w:val="15"/>
  </w:num>
  <w:num w:numId="15">
    <w:abstractNumId w:val="22"/>
  </w:num>
  <w:num w:numId="16">
    <w:abstractNumId w:val="18"/>
  </w:num>
  <w:num w:numId="17">
    <w:abstractNumId w:val="10"/>
  </w:num>
  <w:num w:numId="18">
    <w:abstractNumId w:val="17"/>
  </w:num>
  <w:num w:numId="19">
    <w:abstractNumId w:val="13"/>
  </w:num>
  <w:num w:numId="20">
    <w:abstractNumId w:val="8"/>
  </w:num>
  <w:num w:numId="21">
    <w:abstractNumId w:val="0"/>
  </w:num>
  <w:num w:numId="22">
    <w:abstractNumId w:val="14"/>
  </w:num>
  <w:num w:numId="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2BE7"/>
    <w:rsid w:val="00010BCF"/>
    <w:rsid w:val="000147D4"/>
    <w:rsid w:val="00032F21"/>
    <w:rsid w:val="00035FD7"/>
    <w:rsid w:val="00045077"/>
    <w:rsid w:val="000852B2"/>
    <w:rsid w:val="000A7242"/>
    <w:rsid w:val="000B2908"/>
    <w:rsid w:val="001544FE"/>
    <w:rsid w:val="001A45A8"/>
    <w:rsid w:val="001B3BD8"/>
    <w:rsid w:val="002D6F92"/>
    <w:rsid w:val="002E1C23"/>
    <w:rsid w:val="00316B68"/>
    <w:rsid w:val="0036250C"/>
    <w:rsid w:val="003842AA"/>
    <w:rsid w:val="003C0592"/>
    <w:rsid w:val="004009CD"/>
    <w:rsid w:val="00410D01"/>
    <w:rsid w:val="004319CD"/>
    <w:rsid w:val="00442725"/>
    <w:rsid w:val="00487131"/>
    <w:rsid w:val="004F44B3"/>
    <w:rsid w:val="00514193"/>
    <w:rsid w:val="005171B1"/>
    <w:rsid w:val="00517986"/>
    <w:rsid w:val="00584A3A"/>
    <w:rsid w:val="00593BDA"/>
    <w:rsid w:val="006130C4"/>
    <w:rsid w:val="006248E6"/>
    <w:rsid w:val="0067741D"/>
    <w:rsid w:val="006B3539"/>
    <w:rsid w:val="007A3E10"/>
    <w:rsid w:val="007E2BE7"/>
    <w:rsid w:val="008026AD"/>
    <w:rsid w:val="00830C2A"/>
    <w:rsid w:val="00850751"/>
    <w:rsid w:val="008D15B8"/>
    <w:rsid w:val="008E439B"/>
    <w:rsid w:val="00903022"/>
    <w:rsid w:val="009602C1"/>
    <w:rsid w:val="00987F4C"/>
    <w:rsid w:val="009B2AD1"/>
    <w:rsid w:val="009E1179"/>
    <w:rsid w:val="009E72DC"/>
    <w:rsid w:val="00A079DE"/>
    <w:rsid w:val="00A6675D"/>
    <w:rsid w:val="00AA44D4"/>
    <w:rsid w:val="00AA5647"/>
    <w:rsid w:val="00B94AD6"/>
    <w:rsid w:val="00B95166"/>
    <w:rsid w:val="00BD3239"/>
    <w:rsid w:val="00BE509D"/>
    <w:rsid w:val="00C00B32"/>
    <w:rsid w:val="00C174D4"/>
    <w:rsid w:val="00C8056B"/>
    <w:rsid w:val="00C91B34"/>
    <w:rsid w:val="00CC1C86"/>
    <w:rsid w:val="00D27991"/>
    <w:rsid w:val="00D306C5"/>
    <w:rsid w:val="00D569CF"/>
    <w:rsid w:val="00DF0187"/>
    <w:rsid w:val="00E03320"/>
    <w:rsid w:val="00EC3C88"/>
    <w:rsid w:val="00EE2030"/>
    <w:rsid w:val="00EF5A3A"/>
    <w:rsid w:val="00F104BE"/>
    <w:rsid w:val="00F1334A"/>
    <w:rsid w:val="00F26CD0"/>
    <w:rsid w:val="00F64B5D"/>
    <w:rsid w:val="00FE15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C57BE"/>
  <w15:chartTrackingRefBased/>
  <w15:docId w15:val="{945E50DC-FF6E-489F-A057-4B5065A41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F0187"/>
  </w:style>
  <w:style w:type="paragraph" w:styleId="Heading1">
    <w:name w:val="heading 1"/>
    <w:basedOn w:val="Normal"/>
    <w:next w:val="Normal"/>
    <w:link w:val="Heading1Char"/>
    <w:uiPriority w:val="9"/>
    <w:qFormat/>
    <w:rsid w:val="001B3B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autoRedefine/>
    <w:uiPriority w:val="9"/>
    <w:qFormat/>
    <w:rsid w:val="00514193"/>
    <w:pPr>
      <w:keepNext/>
      <w:spacing w:before="240" w:after="120" w:line="240" w:lineRule="auto"/>
      <w:jc w:val="center"/>
      <w:outlineLvl w:val="1"/>
    </w:pPr>
    <w:rPr>
      <w:rFonts w:ascii="Arial Bold" w:eastAsia="Times New Roman" w:hAnsi="Arial Bold" w:cs="Times New Roman"/>
      <w:b/>
      <w:caps/>
      <w:sz w:val="24"/>
      <w:szCs w:val="24"/>
      <w:lang w:val="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14193"/>
    <w:rPr>
      <w:rFonts w:ascii="Arial Bold" w:eastAsia="Times New Roman" w:hAnsi="Arial Bold" w:cs="Times New Roman"/>
      <w:b/>
      <w:caps/>
      <w:sz w:val="24"/>
      <w:szCs w:val="24"/>
      <w:lang w:val="en-CA"/>
    </w:rPr>
  </w:style>
  <w:style w:type="paragraph" w:styleId="BodyText">
    <w:name w:val="Body Text"/>
    <w:basedOn w:val="Normal"/>
    <w:link w:val="BodyTextChar"/>
    <w:qFormat/>
    <w:rsid w:val="00514193"/>
    <w:pPr>
      <w:spacing w:before="120" w:after="120" w:line="240" w:lineRule="auto"/>
    </w:pPr>
    <w:rPr>
      <w:rFonts w:ascii="Arial" w:eastAsia="Times New Roman" w:hAnsi="Arial" w:cs="Times New Roman"/>
      <w:szCs w:val="20"/>
      <w:lang w:val="en-CA"/>
    </w:rPr>
  </w:style>
  <w:style w:type="character" w:customStyle="1" w:styleId="BodyTextChar">
    <w:name w:val="Body Text Char"/>
    <w:basedOn w:val="DefaultParagraphFont"/>
    <w:link w:val="BodyText"/>
    <w:rsid w:val="00514193"/>
    <w:rPr>
      <w:rFonts w:ascii="Arial" w:eastAsia="Times New Roman" w:hAnsi="Arial" w:cs="Times New Roman"/>
      <w:szCs w:val="20"/>
      <w:lang w:val="en-CA"/>
    </w:rPr>
  </w:style>
  <w:style w:type="paragraph" w:customStyle="1" w:styleId="Caption-Table">
    <w:name w:val="Caption - Table"/>
    <w:basedOn w:val="Normal"/>
    <w:qFormat/>
    <w:rsid w:val="00514193"/>
    <w:pPr>
      <w:keepNext/>
      <w:keepLines/>
      <w:spacing w:before="240" w:after="120" w:line="240" w:lineRule="auto"/>
    </w:pPr>
    <w:rPr>
      <w:rFonts w:ascii="Arial" w:eastAsia="Times New Roman" w:hAnsi="Arial" w:cs="Times New Roman"/>
      <w:i/>
      <w:sz w:val="20"/>
      <w:szCs w:val="20"/>
      <w:lang w:val="en-CA"/>
    </w:rPr>
  </w:style>
  <w:style w:type="paragraph" w:customStyle="1" w:styleId="Caption-Figure">
    <w:name w:val="Caption - Figure"/>
    <w:basedOn w:val="Normal"/>
    <w:qFormat/>
    <w:rsid w:val="00514193"/>
    <w:pPr>
      <w:keepLines/>
      <w:spacing w:before="120" w:after="240" w:line="240" w:lineRule="auto"/>
    </w:pPr>
    <w:rPr>
      <w:rFonts w:ascii="Arial" w:eastAsia="Times New Roman" w:hAnsi="Arial" w:cs="Times New Roman"/>
      <w:i/>
      <w:sz w:val="20"/>
      <w:szCs w:val="20"/>
      <w:lang w:val="en-CA"/>
    </w:rPr>
  </w:style>
  <w:style w:type="character" w:styleId="CommentReference">
    <w:name w:val="annotation reference"/>
    <w:basedOn w:val="DefaultParagraphFont"/>
    <w:uiPriority w:val="99"/>
    <w:semiHidden/>
    <w:unhideWhenUsed/>
    <w:rsid w:val="0067741D"/>
    <w:rPr>
      <w:sz w:val="16"/>
      <w:szCs w:val="16"/>
    </w:rPr>
  </w:style>
  <w:style w:type="paragraph" w:styleId="CommentText">
    <w:name w:val="annotation text"/>
    <w:basedOn w:val="Normal"/>
    <w:link w:val="CommentTextChar"/>
    <w:uiPriority w:val="99"/>
    <w:semiHidden/>
    <w:unhideWhenUsed/>
    <w:rsid w:val="0067741D"/>
    <w:pPr>
      <w:spacing w:line="240" w:lineRule="auto"/>
    </w:pPr>
    <w:rPr>
      <w:sz w:val="20"/>
      <w:szCs w:val="20"/>
    </w:rPr>
  </w:style>
  <w:style w:type="character" w:customStyle="1" w:styleId="CommentTextChar">
    <w:name w:val="Comment Text Char"/>
    <w:basedOn w:val="DefaultParagraphFont"/>
    <w:link w:val="CommentText"/>
    <w:uiPriority w:val="99"/>
    <w:semiHidden/>
    <w:rsid w:val="0067741D"/>
    <w:rPr>
      <w:sz w:val="20"/>
      <w:szCs w:val="20"/>
    </w:rPr>
  </w:style>
  <w:style w:type="paragraph" w:styleId="CommentSubject">
    <w:name w:val="annotation subject"/>
    <w:basedOn w:val="CommentText"/>
    <w:next w:val="CommentText"/>
    <w:link w:val="CommentSubjectChar"/>
    <w:uiPriority w:val="99"/>
    <w:semiHidden/>
    <w:unhideWhenUsed/>
    <w:rsid w:val="0067741D"/>
    <w:rPr>
      <w:b/>
      <w:bCs/>
    </w:rPr>
  </w:style>
  <w:style w:type="character" w:customStyle="1" w:styleId="CommentSubjectChar">
    <w:name w:val="Comment Subject Char"/>
    <w:basedOn w:val="CommentTextChar"/>
    <w:link w:val="CommentSubject"/>
    <w:uiPriority w:val="99"/>
    <w:semiHidden/>
    <w:rsid w:val="0067741D"/>
    <w:rPr>
      <w:b/>
      <w:bCs/>
      <w:sz w:val="20"/>
      <w:szCs w:val="20"/>
    </w:rPr>
  </w:style>
  <w:style w:type="paragraph" w:styleId="BalloonText">
    <w:name w:val="Balloon Text"/>
    <w:basedOn w:val="Normal"/>
    <w:link w:val="BalloonTextChar"/>
    <w:uiPriority w:val="99"/>
    <w:semiHidden/>
    <w:unhideWhenUsed/>
    <w:rsid w:val="0067741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741D"/>
    <w:rPr>
      <w:rFonts w:ascii="Segoe UI" w:hAnsi="Segoe UI" w:cs="Segoe UI"/>
      <w:sz w:val="18"/>
      <w:szCs w:val="18"/>
    </w:rPr>
  </w:style>
  <w:style w:type="table" w:styleId="TableGrid">
    <w:name w:val="Table Grid"/>
    <w:basedOn w:val="TableNormal"/>
    <w:uiPriority w:val="39"/>
    <w:rsid w:val="006248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248E6"/>
    <w:rPr>
      <w:color w:val="0563C1" w:themeColor="hyperlink"/>
      <w:u w:val="single"/>
    </w:rPr>
  </w:style>
  <w:style w:type="paragraph" w:styleId="ListParagraph">
    <w:name w:val="List Paragraph"/>
    <w:basedOn w:val="Normal"/>
    <w:uiPriority w:val="34"/>
    <w:qFormat/>
    <w:rsid w:val="00D569CF"/>
    <w:pPr>
      <w:ind w:left="720"/>
      <w:contextualSpacing/>
    </w:pPr>
  </w:style>
  <w:style w:type="character" w:customStyle="1" w:styleId="Heading1Char">
    <w:name w:val="Heading 1 Char"/>
    <w:basedOn w:val="DefaultParagraphFont"/>
    <w:link w:val="Heading1"/>
    <w:uiPriority w:val="9"/>
    <w:rsid w:val="001B3BD8"/>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5643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36FD77-11EF-43D9-B65D-229FA536A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2</Pages>
  <Words>489</Words>
  <Characters>2793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DFO-MPO</Company>
  <LinksUpToDate>false</LinksUpToDate>
  <CharactersWithSpaces>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Tim</dc:creator>
  <cp:keywords/>
  <dc:description/>
  <cp:lastModifiedBy>Barrett, Tim</cp:lastModifiedBy>
  <cp:revision>3</cp:revision>
  <dcterms:created xsi:type="dcterms:W3CDTF">2021-10-27T13:46:00Z</dcterms:created>
  <dcterms:modified xsi:type="dcterms:W3CDTF">2021-11-01T18:40:00Z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bfb733f-faef-464c-9b6d-731b56f94973_Enabled">
    <vt:lpwstr>true</vt:lpwstr>
  </property>
  <property fmtid="{D5CDD505-2E9C-101B-9397-08002B2CF9AE}" pid="3" name="MSIP_Label_1bfb733f-faef-464c-9b6d-731b56f94973_SetDate">
    <vt:lpwstr>2021-10-12T19:02:06Z</vt:lpwstr>
  </property>
  <property fmtid="{D5CDD505-2E9C-101B-9397-08002B2CF9AE}" pid="4" name="MSIP_Label_1bfb733f-faef-464c-9b6d-731b56f94973_Method">
    <vt:lpwstr>Standard</vt:lpwstr>
  </property>
  <property fmtid="{D5CDD505-2E9C-101B-9397-08002B2CF9AE}" pid="5" name="MSIP_Label_1bfb733f-faef-464c-9b6d-731b56f94973_Name">
    <vt:lpwstr>Unclass - Non-Classifié</vt:lpwstr>
  </property>
  <property fmtid="{D5CDD505-2E9C-101B-9397-08002B2CF9AE}" pid="6" name="MSIP_Label_1bfb733f-faef-464c-9b6d-731b56f94973_SiteId">
    <vt:lpwstr>1594fdae-a1d9-4405-915d-011467234338</vt:lpwstr>
  </property>
  <property fmtid="{D5CDD505-2E9C-101B-9397-08002B2CF9AE}" pid="7" name="MSIP_Label_1bfb733f-faef-464c-9b6d-731b56f94973_ActionId">
    <vt:lpwstr>3b5e3bcd-7348-4d14-9040-0000140dc398</vt:lpwstr>
  </property>
</Properties>
</file>