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34DEF533" w:rsidR="00313278" w:rsidRPr="00987F6F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>Arctic sardine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p w14:paraId="57759EF5" w14:textId="598F3C09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bookmarkStart w:id="0" w:name="_GoBack"/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2E496854">
                <wp:extent cx="5915025" cy="655320"/>
                <wp:effectExtent l="0" t="0" r="28575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89B" w14:textId="55F96967" w:rsidR="004F44B3" w:rsidRPr="004A6C1B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A6C1B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  <w:r w:rsidR="00987F6F" w:rsidRPr="004A6C1B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 xml:space="preserve"> </w:t>
                            </w:r>
                            <w:r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Identify ways to approach </w:t>
                            </w:r>
                            <w:r w:rsidR="00313278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defining an LRP for </w:t>
                            </w:r>
                            <w:r w:rsidR="001E7E0F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Arctic sardine MU1 </w:t>
                            </w:r>
                            <w:r w:rsidRPr="004A6C1B">
                              <w:rPr>
                                <w:rFonts w:ascii="Times New Roman" w:hAnsi="Times New Roman"/>
                                <w:i w:val="0"/>
                              </w:rPr>
                              <w:t>in a data-</w:t>
                            </w:r>
                            <w:r w:rsidR="00313278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>rich context</w:t>
                            </w:r>
                            <w:r w:rsidR="00BB753C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with time varying productivity</w:t>
                            </w:r>
                            <w:r w:rsidR="00313278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>.</w:t>
                            </w:r>
                            <w:r w:rsidR="00BB753C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Annual weight-at-age, maturity-at-age, selectivity-at-age, and recruitment are provided.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" fillcolor="#bdd6ee [1300]" strokecolor="black [3213]">
                <v:textbox>
                  <w:txbxContent>
                    <w:p w14:paraId="3381089B" w14:textId="55F96967" w:rsidR="004F44B3" w:rsidRPr="004A6C1B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4A6C1B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  <w:r w:rsidR="00987F6F" w:rsidRPr="004A6C1B">
                        <w:rPr>
                          <w:rFonts w:ascii="Times New Roman" w:hAnsi="Times New Roman"/>
                          <w:b/>
                          <w:i w:val="0"/>
                        </w:rPr>
                        <w:t xml:space="preserve"> </w:t>
                      </w:r>
                      <w:r w:rsidRPr="004A6C1B">
                        <w:rPr>
                          <w:rFonts w:ascii="Times New Roman" w:hAnsi="Times New Roman"/>
                          <w:i w:val="0"/>
                        </w:rPr>
                        <w:t xml:space="preserve">Identify ways to approach </w:t>
                      </w:r>
                      <w:r w:rsidR="00313278" w:rsidRPr="004A6C1B">
                        <w:rPr>
                          <w:rFonts w:ascii="Times New Roman" w:hAnsi="Times New Roman"/>
                          <w:i w:val="0"/>
                        </w:rPr>
                        <w:t xml:space="preserve">defining an LRP for </w:t>
                      </w:r>
                      <w:r w:rsidR="001E7E0F" w:rsidRPr="004A6C1B">
                        <w:rPr>
                          <w:rFonts w:ascii="Times New Roman" w:hAnsi="Times New Roman"/>
                          <w:i w:val="0"/>
                        </w:rPr>
                        <w:t xml:space="preserve">Arctic sardine MU1 </w:t>
                      </w:r>
                      <w:r w:rsidRPr="004A6C1B">
                        <w:rPr>
                          <w:rFonts w:ascii="Times New Roman" w:hAnsi="Times New Roman"/>
                          <w:i w:val="0"/>
                        </w:rPr>
                        <w:t>in a data-</w:t>
                      </w:r>
                      <w:r w:rsidR="00313278" w:rsidRPr="004A6C1B">
                        <w:rPr>
                          <w:rFonts w:ascii="Times New Roman" w:hAnsi="Times New Roman"/>
                          <w:i w:val="0"/>
                        </w:rPr>
                        <w:t>rich context</w:t>
                      </w:r>
                      <w:r w:rsidR="00BB753C" w:rsidRPr="004A6C1B">
                        <w:rPr>
                          <w:rFonts w:ascii="Times New Roman" w:hAnsi="Times New Roman"/>
                          <w:i w:val="0"/>
                        </w:rPr>
                        <w:t xml:space="preserve"> with time varying productivity</w:t>
                      </w:r>
                      <w:r w:rsidR="00313278" w:rsidRPr="004A6C1B">
                        <w:rPr>
                          <w:rFonts w:ascii="Times New Roman" w:hAnsi="Times New Roman"/>
                          <w:i w:val="0"/>
                        </w:rPr>
                        <w:t>.</w:t>
                      </w:r>
                      <w:r w:rsidR="00BB753C" w:rsidRPr="004A6C1B">
                        <w:rPr>
                          <w:rFonts w:ascii="Times New Roman" w:hAnsi="Times New Roman"/>
                          <w:i w:val="0"/>
                        </w:rPr>
                        <w:t xml:space="preserve"> Annual weight-at-age, maturity-at-age, selectivity-at-age, and recruitment are provided.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66FF1835" w14:textId="77777777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413B94E0" w14:textId="03341CC4" w:rsidR="00313278" w:rsidRPr="00987F6F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45B64F9" wp14:editId="57FE4710">
                <wp:extent cx="5915025" cy="2047875"/>
                <wp:effectExtent l="0" t="0" r="28575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047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AE3854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Questions:</w:t>
                            </w:r>
                          </w:p>
                          <w:p w14:paraId="140C3BDC" w14:textId="1B869B90" w:rsidR="00313278" w:rsidRPr="00AE3854" w:rsidRDefault="00BB753C" w:rsidP="001E7E0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I</w:t>
                            </w:r>
                            <w:r w:rsidR="00313278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dentify the </w:t>
                            </w:r>
                            <w:r w:rsidR="001E6B8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“preferred” approach</w:t>
                            </w:r>
                            <w:r w:rsidR="00313278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to defining an LRP for </w:t>
                            </w:r>
                            <w:r w:rsidR="001E7E0F" w:rsidRPr="001E7E0F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="001E7E0F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313278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that you feel </w:t>
                            </w:r>
                            <w:r w:rsidR="001E6B8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is most consistent with the candidate criteria for best-practice indicators and LRPs</w:t>
                            </w:r>
                            <w:r w:rsidR="00987F6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(and any other criteria you feel is important)</w:t>
                            </w:r>
                          </w:p>
                          <w:p w14:paraId="001E0347" w14:textId="77777777" w:rsidR="00987F6F" w:rsidRPr="00AE3854" w:rsidRDefault="00313278" w:rsidP="00987F6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As a group, prepare a 1-2 slide (&lt; 5 </w:t>
                            </w:r>
                            <w:r w:rsidR="00987F6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minute) presentation to explain: </w:t>
                            </w:r>
                          </w:p>
                          <w:p w14:paraId="56C6F040" w14:textId="3DC66BB0" w:rsidR="00987F6F" w:rsidRPr="00AE3854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Candidate approaches (indicators and LRPs) considered, and their pros and cons</w:t>
                            </w:r>
                          </w:p>
                          <w:p w14:paraId="3E16E04E" w14:textId="77777777" w:rsidR="001E7E0F" w:rsidRDefault="00987F6F" w:rsidP="001E7E0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The preferred approach (indicator and LRP)</w:t>
                            </w:r>
                          </w:p>
                          <w:p w14:paraId="2E80870A" w14:textId="3CFC8213" w:rsidR="001E7E0F" w:rsidRPr="001E7E0F" w:rsidRDefault="001E7E0F" w:rsidP="001E7E0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1E7E0F">
                              <w:rPr>
                                <w:rFonts w:ascii="Times New Roman" w:hAnsi="Times New Roman"/>
                                <w:i w:val="0"/>
                              </w:rPr>
                              <w:t>The rationale for and underlying assumptions of the preferred approach and any considerations for the role of Arctic sardine as a forage fish</w:t>
                            </w:r>
                          </w:p>
                          <w:p w14:paraId="05F1A8A8" w14:textId="5FCDD7BE" w:rsidR="00313278" w:rsidRPr="00AE3854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Include a time series plot of the indicator and add a line to represent the LRP. Extend the LRP line 10 years into the future to reflect the assumed future conditions (and therefore LRP) used in the projection period.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" fillcolor="#e7e6e6 [3214]" strokecolor="#002060">
                <v:textbox>
                  <w:txbxContent>
                    <w:p w14:paraId="6C2B2AB9" w14:textId="77777777" w:rsidR="00313278" w:rsidRPr="00AE3854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b/>
                          <w:i w:val="0"/>
                        </w:rPr>
                        <w:t>Exercise Questions:</w:t>
                      </w:r>
                    </w:p>
                    <w:p w14:paraId="140C3BDC" w14:textId="1B869B90" w:rsidR="00313278" w:rsidRPr="00AE3854" w:rsidRDefault="00BB753C" w:rsidP="001E7E0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I</w:t>
                      </w:r>
                      <w:r w:rsidR="00313278" w:rsidRPr="00AE3854">
                        <w:rPr>
                          <w:rFonts w:ascii="Times New Roman" w:hAnsi="Times New Roman"/>
                          <w:i w:val="0"/>
                        </w:rPr>
                        <w:t xml:space="preserve">dentify the </w:t>
                      </w:r>
                      <w:r w:rsidR="001E6B8F" w:rsidRPr="00AE3854">
                        <w:rPr>
                          <w:rFonts w:ascii="Times New Roman" w:hAnsi="Times New Roman"/>
                          <w:i w:val="0"/>
                        </w:rPr>
                        <w:t>“preferred” approach</w:t>
                      </w:r>
                      <w:r w:rsidR="00313278" w:rsidRPr="00AE3854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AE3854">
                        <w:rPr>
                          <w:rFonts w:ascii="Times New Roman" w:hAnsi="Times New Roman"/>
                          <w:i w:val="0"/>
                        </w:rPr>
                        <w:t xml:space="preserve">to defining an LRP for </w:t>
                      </w:r>
                      <w:r w:rsidR="001E7E0F" w:rsidRPr="001E7E0F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="001E7E0F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313278" w:rsidRPr="00AE3854">
                        <w:rPr>
                          <w:rFonts w:ascii="Times New Roman" w:hAnsi="Times New Roman"/>
                          <w:i w:val="0"/>
                        </w:rPr>
                        <w:t xml:space="preserve">that you feel </w:t>
                      </w:r>
                      <w:r w:rsidR="001E6B8F" w:rsidRPr="00AE3854">
                        <w:rPr>
                          <w:rFonts w:ascii="Times New Roman" w:hAnsi="Times New Roman"/>
                          <w:i w:val="0"/>
                        </w:rPr>
                        <w:t>is most consistent with the candidate criteria for best-practice indicators and LRPs</w:t>
                      </w:r>
                      <w:r w:rsidR="00987F6F" w:rsidRPr="00AE3854">
                        <w:rPr>
                          <w:rFonts w:ascii="Times New Roman" w:hAnsi="Times New Roman"/>
                          <w:i w:val="0"/>
                        </w:rPr>
                        <w:t xml:space="preserve"> (and any other criteria you feel is important)</w:t>
                      </w:r>
                    </w:p>
                    <w:p w14:paraId="001E0347" w14:textId="77777777" w:rsidR="00987F6F" w:rsidRPr="00AE3854" w:rsidRDefault="00313278" w:rsidP="00987F6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 xml:space="preserve">As a group, prepare a 1-2 slide (&lt; 5 </w:t>
                      </w:r>
                      <w:r w:rsidR="00987F6F" w:rsidRPr="00AE3854">
                        <w:rPr>
                          <w:rFonts w:ascii="Times New Roman" w:hAnsi="Times New Roman"/>
                          <w:i w:val="0"/>
                        </w:rPr>
                        <w:t xml:space="preserve">minute) presentation to explain: </w:t>
                      </w:r>
                    </w:p>
                    <w:p w14:paraId="56C6F040" w14:textId="3DC66BB0" w:rsidR="00987F6F" w:rsidRPr="00AE3854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Candidate approaches (indicators and LRPs) considered, and their pros and cons</w:t>
                      </w:r>
                    </w:p>
                    <w:p w14:paraId="3E16E04E" w14:textId="77777777" w:rsidR="001E7E0F" w:rsidRDefault="00987F6F" w:rsidP="001E7E0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The preferred approach (indicator and LRP)</w:t>
                      </w:r>
                    </w:p>
                    <w:p w14:paraId="2E80870A" w14:textId="3CFC8213" w:rsidR="001E7E0F" w:rsidRPr="001E7E0F" w:rsidRDefault="001E7E0F" w:rsidP="001E7E0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1E7E0F">
                        <w:rPr>
                          <w:rFonts w:ascii="Times New Roman" w:hAnsi="Times New Roman"/>
                          <w:i w:val="0"/>
                        </w:rPr>
                        <w:t>The rationale for and underlying assumptions of the preferred approach and any considerations for the role of Arctic sardine as a forage fish</w:t>
                      </w:r>
                    </w:p>
                    <w:p w14:paraId="05F1A8A8" w14:textId="5FCDD7BE" w:rsidR="00313278" w:rsidRPr="00AE3854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Include a time series plot of the indicator and add a line to represent the LRP. Extend the LRP line 10 years into the future to reflect the assumed future conditions (and therefore LRP) used in the projection period.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50F91058" w:rsidR="001E6B8F" w:rsidRPr="00987F6F" w:rsidRDefault="001E6B8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Background:</w:t>
      </w:r>
      <w:r w:rsidR="00987F6F" w:rsidRPr="00987F6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00EC7EE" w14:textId="48E1BC64" w:rsidR="00BB753C" w:rsidRPr="00987F6F" w:rsidRDefault="001E7E0F" w:rsidP="00BB753C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 xml:space="preserve">has been fit for </w:t>
      </w:r>
      <w:r w:rsidRPr="00477D4E">
        <w:rPr>
          <w:rFonts w:ascii="Times New Roman" w:hAnsi="Times New Roman" w:cs="Times New Roman"/>
          <w:sz w:val="20"/>
          <w:szCs w:val="20"/>
        </w:rPr>
        <w:t xml:space="preserve">Arctic sardine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BB753C" w:rsidRPr="00987F6F">
        <w:rPr>
          <w:rFonts w:ascii="Times New Roman" w:hAnsi="Times New Roman" w:cs="Times New Roman"/>
          <w:sz w:val="20"/>
          <w:szCs w:val="20"/>
        </w:rPr>
        <w:t xml:space="preserve">This is the same model that was used for exercise 2. For this exercise, consider that there is variability in the biological parameters (weight-at-age and maturity-at-age) </w:t>
      </w:r>
      <w:r w:rsidR="00987F6F" w:rsidRPr="00987F6F">
        <w:rPr>
          <w:rFonts w:ascii="Times New Roman" w:hAnsi="Times New Roman" w:cs="Times New Roman"/>
          <w:sz w:val="20"/>
          <w:szCs w:val="20"/>
        </w:rPr>
        <w:t xml:space="preserve">and vulnerability-at-age </w:t>
      </w:r>
      <w:r w:rsidR="00BB753C" w:rsidRPr="00987F6F">
        <w:rPr>
          <w:rFonts w:ascii="Times New Roman" w:hAnsi="Times New Roman" w:cs="Times New Roman"/>
          <w:sz w:val="20"/>
          <w:szCs w:val="20"/>
        </w:rPr>
        <w:t>over time.</w:t>
      </w:r>
    </w:p>
    <w:p w14:paraId="1B62961A" w14:textId="77777777" w:rsidR="001E6B8F" w:rsidRPr="00987F6F" w:rsidRDefault="001E6B8F" w:rsidP="00987F6F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6C64E897" w14:textId="77777777" w:rsidR="00AF2A11" w:rsidRPr="00987F6F" w:rsidRDefault="00AF2A11" w:rsidP="00AF2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36FF8AD0" w14:textId="37E9DC93" w:rsidR="00D73F70" w:rsidRPr="00987F6F" w:rsidRDefault="00194F23" w:rsidP="00D7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estimated spawning stock biomass (SSB in </w:t>
      </w:r>
      <w:proofErr w:type="spellStart"/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), recruitment (Rec of Age 0 in billions), total biomass (B in </w:t>
      </w:r>
      <w:proofErr w:type="spellStart"/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="00987F6F"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D73F70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D73F70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D73F70"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 w:rsidR="00D73F70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D73F70">
        <w:rPr>
          <w:rFonts w:ascii="Times New Roman" w:hAnsi="Times New Roman" w:cs="Times New Roman"/>
          <w:sz w:val="20"/>
          <w:szCs w:val="20"/>
          <w:lang w:val="en-CA"/>
        </w:rPr>
        <w:t>) from 1999-2020</w:t>
      </w:r>
    </w:p>
    <w:p w14:paraId="15203B98" w14:textId="7A1203C5" w:rsidR="00987F6F" w:rsidRPr="00D73F70" w:rsidRDefault="00D73F70" w:rsidP="0098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AF2A11">
        <w:rPr>
          <w:rFonts w:ascii="Times New Roman" w:hAnsi="Times New Roman" w:cs="Times New Roman"/>
          <w:sz w:val="20"/>
          <w:szCs w:val="20"/>
        </w:rPr>
        <w:t>and steepness (</w:t>
      </w:r>
      <w:r w:rsidR="00AF2A11" w:rsidRPr="001E7E0F">
        <w:rPr>
          <w:rFonts w:ascii="Times New Roman" w:hAnsi="Times New Roman" w:cs="Times New Roman"/>
          <w:i/>
          <w:sz w:val="20"/>
          <w:szCs w:val="20"/>
        </w:rPr>
        <w:t>h</w:t>
      </w:r>
      <w:r w:rsidR="00AF2A11">
        <w:rPr>
          <w:rFonts w:ascii="Times New Roman" w:hAnsi="Times New Roman" w:cs="Times New Roman"/>
          <w:sz w:val="20"/>
          <w:szCs w:val="20"/>
        </w:rPr>
        <w:t>) calculated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2A11"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>annual weight-at-age and maturity-at-age</w:t>
      </w:r>
    </w:p>
    <w:p w14:paraId="0A331E3C" w14:textId="096F7222" w:rsidR="003852D2" w:rsidRPr="00987F6F" w:rsidRDefault="003852D2" w:rsidP="00987F6F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) has been provided for the historical time series (a projected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no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>atch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. The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was estimated 4 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61"/>
        <w:gridCol w:w="2116"/>
        <w:gridCol w:w="2136"/>
      </w:tblGrid>
      <w:tr w:rsidR="00987F6F" w14:paraId="03B77D70" w14:textId="77777777" w:rsidTr="00987F6F">
        <w:tc>
          <w:tcPr>
            <w:tcW w:w="2217" w:type="dxa"/>
          </w:tcPr>
          <w:p w14:paraId="5F74DF0E" w14:textId="0732CC34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2161" w:type="dxa"/>
          </w:tcPr>
          <w:p w14:paraId="219E0643" w14:textId="4CB14B5A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recruitment deviations</w:t>
            </w:r>
          </w:p>
        </w:tc>
        <w:tc>
          <w:tcPr>
            <w:tcW w:w="2116" w:type="dxa"/>
          </w:tcPr>
          <w:p w14:paraId="4662FA94" w14:textId="784EC6C8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weight-at-age</w:t>
            </w:r>
          </w:p>
        </w:tc>
        <w:tc>
          <w:tcPr>
            <w:tcW w:w="2136" w:type="dxa"/>
          </w:tcPr>
          <w:p w14:paraId="5E33C91E" w14:textId="7EDF5E6B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maturity-at-age</w:t>
            </w:r>
          </w:p>
        </w:tc>
      </w:tr>
      <w:tr w:rsidR="00987F6F" w14:paraId="4B65F646" w14:textId="77777777" w:rsidTr="00987F6F">
        <w:tc>
          <w:tcPr>
            <w:tcW w:w="2217" w:type="dxa"/>
          </w:tcPr>
          <w:p w14:paraId="3153D6A1" w14:textId="5A6DDAE9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61" w:type="dxa"/>
          </w:tcPr>
          <w:p w14:paraId="785DA704" w14:textId="64F4744F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3BDD3E10" w14:textId="14B5D811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36" w:type="dxa"/>
          </w:tcPr>
          <w:p w14:paraId="31A2BE29" w14:textId="1F2EB6DE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987F6F" w14:paraId="74FAD5FA" w14:textId="77777777" w:rsidTr="00987F6F">
        <w:tc>
          <w:tcPr>
            <w:tcW w:w="2217" w:type="dxa"/>
          </w:tcPr>
          <w:p w14:paraId="21A5AAEE" w14:textId="57CE2481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="001E7E0F"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61" w:type="dxa"/>
          </w:tcPr>
          <w:p w14:paraId="6B9B3B95" w14:textId="3B0A9AD7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3D49BC23" w14:textId="06C958FE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  <w:tc>
          <w:tcPr>
            <w:tcW w:w="2136" w:type="dxa"/>
          </w:tcPr>
          <w:p w14:paraId="50C3720A" w14:textId="11CEB225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987F6F" w14:paraId="4444A631" w14:textId="77777777" w:rsidTr="00987F6F">
        <w:tc>
          <w:tcPr>
            <w:tcW w:w="2217" w:type="dxa"/>
          </w:tcPr>
          <w:p w14:paraId="55EFCAAF" w14:textId="3ADE3C45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="001E7E0F"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161" w:type="dxa"/>
          </w:tcPr>
          <w:p w14:paraId="6B3F86F2" w14:textId="20E2F58F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7F28D6EA" w14:textId="1DD530EE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36" w:type="dxa"/>
          </w:tcPr>
          <w:p w14:paraId="5CC9C984" w14:textId="78B127B7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  <w:tr w:rsidR="00987F6F" w14:paraId="212F5BB0" w14:textId="77777777" w:rsidTr="00987F6F">
        <w:tc>
          <w:tcPr>
            <w:tcW w:w="2217" w:type="dxa"/>
          </w:tcPr>
          <w:p w14:paraId="18A88C75" w14:textId="70B376E7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="001E7E0F"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61" w:type="dxa"/>
          </w:tcPr>
          <w:p w14:paraId="15211223" w14:textId="3DF3456B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30C193F2" w14:textId="3C3560E2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  <w:tc>
          <w:tcPr>
            <w:tcW w:w="2136" w:type="dxa"/>
          </w:tcPr>
          <w:p w14:paraId="0D556C7B" w14:textId="364F493A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20D22614" w14:textId="75C0C2A8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77777777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E3718C" w14:textId="3DE417D5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1606C98C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 based on equilibrium assumptions using weight-, maturity-, and vulnerability-at-age data over a specific time period</w:t>
      </w:r>
    </w:p>
    <w:p w14:paraId="1E58CECE" w14:textId="0B0C665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 using various assumptions for how changes in weight-at-age and maturity-at-age over time are considered</w:t>
      </w:r>
    </w:p>
    <w:p w14:paraId="6EB7EB7E" w14:textId="2BE1F820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Model-based 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92B72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  <w:r w:rsidRPr="00692B72">
        <w:rPr>
          <w:rFonts w:ascii="Times New Roman" w:hAnsi="Times New Roman"/>
          <w:i w:val="0"/>
        </w:rPr>
        <w:t xml:space="preserve">Table 1. Data </w:t>
      </w:r>
      <w:r>
        <w:rPr>
          <w:rFonts w:ascii="Times New Roman" w:hAnsi="Times New Roman"/>
          <w:i w:val="0"/>
        </w:rPr>
        <w:t>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D770B3" w:rsidRPr="00692B72" w14:paraId="4B4990C3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A8500EF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974D453" wp14:editId="1202655F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6B81BF0B" w14:textId="18DF9C30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3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6B8AEA40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D770B3" w:rsidRPr="00692B72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CD6E5F1" wp14:editId="0260513A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299CD984" w14:textId="39DF3616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41CD16C9" w14:textId="1166BEAD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4657DAB5" w14:textId="57AA68C1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VUL = data frame (vulnerability-at-age by year)</w:t>
            </w:r>
          </w:p>
          <w:p w14:paraId="3F819FDC" w14:textId="50BC40F9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>)</w:t>
            </w:r>
          </w:p>
          <w:p w14:paraId="28CDED3D" w14:textId="5ADD8A99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D770B3" w:rsidRPr="00692B72" w14:paraId="4B8CC896" w14:textId="77777777" w:rsidTr="006D4C57">
        <w:trPr>
          <w:trHeight w:val="422"/>
        </w:trPr>
        <w:tc>
          <w:tcPr>
            <w:tcW w:w="1075" w:type="dxa"/>
          </w:tcPr>
          <w:p w14:paraId="6721916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062DF8D" wp14:editId="6C26C26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DD418CE" w14:textId="0640D539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1CC84F09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D770B3" w:rsidRPr="00692B72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5FD646E" wp14:editId="0502A4DC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77777777" w:rsidR="00D770B3" w:rsidRPr="00D770B3" w:rsidRDefault="00D770B3" w:rsidP="00D770B3">
      <w:pPr>
        <w:rPr>
          <w:rFonts w:ascii="Times New Roman" w:hAnsi="Times New Roman" w:cs="Times New Roman"/>
          <w:sz w:val="20"/>
          <w:szCs w:val="20"/>
        </w:rPr>
      </w:pPr>
    </w:p>
    <w:sectPr w:rsidR="00D770B3" w:rsidRPr="00D770B3" w:rsidSect="004F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34E0C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52B2"/>
    <w:rsid w:val="000A7242"/>
    <w:rsid w:val="000B2908"/>
    <w:rsid w:val="001544FE"/>
    <w:rsid w:val="00194F23"/>
    <w:rsid w:val="001A45A8"/>
    <w:rsid w:val="001B3BD8"/>
    <w:rsid w:val="001E6B8F"/>
    <w:rsid w:val="001E7E0F"/>
    <w:rsid w:val="002D6F92"/>
    <w:rsid w:val="002E1C23"/>
    <w:rsid w:val="00313278"/>
    <w:rsid w:val="00316B68"/>
    <w:rsid w:val="0036250C"/>
    <w:rsid w:val="003842AA"/>
    <w:rsid w:val="003852D2"/>
    <w:rsid w:val="003C0592"/>
    <w:rsid w:val="004009CD"/>
    <w:rsid w:val="00410D01"/>
    <w:rsid w:val="004319CD"/>
    <w:rsid w:val="00442725"/>
    <w:rsid w:val="00483889"/>
    <w:rsid w:val="00487131"/>
    <w:rsid w:val="004A6C1B"/>
    <w:rsid w:val="004F44B3"/>
    <w:rsid w:val="004F46BD"/>
    <w:rsid w:val="00514193"/>
    <w:rsid w:val="005171B1"/>
    <w:rsid w:val="00517986"/>
    <w:rsid w:val="0058353B"/>
    <w:rsid w:val="00584A3A"/>
    <w:rsid w:val="00593BDA"/>
    <w:rsid w:val="006130C4"/>
    <w:rsid w:val="006248E6"/>
    <w:rsid w:val="0067741D"/>
    <w:rsid w:val="006B3539"/>
    <w:rsid w:val="006D439E"/>
    <w:rsid w:val="00774C88"/>
    <w:rsid w:val="007A3E10"/>
    <w:rsid w:val="007E0C99"/>
    <w:rsid w:val="007E2BE7"/>
    <w:rsid w:val="008026AD"/>
    <w:rsid w:val="00830C2A"/>
    <w:rsid w:val="00850751"/>
    <w:rsid w:val="008B4323"/>
    <w:rsid w:val="008D15B8"/>
    <w:rsid w:val="008E439B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E3854"/>
    <w:rsid w:val="00AF2A11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D73F70"/>
    <w:rsid w:val="00D770B3"/>
    <w:rsid w:val="00E03320"/>
    <w:rsid w:val="00E57297"/>
    <w:rsid w:val="00EC3C88"/>
    <w:rsid w:val="00EE2030"/>
    <w:rsid w:val="00EF5A3A"/>
    <w:rsid w:val="00F104BE"/>
    <w:rsid w:val="00F1334A"/>
    <w:rsid w:val="00F26CD0"/>
    <w:rsid w:val="00F64B5D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56DCA-AB02-4EC2-B355-55027954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12</cp:revision>
  <dcterms:created xsi:type="dcterms:W3CDTF">2021-10-25T11:50:00Z</dcterms:created>
  <dcterms:modified xsi:type="dcterms:W3CDTF">2021-11-17T16:19:00Z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