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53FCA">
      <w:pPr>
        <w:pStyle w:val="31"/>
        <w:jc w:val="center"/>
      </w:pPr>
      <w:r>
        <w:rPr>
          <w:rFonts w:ascii="Times New Roman" w:hAnsi="Times New Roman" w:eastAsia="微软雅黑"/>
          <w:b/>
          <w:i w:val="0"/>
          <w:color w:val="000000"/>
          <w:sz w:val="44"/>
        </w:rPr>
        <w:t>伶仃护航——面向受限水域的 AIS-视觉融合船舶碰撞风险预警系统</w:t>
      </w:r>
    </w:p>
    <w:p w14:paraId="441FD45E">
      <w:pPr>
        <w:bidi w:val="0"/>
      </w:pPr>
      <w:r>
        <w:t>（项目书 · 初稿）</w:t>
      </w:r>
    </w:p>
    <w:p w14:paraId="4F098221">
      <w:pPr>
        <w:bidi w:val="0"/>
      </w:pPr>
      <w:r>
        <w:t>说明：本文档为参赛项目书初稿，其中【】标注处需团队补充真实数据、出处或成员信息。项目名称可后续调整。</w:t>
      </w:r>
    </w:p>
    <w:p w14:paraId="45768DCB">
      <w:pPr>
        <w:pStyle w:val="4"/>
      </w:pPr>
      <w:r>
        <w:rPr>
          <w:rFonts w:ascii="Times New Roman" w:hAnsi="Times New Roman" w:eastAsia="微软雅黑"/>
          <w:b/>
          <w:i w:val="0"/>
          <w:color w:val="000000"/>
          <w:sz w:val="28"/>
        </w:rPr>
        <w:t>一、项目概述</w:t>
      </w:r>
    </w:p>
    <w:p w14:paraId="46E693EC">
      <w:pPr>
        <w:pStyle w:val="5"/>
      </w:pPr>
      <w:r>
        <w:rPr>
          <w:rFonts w:ascii="Times New Roman" w:hAnsi="Times New Roman" w:eastAsia="微软雅黑"/>
          <w:b/>
          <w:i w:val="0"/>
          <w:color w:val="000000"/>
          <w:sz w:val="24"/>
        </w:rPr>
        <w:t>1.1 一句话定位</w:t>
      </w:r>
    </w:p>
    <w:p w14:paraId="19C94A0B">
      <w:pPr>
        <w:bidi w:val="0"/>
      </w:pPr>
      <w:r>
        <w:t>面向珠江口伶仃航道等受限水域，针对"大船有 AIS、小渔船无 AIS"的感知盲区，构建一套AIS-视觉融合的船舶碰撞风险预警系统——在碰撞发生前实时评估风险，能避则给出避让建议，实在无法避免时给出"损失最小"的操纵参考。</w:t>
      </w:r>
    </w:p>
    <w:p w14:paraId="22B542D6">
      <w:pPr>
        <w:pStyle w:val="5"/>
      </w:pPr>
      <w:r>
        <w:rPr>
          <w:rFonts w:ascii="Times New Roman" w:hAnsi="Times New Roman" w:eastAsia="微软雅黑"/>
          <w:b/>
          <w:i w:val="0"/>
          <w:color w:val="000000"/>
          <w:sz w:val="24"/>
        </w:rPr>
        <w:t>1.2 核心问题</w:t>
      </w:r>
    </w:p>
    <w:p w14:paraId="4683CC89">
      <w:pPr>
        <w:bidi w:val="0"/>
      </w:pPr>
      <w:r>
        <w:t>伶仃航道是广州港、深圳港船舶进出珠江口的主航道，狭窄、水深受限、且航道一侧毗邻港珠澳大桥水域。航道上大型商船密集，同时大量小型渔船在航道附近作业、横穿。多数渔船未安装或未开启 AIS 设备，对商船而言处于"不可见"状态，极易酿成碰撞事故。</w:t>
      </w:r>
    </w:p>
    <w:p w14:paraId="7C2BDBE1">
      <w:pPr>
        <w:bidi w:val="0"/>
      </w:pPr>
      <w:r>
        <w:t>现有船舶避碰手段的痛点：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E812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2348A99D">
            <w:pPr>
              <w:bidi w:val="0"/>
            </w:pPr>
            <w:r>
              <w:t>手段</w:t>
            </w:r>
          </w:p>
        </w:tc>
        <w:tc>
          <w:tcPr>
            <w:tcW w:w="4320" w:type="dxa"/>
            <w:shd w:val="clear" w:color="auto" w:fill="D9E2F3"/>
          </w:tcPr>
          <w:p w14:paraId="5E7A444B">
            <w:pPr>
              <w:bidi w:val="0"/>
            </w:pPr>
            <w:r>
              <w:t>局限</w:t>
            </w:r>
          </w:p>
        </w:tc>
      </w:tr>
      <w:tr w14:paraId="6E779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4739E2">
            <w:pPr>
              <w:bidi w:val="0"/>
            </w:pPr>
            <w:r>
              <w:t>船员目视瞭望</w:t>
            </w:r>
          </w:p>
        </w:tc>
        <w:tc>
          <w:tcPr>
            <w:tcW w:w="4320" w:type="dxa"/>
          </w:tcPr>
          <w:p w14:paraId="06DE0CB8">
            <w:pPr>
              <w:bidi w:val="0"/>
            </w:pPr>
            <w:r>
              <w:t>夜间、雾天、大浪、疲劳时可靠性差</w:t>
            </w:r>
          </w:p>
        </w:tc>
      </w:tr>
      <w:tr w14:paraId="767CE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1A9EC7">
            <w:pPr>
              <w:bidi w:val="0"/>
            </w:pPr>
            <w:r>
              <w:t>AIS（自动识别系统）</w:t>
            </w:r>
          </w:p>
        </w:tc>
        <w:tc>
          <w:tcPr>
            <w:tcW w:w="4320" w:type="dxa"/>
          </w:tcPr>
          <w:p w14:paraId="2499F453">
            <w:pPr>
              <w:bidi w:val="0"/>
            </w:pPr>
            <w:r>
              <w:t>只能看到"有 AIS 的船"，对无 AIS 渔船完全盲区</w:t>
            </w:r>
          </w:p>
        </w:tc>
      </w:tr>
      <w:tr w14:paraId="2817C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126D54">
            <w:pPr>
              <w:bidi w:val="0"/>
            </w:pPr>
            <w:r>
              <w:t>雷达/电子海图</w:t>
            </w:r>
          </w:p>
        </w:tc>
        <w:tc>
          <w:tcPr>
            <w:tcW w:w="4320" w:type="dxa"/>
          </w:tcPr>
          <w:p w14:paraId="730F65BA">
            <w:pPr>
              <w:bidi w:val="0"/>
            </w:pPr>
            <w:r>
              <w:t>能发现目标，但无法识别目标属性、也依赖人工判断</w:t>
            </w:r>
          </w:p>
        </w:tc>
      </w:tr>
      <w:tr w14:paraId="52024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A53580">
            <w:pPr>
              <w:bidi w:val="0"/>
            </w:pPr>
            <w:r>
              <w:t>现有碰撞预警</w:t>
            </w:r>
          </w:p>
        </w:tc>
        <w:tc>
          <w:tcPr>
            <w:tcW w:w="4320" w:type="dxa"/>
          </w:tcPr>
          <w:p w14:paraId="450A61E0">
            <w:pPr>
              <w:bidi w:val="0"/>
            </w:pPr>
            <w:r>
              <w:t>多为直线外推的 CPA 计算，对渔船突转、停船等机动反应迟钝</w:t>
            </w:r>
          </w:p>
        </w:tc>
      </w:tr>
    </w:tbl>
    <w:p w14:paraId="02190183">
      <w:pPr>
        <w:bidi w:val="0"/>
      </w:pPr>
    </w:p>
    <w:p w14:paraId="445227A7">
      <w:pPr>
        <w:pStyle w:val="5"/>
      </w:pPr>
      <w:r>
        <w:rPr>
          <w:rFonts w:ascii="Times New Roman" w:hAnsi="Times New Roman" w:eastAsia="微软雅黑"/>
          <w:b/>
          <w:i w:val="0"/>
          <w:color w:val="000000"/>
          <w:sz w:val="24"/>
        </w:rPr>
        <w:t>1.3 解决方案</w:t>
      </w:r>
    </w:p>
    <w:p w14:paraId="760F6772">
      <w:pPr>
        <w:bidi w:val="0"/>
      </w:pPr>
      <w:r>
        <w:t>以船上视角（系统安装在商船上）构建边缘计算预警终端：</w:t>
      </w:r>
    </w:p>
    <w:p w14:paraId="6628CA22">
      <w:pPr>
        <w:pStyle w:val="16"/>
      </w:pPr>
      <w:r>
        <w:rPr>
          <w:rFonts w:ascii="Times New Roman" w:hAnsi="Times New Roman" w:eastAsia="宋体"/>
          <w:b/>
          <w:i w:val="0"/>
          <w:sz w:val="22"/>
        </w:rPr>
        <w:t>看得见</w:t>
      </w:r>
      <w:r>
        <w:rPr>
          <w:rFonts w:ascii="Times New Roman" w:hAnsi="Times New Roman" w:eastAsia="宋体"/>
          <w:b w:val="0"/>
          <w:i w:val="0"/>
          <w:sz w:val="22"/>
        </w:rPr>
        <w:t>：多摄像头（可见光+红外）感知海面，检测无 AIS 的小型渔船；</w:t>
      </w:r>
    </w:p>
    <w:p w14:paraId="3EA24EC1">
      <w:pPr>
        <w:pStyle w:val="16"/>
      </w:pPr>
      <w:r>
        <w:rPr>
          <w:rFonts w:ascii="Times New Roman" w:hAnsi="Times New Roman" w:eastAsia="宋体"/>
          <w:b/>
          <w:i w:val="0"/>
          <w:sz w:val="22"/>
        </w:rPr>
        <w:t>猜得准</w:t>
      </w:r>
      <w:r>
        <w:rPr>
          <w:rFonts w:ascii="Times New Roman" w:hAnsi="Times New Roman" w:eastAsia="宋体"/>
          <w:b w:val="0"/>
          <w:i w:val="0"/>
          <w:sz w:val="22"/>
        </w:rPr>
        <w:t>：融合 AIS 与视觉目标，跟踪并预测渔船机动轨迹；</w:t>
      </w:r>
    </w:p>
    <w:p w14:paraId="2176A29F">
      <w:pPr>
        <w:pStyle w:val="16"/>
      </w:pPr>
      <w:r>
        <w:rPr>
          <w:rFonts w:ascii="Times New Roman" w:hAnsi="Times New Roman" w:eastAsia="宋体"/>
          <w:b/>
          <w:i w:val="0"/>
          <w:sz w:val="22"/>
        </w:rPr>
        <w:t>评得准</w:t>
      </w:r>
      <w:r>
        <w:rPr>
          <w:rFonts w:ascii="Times New Roman" w:hAnsi="Times New Roman" w:eastAsia="宋体"/>
          <w:b w:val="0"/>
          <w:i w:val="0"/>
          <w:sz w:val="22"/>
        </w:rPr>
        <w:t>：基于分扇区船舶领域与碰撞危险度，实时划分绿/黄/红风险分区；</w:t>
      </w:r>
    </w:p>
    <w:p w14:paraId="1C57DC29">
      <w:pPr>
        <w:pStyle w:val="16"/>
      </w:pPr>
      <w:r>
        <w:rPr>
          <w:rFonts w:ascii="Times New Roman" w:hAnsi="Times New Roman" w:eastAsia="宋体"/>
          <w:b/>
          <w:i w:val="0"/>
          <w:sz w:val="22"/>
        </w:rPr>
        <w:t>损失小</w:t>
      </w:r>
      <w:r>
        <w:rPr>
          <w:rFonts w:ascii="Times New Roman" w:hAnsi="Times New Roman" w:eastAsia="宋体"/>
          <w:b w:val="0"/>
          <w:i w:val="0"/>
          <w:sz w:val="22"/>
        </w:rPr>
        <w:t>：可避则给出避让建议；碰撞不可避免时给出损失最小化操纵参考（减速、选撞击角、防搁浅）。</w:t>
      </w:r>
    </w:p>
    <w:p w14:paraId="02D50AA7">
      <w:pPr>
        <w:bidi w:val="0"/>
      </w:pPr>
      <w:r>
        <w:t>系统只告警、只建议，不接管船舶的自动舵与主机，由驾驶员决策执行。</w:t>
      </w:r>
    </w:p>
    <w:p w14:paraId="44BB2323">
      <w:pPr>
        <w:pStyle w:val="4"/>
      </w:pPr>
      <w:r>
        <w:rPr>
          <w:rFonts w:ascii="Times New Roman" w:hAnsi="Times New Roman" w:eastAsia="微软雅黑"/>
          <w:b/>
          <w:i w:val="0"/>
          <w:color w:val="000000"/>
          <w:sz w:val="28"/>
        </w:rPr>
        <w:t>二、项目背景与意义</w:t>
      </w:r>
    </w:p>
    <w:p w14:paraId="0416182E">
      <w:pPr>
        <w:pStyle w:val="5"/>
      </w:pPr>
      <w:r>
        <w:rPr>
          <w:rFonts w:ascii="Times New Roman" w:hAnsi="Times New Roman" w:eastAsia="微软雅黑"/>
          <w:b/>
          <w:i w:val="0"/>
          <w:color w:val="000000"/>
          <w:sz w:val="24"/>
        </w:rPr>
        <w:t>2.1 场景背景</w:t>
      </w:r>
    </w:p>
    <w:p w14:paraId="62B5C92C">
      <w:pPr>
        <w:bidi w:val="0"/>
      </w:pPr>
      <w:r>
        <w:t>伶仃航道（珠江口）具有典型的受限水域特征：航道窄、水深受限、船舶密度大、渔船活动频繁、近岸且有桥梁水域。大型集装箱船、散货船在航道内机动能力受限，一旦与横穿的小渔船形成紧迫局面，往往"避让空间不足"。</w:t>
      </w:r>
    </w:p>
    <w:p w14:paraId="2FC695EE">
      <w:pPr>
        <w:bidi w:val="0"/>
      </w:pPr>
      <w:r>
        <w:t>【此处补充：珠江口/伶仃航道近年商船与渔船碰撞事故的统计数据与出处，海事局事故通报等】</w:t>
      </w:r>
    </w:p>
    <w:p w14:paraId="41565F54">
      <w:pPr>
        <w:pStyle w:val="5"/>
      </w:pPr>
      <w:r>
        <w:rPr>
          <w:rFonts w:ascii="Times New Roman" w:hAnsi="Times New Roman" w:eastAsia="微软雅黑"/>
          <w:b/>
          <w:i w:val="0"/>
          <w:color w:val="000000"/>
          <w:sz w:val="24"/>
        </w:rPr>
        <w:t>2.2 技术背景与本项目的针对性</w:t>
      </w:r>
    </w:p>
    <w:p w14:paraId="250F81D5">
      <w:pPr>
        <w:bidi w:val="0"/>
      </w:pPr>
      <w:r>
        <w:t>AIS 盲区问题：AIS 只能覆盖"配合"的船舶。无 AIS 渔船是海上碰撞的高危来源，传统 AIS 预警系统对此无能为力。本项目以视觉感知补全这一盲区。</w:t>
      </w:r>
    </w:p>
    <w:p w14:paraId="07C80E1B">
      <w:pPr>
        <w:bidi w:val="0"/>
      </w:pPr>
      <w:r>
        <w:t>渔船机动不可预测：渔船会突然停船收网、急转、加速躲避。基于"航向航速不变"的直线外推（CPA/DCPA/TCPA）对这类机动目标失效，需要学习式的轨迹预测。</w:t>
      </w:r>
    </w:p>
    <w:p w14:paraId="3C3CE10B">
      <w:pPr>
        <w:bidi w:val="0"/>
      </w:pPr>
      <w:r>
        <w:t>避碰决策缺"兜底"：绝大多数避碰研究假设"一定避得开"。本项目明确处理"避不开"的情形，给出损失最小化决策，填补这一空白。</w:t>
      </w:r>
    </w:p>
    <w:p w14:paraId="5D793078">
      <w:pPr>
        <w:pStyle w:val="5"/>
      </w:pPr>
      <w:r>
        <w:rPr>
          <w:rFonts w:ascii="Times New Roman" w:hAnsi="Times New Roman" w:eastAsia="微软雅黑"/>
          <w:b/>
          <w:i w:val="0"/>
          <w:color w:val="000000"/>
          <w:sz w:val="24"/>
        </w:rPr>
        <w:t>2.3 意义</w:t>
      </w:r>
    </w:p>
    <w:p w14:paraId="3017423E">
      <w:pPr>
        <w:pStyle w:val="16"/>
      </w:pPr>
      <w:r>
        <w:rPr>
          <w:rFonts w:ascii="Times New Roman" w:hAnsi="Times New Roman" w:eastAsia="宋体"/>
          <w:b/>
          <w:i w:val="0"/>
          <w:sz w:val="22"/>
        </w:rPr>
        <w:t>安全价值</w:t>
      </w:r>
      <w:r>
        <w:rPr>
          <w:rFonts w:ascii="Times New Roman" w:hAnsi="Times New Roman" w:eastAsia="宋体"/>
          <w:b w:val="0"/>
          <w:i w:val="0"/>
          <w:sz w:val="22"/>
        </w:rPr>
        <w:t>：降低受限水域商船-渔船碰撞事故率，保护渔船船员生命安全，减少船舶破损与水域污染风险。</w:t>
      </w:r>
    </w:p>
    <w:p w14:paraId="7C285D3A">
      <w:pPr>
        <w:pStyle w:val="16"/>
      </w:pPr>
      <w:r>
        <w:rPr>
          <w:rFonts w:ascii="Times New Roman" w:hAnsi="Times New Roman" w:eastAsia="宋体"/>
          <w:b/>
          <w:i w:val="0"/>
          <w:sz w:val="22"/>
        </w:rPr>
        <w:t>产业价值</w:t>
      </w:r>
      <w:r>
        <w:rPr>
          <w:rFonts w:ascii="Times New Roman" w:hAnsi="Times New Roman" w:eastAsia="宋体"/>
          <w:b w:val="0"/>
          <w:i w:val="0"/>
          <w:sz w:val="22"/>
        </w:rPr>
        <w:t>：可作为商船驾驶辅助终端、内河/沿海 VTS 辅助模块推广。</w:t>
      </w:r>
    </w:p>
    <w:p w14:paraId="6A95B9BC">
      <w:pPr>
        <w:pStyle w:val="16"/>
      </w:pPr>
      <w:r>
        <w:rPr>
          <w:rFonts w:ascii="Times New Roman" w:hAnsi="Times New Roman" w:eastAsia="宋体"/>
          <w:b/>
          <w:i w:val="0"/>
          <w:sz w:val="22"/>
        </w:rPr>
        <w:t>研究价值</w:t>
      </w:r>
      <w:r>
        <w:rPr>
          <w:rFonts w:ascii="Times New Roman" w:hAnsi="Times New Roman" w:eastAsia="宋体"/>
          <w:b w:val="0"/>
          <w:i w:val="0"/>
          <w:sz w:val="22"/>
        </w:rPr>
        <w:t>：打通"多源融合检测 → 机动预测 → 风险分区 → 损失最小化决策"的完整链条。</w:t>
      </w:r>
    </w:p>
    <w:p w14:paraId="5C2ADC6F">
      <w:pPr>
        <w:pStyle w:val="4"/>
      </w:pPr>
      <w:r>
        <w:rPr>
          <w:rFonts w:ascii="Times New Roman" w:hAnsi="Times New Roman" w:eastAsia="微软雅黑"/>
          <w:b/>
          <w:i w:val="0"/>
          <w:color w:val="000000"/>
          <w:sz w:val="28"/>
        </w:rPr>
        <w:t>三、项目技术方案</w:t>
      </w:r>
    </w:p>
    <w:p w14:paraId="61E4E4A5">
      <w:pPr>
        <w:pStyle w:val="5"/>
      </w:pPr>
      <w:r>
        <w:rPr>
          <w:rFonts w:ascii="Times New Roman" w:hAnsi="Times New Roman" w:eastAsia="微软雅黑"/>
          <w:b/>
          <w:i w:val="0"/>
          <w:color w:val="000000"/>
          <w:sz w:val="24"/>
        </w:rPr>
        <w:t>3.1 系统总体架构</w:t>
      </w:r>
    </w:p>
    <w:p w14:paraId="28113E67">
      <w:pPr>
        <w:bidi w:val="0"/>
      </w:pPr>
      <w:r>
        <w:t>系统部署于商船（本船），由四部分组成：数据接入、边缘计算、风险决策、人机交互。</w:t>
      </w:r>
    </w:p>
    <w:p w14:paraId="4F1CD6CA">
      <w:pPr>
        <w:bidi w:val="0"/>
      </w:pPr>
      <w:r>
        <w:t>数据接入层</w:t>
      </w:r>
    </w:p>
    <w:p w14:paraId="365102B8">
      <w:pPr>
        <w:bidi w:val="0"/>
      </w:pPr>
      <w:r>
        <w:t>① AIS接收机：本船船位/航向/航速、人工录入吃水、周边大船轨迹</w:t>
      </w:r>
    </w:p>
    <w:p w14:paraId="12D5A39C">
      <w:pPr>
        <w:bidi w:val="0"/>
      </w:pPr>
      <w:r>
        <w:t>② ECDIS电子海图：航道疏浚槽、浅滩水深边界（搁浅约束）</w:t>
      </w:r>
    </w:p>
    <w:p w14:paraId="025073CD">
      <w:pPr>
        <w:bidi w:val="0"/>
      </w:pPr>
      <w:r>
        <w:t>③ 新增硬件：海面多摄像头 + 红外传感器 → 边缘计算盒子</w:t>
      </w:r>
    </w:p>
    <w:p w14:paraId="6D937AFF">
      <w:pPr>
        <w:bidi w:val="0"/>
      </w:pPr>
      <w:r>
        <w:t xml:space="preserve">边缘算法层（核心） </w:t>
      </w:r>
    </w:p>
    <w:p w14:paraId="0DDD5D3D">
      <w:pPr>
        <w:bidi w:val="0"/>
      </w:pPr>
      <w:r>
        <w:t>④ 多源融合：可见光+红外融合；视觉目标与AIS目标关联（识别无AIS）</w:t>
      </w:r>
    </w:p>
    <w:p w14:paraId="66458E59">
      <w:pPr>
        <w:bidi w:val="0"/>
      </w:pPr>
      <w:r>
        <w:t xml:space="preserve"> ⑤ 检测+跟踪：检测渔船 → 多目标跟踪 → 估计渔船航向航速</w:t>
      </w:r>
    </w:p>
    <w:p w14:paraId="316429B2">
      <w:pPr>
        <w:bidi w:val="0"/>
      </w:pPr>
      <w:r>
        <w:t>⑥ 轨迹预测：渔船机动轨迹学习式预测（含不确定性）</w:t>
      </w:r>
    </w:p>
    <w:p w14:paraId="189C2DB4">
      <w:pPr>
        <w:bidi w:val="0"/>
      </w:pPr>
      <w:r>
        <w:t>⑦ 风险评估：分扇区船舶领域 + 碰撞危险度CRI → 绿/黄/红分区</w:t>
      </w:r>
    </w:p>
    <w:p w14:paraId="571DEC30">
      <w:pPr>
        <w:bidi w:val="0"/>
      </w:pPr>
      <w:r>
        <w:t>⑧ 避碰决策：可避→避让建议；不可避→损失最小化操纵参考</w:t>
      </w:r>
    </w:p>
    <w:p w14:paraId="0F3D9454">
      <w:pPr>
        <w:bidi w:val="0"/>
      </w:pPr>
      <w:r>
        <w:t xml:space="preserve"> 输出层 </w:t>
      </w:r>
    </w:p>
    <w:p w14:paraId="1D3940F0">
      <w:pPr>
        <w:bidi w:val="0"/>
      </w:pPr>
      <w:r>
        <w:t xml:space="preserve"> ⑨ 告警+辅助建议 → 驾驶台显示器（不接管自动舵/主机）</w:t>
      </w:r>
    </w:p>
    <w:p w14:paraId="24CD632F">
      <w:pPr>
        <w:bidi w:val="0"/>
      </w:pPr>
      <w:r>
        <w:t xml:space="preserve"> ⑩ （可选）告警事件上传岸基VTS，非实时主链路 </w:t>
      </w:r>
    </w:p>
    <w:p w14:paraId="486EB274">
      <w:pPr>
        <w:bidi w:val="0"/>
      </w:pPr>
    </w:p>
    <w:p w14:paraId="38976158">
      <w:pPr>
        <w:pStyle w:val="5"/>
      </w:pPr>
      <w:r>
        <w:rPr>
          <w:rFonts w:ascii="Times New Roman" w:hAnsi="Times New Roman" w:eastAsia="微软雅黑"/>
          <w:b/>
          <w:i w:val="0"/>
          <w:color w:val="000000"/>
          <w:sz w:val="24"/>
        </w:rPr>
        <w:t>3.2 感知层：多传感器检测与融合</w:t>
      </w:r>
    </w:p>
    <w:p w14:paraId="1249A913">
      <w:pPr>
        <w:pStyle w:val="16"/>
      </w:pPr>
      <w:r>
        <w:rPr>
          <w:rFonts w:ascii="Times New Roman" w:hAnsi="Times New Roman" w:eastAsia="宋体"/>
          <w:b/>
          <w:i w:val="0"/>
          <w:sz w:val="22"/>
        </w:rPr>
        <w:t>可见光 + 红外融合</w:t>
      </w:r>
      <w:r>
        <w:rPr>
          <w:rFonts w:ascii="Times New Roman" w:hAnsi="Times New Roman" w:eastAsia="宋体"/>
          <w:b w:val="0"/>
          <w:i w:val="0"/>
          <w:sz w:val="22"/>
        </w:rPr>
        <w:t>：白天靠可见光，夜间/雾天/逆光靠红外，保证全天候检测能力。</w:t>
      </w:r>
    </w:p>
    <w:p w14:paraId="384680C0">
      <w:pPr>
        <w:pStyle w:val="16"/>
      </w:pPr>
      <w:r>
        <w:rPr>
          <w:rFonts w:ascii="Times New Roman" w:hAnsi="Times New Roman" w:eastAsia="宋体"/>
          <w:b/>
          <w:i w:val="0"/>
          <w:sz w:val="22"/>
        </w:rPr>
        <w:t>小目标检测</w:t>
      </w:r>
      <w:r>
        <w:rPr>
          <w:rFonts w:ascii="Times New Roman" w:hAnsi="Times New Roman" w:eastAsia="宋体"/>
          <w:b w:val="0"/>
          <w:i w:val="0"/>
          <w:sz w:val="22"/>
        </w:rPr>
        <w:t>：渔船在海面成像面积小，需针对性优化的小目标检测网络（基于公开海事图像数据集训练，如 SeaShips、新加坡海事数据集等）。</w:t>
      </w:r>
    </w:p>
    <w:p w14:paraId="14553CEF">
      <w:pPr>
        <w:pStyle w:val="16"/>
      </w:pPr>
      <w:r>
        <w:rPr>
          <w:rFonts w:ascii="Times New Roman" w:hAnsi="Times New Roman" w:eastAsia="宋体"/>
          <w:b/>
          <w:i w:val="0"/>
          <w:sz w:val="22"/>
        </w:rPr>
        <w:t>多源融合的两层含义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 w14:paraId="21BF5597">
      <w:pPr>
        <w:pStyle w:val="14"/>
        <w:numPr>
          <w:numId w:val="7"/>
        </w:numPr>
        <w:ind w:left="425"/>
      </w:pPr>
      <w:r>
        <w:rPr>
          <w:rFonts w:ascii="Times New Roman" w:hAnsi="Times New Roman" w:eastAsia="宋体"/>
          <w:b w:val="0"/>
          <w:i w:val="0"/>
          <w:sz w:val="22"/>
        </w:rPr>
        <w:t>传感器级融合：可见光与红外检测结果融合，得到更稳健的目标；</w:t>
      </w:r>
    </w:p>
    <w:p w14:paraId="1A185F98">
      <w:pPr>
        <w:pStyle w:val="14"/>
        <w:numPr>
          <w:numId w:val="7"/>
        </w:numPr>
        <w:ind w:left="425"/>
      </w:pPr>
      <w:r>
        <w:rPr>
          <w:rFonts w:ascii="Times New Roman" w:hAnsi="Times New Roman" w:eastAsia="宋体"/>
          <w:b w:val="0"/>
          <w:i w:val="0"/>
          <w:sz w:val="22"/>
        </w:rPr>
        <w:t>目标级关联：视觉目标与 AIS 目标匹配，</w:t>
      </w:r>
      <w:r>
        <w:rPr>
          <w:rFonts w:ascii="Times New Roman" w:hAnsi="Times New Roman" w:eastAsia="宋体"/>
          <w:b/>
          <w:i w:val="0"/>
          <w:sz w:val="22"/>
        </w:rPr>
        <w:t>匹配不上的即判定为"无 AIS 目标"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 w14:paraId="7BA02FDC">
      <w:pPr>
        <w:pStyle w:val="5"/>
      </w:pPr>
      <w:r>
        <w:rPr>
          <w:rFonts w:ascii="Times New Roman" w:hAnsi="Times New Roman" w:eastAsia="微软雅黑"/>
          <w:b/>
          <w:i w:val="0"/>
          <w:color w:val="000000"/>
          <w:sz w:val="24"/>
        </w:rPr>
        <w:t>3.3 跟踪与数据关联</w:t>
      </w:r>
    </w:p>
    <w:p w14:paraId="4AB8E116">
      <w:pPr>
        <w:pStyle w:val="16"/>
      </w:pPr>
      <w:r>
        <w:rPr>
          <w:rFonts w:ascii="Times New Roman" w:hAnsi="Times New Roman" w:eastAsia="宋体"/>
          <w:b/>
          <w:i w:val="0"/>
          <w:sz w:val="22"/>
        </w:rPr>
        <w:t>多目标跟踪（MOT）</w:t>
      </w:r>
      <w:r>
        <w:rPr>
          <w:rFonts w:ascii="Times New Roman" w:hAnsi="Times New Roman" w:eastAsia="宋体"/>
          <w:b w:val="0"/>
          <w:i w:val="0"/>
          <w:sz w:val="22"/>
        </w:rPr>
        <w:t>：将连续帧的检测关联成轨迹，估计每个目标的航向、航速——这是计算 DCPA/TCPA 的前提。</w:t>
      </w:r>
    </w:p>
    <w:p w14:paraId="43E5090D">
      <w:pPr>
        <w:pStyle w:val="16"/>
      </w:pPr>
      <w:r>
        <w:rPr>
          <w:rFonts w:ascii="Times New Roman" w:hAnsi="Times New Roman" w:eastAsia="宋体"/>
          <w:b/>
          <w:i w:val="0"/>
          <w:sz w:val="22"/>
        </w:rPr>
        <w:t>数据关联</w:t>
      </w:r>
      <w:r>
        <w:rPr>
          <w:rFonts w:ascii="Times New Roman" w:hAnsi="Times New Roman" w:eastAsia="宋体"/>
          <w:b w:val="0"/>
          <w:i w:val="0"/>
          <w:sz w:val="22"/>
        </w:rPr>
        <w:t>：将视觉轨迹与 AIS 轨迹进行时空匹配。成功匹配 → 该目标有 AIS；匹配失败 → 该目标为无 AIS 渔船，进入"重点风险"处理流程。</w:t>
      </w:r>
    </w:p>
    <w:p w14:paraId="1F732E59">
      <w:pPr>
        <w:pStyle w:val="5"/>
      </w:pPr>
      <w:r>
        <w:rPr>
          <w:rFonts w:ascii="Times New Roman" w:hAnsi="Times New Roman" w:eastAsia="微软雅黑"/>
          <w:b/>
          <w:i w:val="0"/>
          <w:color w:val="000000"/>
          <w:sz w:val="24"/>
        </w:rPr>
        <w:t>3.4 轨迹预测</w:t>
      </w:r>
    </w:p>
    <w:p w14:paraId="69AA7E0A">
      <w:pPr>
        <w:bidi w:val="0"/>
      </w:pPr>
      <w:r>
        <w:t>传统方法（航向航速不变直线外推）对渔船突转、停船、急加速失效。本项目引入学习式预测：</w:t>
      </w:r>
    </w:p>
    <w:p w14:paraId="68021870">
      <w:pPr>
        <w:pStyle w:val="16"/>
      </w:pPr>
      <w:r>
        <w:rPr>
          <w:rFonts w:ascii="Times New Roman" w:hAnsi="Times New Roman" w:eastAsia="宋体"/>
          <w:b w:val="0"/>
          <w:i w:val="0"/>
          <w:sz w:val="22"/>
        </w:rPr>
        <w:t>输入：目标历史轨迹序列（位置、航向、航速）。</w:t>
      </w:r>
    </w:p>
    <w:p w14:paraId="30D82F74">
      <w:pPr>
        <w:pStyle w:val="16"/>
      </w:pPr>
      <w:r>
        <w:rPr>
          <w:rFonts w:ascii="Times New Roman" w:hAnsi="Times New Roman" w:eastAsia="宋体"/>
          <w:b w:val="0"/>
          <w:i w:val="0"/>
          <w:sz w:val="22"/>
        </w:rPr>
        <w:t>模型：LSTM / Transformer 等序列模型，学习渔船机动模式。</w:t>
      </w:r>
    </w:p>
    <w:p w14:paraId="429FBF0D">
      <w:pPr>
        <w:pStyle w:val="16"/>
      </w:pPr>
      <w:r>
        <w:rPr>
          <w:rFonts w:ascii="Times New Roman" w:hAnsi="Times New Roman" w:eastAsia="宋体"/>
          <w:b w:val="0"/>
          <w:i w:val="0"/>
          <w:sz w:val="22"/>
        </w:rPr>
        <w:t>输出：未来一段时间的位置概率分布（</w:t>
      </w:r>
      <w:r>
        <w:rPr>
          <w:rFonts w:ascii="Times New Roman" w:hAnsi="Times New Roman" w:eastAsia="宋体"/>
          <w:b/>
          <w:i w:val="0"/>
          <w:sz w:val="22"/>
        </w:rPr>
        <w:t>含不确定性</w:t>
      </w:r>
      <w:r>
        <w:rPr>
          <w:rFonts w:ascii="Times New Roman" w:hAnsi="Times New Roman" w:eastAsia="宋体"/>
          <w:b w:val="0"/>
          <w:i w:val="0"/>
          <w:sz w:val="22"/>
        </w:rPr>
        <w:t>），而非单条确定性轨迹。</w:t>
      </w:r>
    </w:p>
    <w:p w14:paraId="334A0157">
      <w:pPr>
        <w:pStyle w:val="16"/>
      </w:pPr>
      <w:r>
        <w:rPr>
          <w:rFonts w:ascii="Times New Roman" w:hAnsi="Times New Roman" w:eastAsia="宋体"/>
          <w:b w:val="0"/>
          <w:i w:val="0"/>
          <w:sz w:val="22"/>
        </w:rPr>
        <w:t>意义：用预测的不确定性来衡量风险，比单点预测更稳健，尤其适合"渔船会突然转向"的场景。</w:t>
      </w:r>
    </w:p>
    <w:p w14:paraId="63D4EA18">
      <w:pPr>
        <w:pStyle w:val="5"/>
      </w:pPr>
      <w:r>
        <w:rPr>
          <w:rFonts w:ascii="Times New Roman" w:hAnsi="Times New Roman" w:eastAsia="微软雅黑"/>
          <w:b/>
          <w:i w:val="0"/>
          <w:color w:val="000000"/>
          <w:sz w:val="24"/>
        </w:rPr>
        <w:t>3.5 碰撞风险评估：分扇区船舶领域 + 碰撞危险度</w:t>
      </w:r>
    </w:p>
    <w:p w14:paraId="2CD755DD">
      <w:pPr>
        <w:bidi w:val="0"/>
      </w:pPr>
      <w:r>
        <w:t>本模块对每个目标实时评估碰撞风险，核心是"船舶领域（Ship Domain）+ 碰撞危险度（CRI）"两类经典方法的结合。</w:t>
      </w:r>
    </w:p>
    <w:p w14:paraId="59ABB784">
      <w:pPr>
        <w:bidi w:val="0"/>
      </w:pPr>
      <w:r>
        <w:t>（1）风险因子与会遇几何</w:t>
      </w:r>
    </w:p>
    <w:p w14:paraId="6A07704D">
      <w:pPr>
        <w:bidi w:val="0"/>
      </w:pPr>
      <w:r>
        <w:t>对每个目标提取标准运动学风险因子，并计算会遇参数（设两船相对速度向量与连线夹角为 α）：</w:t>
      </w:r>
    </w:p>
    <w:p w14:paraId="20CB0B8A">
      <w:pPr>
        <w:pStyle w:val="16"/>
      </w:pPr>
      <w:r>
        <w:rPr>
          <w:rFonts w:ascii="Times New Roman" w:hAnsi="Times New Roman" w:eastAsia="宋体"/>
          <w:b w:val="0"/>
          <w:i w:val="0"/>
          <w:sz w:val="22"/>
        </w:rPr>
        <w:t xml:space="preserve">相对距离 </w:t>
      </w:r>
      <w:r>
        <w:rPr>
          <w:rFonts w:ascii="Consolas" w:hAnsi="Consolas" w:eastAsia="宋体"/>
          <w:b w:val="0"/>
          <w:i w:val="0"/>
          <w:sz w:val="20"/>
        </w:rPr>
        <w:t>D</w:t>
      </w:r>
      <w:r>
        <w:rPr>
          <w:rFonts w:ascii="Times New Roman" w:hAnsi="Times New Roman" w:eastAsia="宋体"/>
          <w:b w:val="0"/>
          <w:i w:val="0"/>
          <w:sz w:val="22"/>
        </w:rPr>
        <w:t xml:space="preserve">、相对速度 </w:t>
      </w:r>
      <w:r>
        <w:rPr>
          <w:rFonts w:ascii="Consolas" w:hAnsi="Consolas" w:eastAsia="宋体"/>
          <w:b w:val="0"/>
          <w:i w:val="0"/>
          <w:sz w:val="20"/>
        </w:rPr>
        <w:t>Vr</w:t>
      </w:r>
      <w:r>
        <w:rPr>
          <w:rFonts w:ascii="Times New Roman" w:hAnsi="Times New Roman" w:eastAsia="宋体"/>
          <w:b w:val="0"/>
          <w:i w:val="0"/>
          <w:sz w:val="22"/>
        </w:rPr>
        <w:t xml:space="preserve">、相对方位 </w:t>
      </w:r>
      <w:r>
        <w:rPr>
          <w:rFonts w:ascii="Consolas" w:hAnsi="Consolas" w:eastAsia="宋体"/>
          <w:b w:val="0"/>
          <w:i w:val="0"/>
          <w:sz w:val="20"/>
        </w:rPr>
        <w:t>θ</w:t>
      </w:r>
      <w:r>
        <w:rPr>
          <w:rFonts w:ascii="Times New Roman" w:hAnsi="Times New Roman" w:eastAsia="宋体"/>
          <w:b w:val="0"/>
          <w:i w:val="0"/>
          <w:sz w:val="22"/>
        </w:rPr>
        <w:t xml:space="preserve">（目标相对本船的舷角）、船速比 </w:t>
      </w:r>
      <w:r>
        <w:rPr>
          <w:rFonts w:ascii="Consolas" w:hAnsi="Consolas" w:eastAsia="宋体"/>
          <w:b w:val="0"/>
          <w:i w:val="0"/>
          <w:sz w:val="20"/>
        </w:rPr>
        <w:t>K = vt/vo</w:t>
      </w:r>
      <w:r>
        <w:rPr>
          <w:rFonts w:ascii="Times New Roman" w:hAnsi="Times New Roman" w:eastAsia="宋体"/>
          <w:b w:val="0"/>
          <w:i w:val="0"/>
          <w:sz w:val="22"/>
        </w:rPr>
        <w:t>；</w:t>
      </w:r>
    </w:p>
    <w:p w14:paraId="1F5FAF5C">
      <w:pPr>
        <w:pStyle w:val="16"/>
      </w:pPr>
      <w:r>
        <w:rPr>
          <w:rFonts w:ascii="Times New Roman" w:hAnsi="Times New Roman" w:eastAsia="宋体"/>
          <w:b w:val="0"/>
          <w:i w:val="0"/>
          <w:sz w:val="22"/>
        </w:rPr>
        <w:t>最近会遇距离与时间：</w:t>
      </w:r>
    </w:p>
    <w:p w14:paraId="43D0F435">
      <w:pPr>
        <w:bidi w:val="0"/>
      </w:pPr>
      <w:r>
        <w:t>DCPA = D * sin(α)          （最近会遇距离）</w:t>
      </w:r>
    </w:p>
    <w:p w14:paraId="3D590E6A">
      <w:pPr>
        <w:bidi w:val="0"/>
      </w:pPr>
      <w:r>
        <w:t>TCPA = D * cos(α) / Vr     （到最近会遇点时间，TCPA&gt;0 表示正在逼近）</w:t>
      </w:r>
    </w:p>
    <w:p w14:paraId="029C071A">
      <w:pPr>
        <w:bidi w:val="0"/>
      </w:pPr>
      <w:r>
        <w:t>（2）船舶领域（Ship Domain）——风险分区的几何基础</w:t>
      </w:r>
    </w:p>
    <w:p w14:paraId="5E0250B1">
      <w:pPr>
        <w:bidi w:val="0"/>
      </w:pPr>
      <w:r>
        <w:t>"船舶领域"是本船周围应保持清空的安全领域。经典模型及本项目采用：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74D5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9E2F3"/>
          </w:tcPr>
          <w:p w14:paraId="15384D91">
            <w:pPr>
              <w:bidi w:val="0"/>
            </w:pPr>
            <w:r>
              <w:t>模型</w:t>
            </w:r>
          </w:p>
        </w:tc>
        <w:tc>
          <w:tcPr>
            <w:tcW w:w="2160" w:type="dxa"/>
            <w:shd w:val="clear" w:color="auto" w:fill="D9E2F3"/>
          </w:tcPr>
          <w:p w14:paraId="5FB8ABC5">
            <w:pPr>
              <w:bidi w:val="0"/>
            </w:pPr>
            <w:r>
              <w:t>提出者</w:t>
            </w:r>
          </w:p>
        </w:tc>
        <w:tc>
          <w:tcPr>
            <w:tcW w:w="2160" w:type="dxa"/>
            <w:shd w:val="clear" w:color="auto" w:fill="D9E2F3"/>
          </w:tcPr>
          <w:p w14:paraId="0BB8B404">
            <w:pPr>
              <w:bidi w:val="0"/>
            </w:pPr>
            <w:r>
              <w:t>形式</w:t>
            </w:r>
          </w:p>
        </w:tc>
        <w:tc>
          <w:tcPr>
            <w:tcW w:w="2160" w:type="dxa"/>
            <w:shd w:val="clear" w:color="auto" w:fill="D9E2F3"/>
          </w:tcPr>
          <w:p w14:paraId="4068A37C">
            <w:pPr>
              <w:bidi w:val="0"/>
            </w:pPr>
            <w:r>
              <w:t>关键参数</w:t>
            </w:r>
          </w:p>
        </w:tc>
      </w:tr>
      <w:tr w14:paraId="3A89A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6B35B794">
            <w:pPr>
              <w:bidi w:val="0"/>
            </w:pPr>
            <w:r>
              <w:t>椭圆领域</w:t>
            </w:r>
          </w:p>
        </w:tc>
        <w:tc>
          <w:tcPr>
            <w:tcW w:w="2160" w:type="dxa"/>
          </w:tcPr>
          <w:p w14:paraId="2736E637">
            <w:pPr>
              <w:bidi w:val="0"/>
            </w:pPr>
            <w:r>
              <w:t>Fujii &amp; Tanaka (1971)</w:t>
            </w:r>
          </w:p>
        </w:tc>
        <w:tc>
          <w:tcPr>
            <w:tcW w:w="2160" w:type="dxa"/>
          </w:tcPr>
          <w:p w14:paraId="707A762B">
            <w:pPr>
              <w:bidi w:val="0"/>
            </w:pPr>
            <w:r>
              <w:t>椭圆</w:t>
            </w:r>
          </w:p>
        </w:tc>
        <w:tc>
          <w:tcPr>
            <w:tcW w:w="2160" w:type="dxa"/>
          </w:tcPr>
          <w:p w14:paraId="33F2C282">
            <w:pPr>
              <w:bidi w:val="0"/>
            </w:pPr>
            <w:r>
              <w:t>长轴 8L、短轴 3.2L（受限水域缩至 6L×1.6L），L 为船长</w:t>
            </w:r>
          </w:p>
        </w:tc>
      </w:tr>
      <w:tr w14:paraId="24280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380A14">
            <w:pPr>
              <w:bidi w:val="0"/>
            </w:pPr>
            <w:r>
              <w:t>分扇区领域</w:t>
            </w:r>
          </w:p>
        </w:tc>
        <w:tc>
          <w:tcPr>
            <w:tcW w:w="2160" w:type="dxa"/>
          </w:tcPr>
          <w:p w14:paraId="012F5F9B">
            <w:pPr>
              <w:bidi w:val="0"/>
            </w:pPr>
            <w:r>
              <w:t>Goodwin (1975)</w:t>
            </w:r>
          </w:p>
        </w:tc>
        <w:tc>
          <w:tcPr>
            <w:tcW w:w="2160" w:type="dxa"/>
          </w:tcPr>
          <w:p w14:paraId="4203CFD9">
            <w:pPr>
              <w:bidi w:val="0"/>
            </w:pPr>
            <w:r>
              <w:t>三扇区（112.5° 分界）</w:t>
            </w:r>
          </w:p>
        </w:tc>
        <w:tc>
          <w:tcPr>
            <w:tcW w:w="2160" w:type="dxa"/>
          </w:tcPr>
          <w:p w14:paraId="3D81967D">
            <w:pPr>
              <w:bidi w:val="0"/>
            </w:pPr>
            <w:r>
              <w:t>右舷 0.85 nm、船尾 0.45 nm、左舷 0.70 nm</w:t>
            </w:r>
          </w:p>
        </w:tc>
      </w:tr>
      <w:tr w14:paraId="2E4BA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FC5F7A">
            <w:pPr>
              <w:bidi w:val="0"/>
            </w:pPr>
            <w:r>
              <w:t>四元船舶领域</w:t>
            </w:r>
          </w:p>
        </w:tc>
        <w:tc>
          <w:tcPr>
            <w:tcW w:w="2160" w:type="dxa"/>
          </w:tcPr>
          <w:p w14:paraId="27B1CA33">
            <w:pPr>
              <w:bidi w:val="0"/>
            </w:pPr>
            <w:r>
              <w:t>Wang (2010)</w:t>
            </w:r>
          </w:p>
        </w:tc>
        <w:tc>
          <w:tcPr>
            <w:tcW w:w="2160" w:type="dxa"/>
          </w:tcPr>
          <w:p w14:paraId="2AA2023C">
            <w:pPr>
              <w:bidi w:val="0"/>
            </w:pPr>
            <w:r>
              <w:t>四半径 + 形状参数 k</w:t>
            </w:r>
          </w:p>
        </w:tc>
        <w:tc>
          <w:tcPr>
            <w:tcW w:w="2160" w:type="dxa"/>
          </w:tcPr>
          <w:p w14:paraId="7E8FD0D1">
            <w:pPr>
              <w:bidi w:val="0"/>
            </w:pPr>
            <w:r>
              <w:t>前/后/左/右四半径，支持模糊边界</w:t>
            </w:r>
          </w:p>
        </w:tc>
      </w:tr>
    </w:tbl>
    <w:p w14:paraId="722C943F">
      <w:pPr>
        <w:bidi w:val="0"/>
      </w:pPr>
    </w:p>
    <w:p w14:paraId="2F0A2557">
      <w:pPr>
        <w:bidi w:val="0"/>
      </w:pPr>
      <w:r>
        <w:t>本项目采用分扇区（角度间隔）思路：围绕本船按相对方位 θ 划分扇区，各扇区安全半径不同（船艏方向机动最危险、半径最大），与 COLREGS 的会遇关系（对遇/交叉/追越）相对应。</w:t>
      </w:r>
    </w:p>
    <w:p w14:paraId="55286B43">
      <w:pPr>
        <w:bidi w:val="0"/>
      </w:pPr>
      <w:r>
        <w:t>（3）碰撞危险度 CRI（模糊综合评判）</w:t>
      </w:r>
    </w:p>
    <w:p w14:paraId="2C732108">
      <w:pPr>
        <w:bidi w:val="0"/>
      </w:pPr>
      <w:r>
        <w:t>CRI 是 [0,1] 区间的标量，越大越危险。采用经典模糊综合评判：对 DCPA、TCPA、相对距离 D、相对方位 θ、船速比 K 五个因素分别建立隶属函数，再用层次分析法（AHP）加权合成。</w:t>
      </w:r>
    </w:p>
    <w:p w14:paraId="7EE198B8">
      <w:pPr>
        <w:pStyle w:val="16"/>
      </w:pPr>
      <w:r>
        <w:rPr>
          <w:rFonts w:ascii="Times New Roman" w:hAnsi="Times New Roman" w:eastAsia="宋体"/>
          <w:b/>
          <w:i w:val="0"/>
          <w:sz w:val="22"/>
        </w:rPr>
        <w:t>DCPA 隶属度</w:t>
      </w:r>
      <w:r>
        <w:rPr>
          <w:rFonts w:ascii="Times New Roman" w:hAnsi="Times New Roman" w:eastAsia="宋体"/>
          <w:b w:val="0"/>
          <w:i w:val="0"/>
          <w:sz w:val="22"/>
        </w:rPr>
        <w:t>（正弦过渡，最关键）：</w:t>
      </w:r>
    </w:p>
    <w:p w14:paraId="7BA864AB">
      <w:pPr>
        <w:bidi w:val="0"/>
      </w:pPr>
      <w:r>
        <w:t>u(DCPA) = 1                                                （DCPA ≤ d1）</w:t>
      </w:r>
    </w:p>
    <w:p w14:paraId="1376CE38">
      <w:pPr>
        <w:bidi w:val="0"/>
      </w:pPr>
      <w:r>
        <w:t xml:space="preserve">        = 1/2 - 1/2*sin[ π/(d2-d1) * (DCPA-(d1+d2)/2) ]   （d1 &lt; DCPA ≤ d2）</w:t>
      </w:r>
    </w:p>
    <w:p w14:paraId="541CE291">
      <w:pPr>
        <w:bidi w:val="0"/>
      </w:pPr>
      <w:r>
        <w:t xml:space="preserve">        = 0                                                （DCPA &gt; d2）</w:t>
      </w:r>
    </w:p>
    <w:p w14:paraId="0F28F437">
      <w:pPr>
        <w:bidi w:val="0"/>
      </w:pPr>
      <w:r>
        <w:t>其中 d1 为安全会遇距离（按相对方位 θ 分段取 0.7~1.1 nm），d2 = 2*d1。</w:t>
      </w:r>
    </w:p>
    <w:p w14:paraId="048F1A0A">
      <w:pPr>
        <w:pStyle w:val="16"/>
      </w:pPr>
      <w:r>
        <w:rPr>
          <w:rFonts w:ascii="Times New Roman" w:hAnsi="Times New Roman" w:eastAsia="宋体"/>
          <w:b/>
          <w:i w:val="0"/>
          <w:sz w:val="22"/>
        </w:rPr>
        <w:t>TCPA 隶属度</w:t>
      </w:r>
      <w:r>
        <w:rPr>
          <w:rFonts w:ascii="Times New Roman" w:hAnsi="Times New Roman" w:eastAsia="宋体"/>
          <w:b w:val="0"/>
          <w:i w:val="0"/>
          <w:sz w:val="22"/>
        </w:rPr>
        <w:t>（随 |TCPA| 减小而升高）：</w:t>
      </w:r>
    </w:p>
    <w:p w14:paraId="538DBB5F">
      <w:pPr>
        <w:bidi w:val="0"/>
      </w:pPr>
      <w:r>
        <w:t>u(TCPA) = 1                            （|TCPA| ≤ t1）</w:t>
      </w:r>
    </w:p>
    <w:p w14:paraId="3DAC65A7">
      <w:pPr>
        <w:bidi w:val="0"/>
      </w:pPr>
      <w:r>
        <w:t xml:space="preserve">        = [(t2-|TCPA|)/(t2-t1)]^2     （t1 &lt; |TCPA| ≤ t2）</w:t>
      </w:r>
    </w:p>
    <w:p w14:paraId="74857286">
      <w:pPr>
        <w:bidi w:val="0"/>
      </w:pPr>
      <w:r>
        <w:t xml:space="preserve">        = 0                            （|TCPA| &gt; t2）</w:t>
      </w:r>
    </w:p>
    <w:p w14:paraId="4E6E63EE">
      <w:pPr>
        <w:pStyle w:val="16"/>
      </w:pPr>
      <w:r>
        <w:rPr>
          <w:rFonts w:ascii="Times New Roman" w:hAnsi="Times New Roman" w:eastAsia="宋体"/>
          <w:b/>
          <w:i w:val="0"/>
          <w:sz w:val="22"/>
        </w:rPr>
        <w:t>合成 CRI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 w14:paraId="23E52025">
      <w:pPr>
        <w:bidi w:val="0"/>
      </w:pPr>
      <w:r>
        <w:t>CRI = Σ ω_i * u_i ,  u_i ∈ [0,1]</w:t>
      </w:r>
    </w:p>
    <w:p w14:paraId="6316E4E4">
      <w:pPr>
        <w:bidi w:val="0"/>
      </w:pPr>
      <w:r>
        <w:t>权重 ω = [ω_DCPA, ω_TCPA, ω_D, ω_θ, ω_K]（AHP 确定）</w:t>
      </w:r>
    </w:p>
    <w:p w14:paraId="3A2697AC">
      <w:pPr>
        <w:bidi w:val="0"/>
      </w:pPr>
      <w:r>
        <w:t>（4）风险分区可视化：将船舶领域边界与 CRI 结合，划分三级区域（以 CRI &gt; 0.5 作为预警阈值）：</w:t>
      </w:r>
      <w:bookmarkStart w:id="0" w:name="_GoBack"/>
      <w:bookmarkEnd w:id="0"/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C299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9E2F3"/>
          </w:tcPr>
          <w:p w14:paraId="1BA87753">
            <w:pPr>
              <w:bidi w:val="0"/>
            </w:pPr>
            <w:r>
              <w:t>分区</w:t>
            </w:r>
          </w:p>
        </w:tc>
        <w:tc>
          <w:tcPr>
            <w:tcW w:w="2160" w:type="dxa"/>
            <w:shd w:val="clear" w:color="auto" w:fill="D9E2F3"/>
          </w:tcPr>
          <w:p w14:paraId="183199C7">
            <w:pPr>
              <w:bidi w:val="0"/>
            </w:pPr>
            <w:r>
              <w:t>颜色</w:t>
            </w:r>
          </w:p>
        </w:tc>
        <w:tc>
          <w:tcPr>
            <w:tcW w:w="2160" w:type="dxa"/>
            <w:shd w:val="clear" w:color="auto" w:fill="D9E2F3"/>
          </w:tcPr>
          <w:p w14:paraId="12DD11A1">
            <w:pPr>
              <w:bidi w:val="0"/>
            </w:pPr>
            <w:r>
              <w:t>判据</w:t>
            </w:r>
          </w:p>
        </w:tc>
        <w:tc>
          <w:tcPr>
            <w:tcW w:w="2160" w:type="dxa"/>
            <w:shd w:val="clear" w:color="auto" w:fill="D9E2F3"/>
          </w:tcPr>
          <w:p w14:paraId="3DBED068">
            <w:pPr>
              <w:bidi w:val="0"/>
            </w:pPr>
            <w:r>
              <w:t>系统动作</w:t>
            </w:r>
          </w:p>
        </w:tc>
      </w:tr>
      <w:tr w14:paraId="0601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5AB081">
            <w:pPr>
              <w:bidi w:val="0"/>
            </w:pPr>
            <w:r>
              <w:t>低风险区</w:t>
            </w:r>
          </w:p>
        </w:tc>
        <w:tc>
          <w:tcPr>
            <w:tcW w:w="2160" w:type="dxa"/>
          </w:tcPr>
          <w:p w14:paraId="73F9FD89">
            <w:pPr>
              <w:bidi w:val="0"/>
            </w:pPr>
            <w:r>
              <w:t>绿</w:t>
            </w:r>
          </w:p>
        </w:tc>
        <w:tc>
          <w:tcPr>
            <w:tcW w:w="2160" w:type="dxa"/>
          </w:tcPr>
          <w:p w14:paraId="210998AE">
            <w:pPr>
              <w:bidi w:val="0"/>
            </w:pPr>
            <w:r>
              <w:t>目标在领域外、CRI 低</w:t>
            </w:r>
          </w:p>
        </w:tc>
        <w:tc>
          <w:tcPr>
            <w:tcW w:w="2160" w:type="dxa"/>
          </w:tcPr>
          <w:p w14:paraId="3B073038">
            <w:pPr>
              <w:bidi w:val="0"/>
            </w:pPr>
            <w:r>
              <w:t>正常监视</w:t>
            </w:r>
          </w:p>
        </w:tc>
      </w:tr>
      <w:tr w14:paraId="798CE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7BE3DB">
            <w:pPr>
              <w:bidi w:val="0"/>
            </w:pPr>
            <w:r>
              <w:t>警戒区</w:t>
            </w:r>
          </w:p>
        </w:tc>
        <w:tc>
          <w:tcPr>
            <w:tcW w:w="2160" w:type="dxa"/>
          </w:tcPr>
          <w:p w14:paraId="624496B2">
            <w:pPr>
              <w:bidi w:val="0"/>
            </w:pPr>
            <w:r>
              <w:t>黄</w:t>
            </w:r>
          </w:p>
        </w:tc>
        <w:tc>
          <w:tcPr>
            <w:tcW w:w="2160" w:type="dxa"/>
          </w:tcPr>
          <w:p w14:paraId="67F9A417">
            <w:pPr>
              <w:bidi w:val="0"/>
            </w:pPr>
            <w:r>
              <w:t>目标进入领域边缘、CRI 中等</w:t>
            </w:r>
          </w:p>
        </w:tc>
        <w:tc>
          <w:tcPr>
            <w:tcW w:w="2160" w:type="dxa"/>
          </w:tcPr>
          <w:p w14:paraId="30AAC079">
            <w:pPr>
              <w:bidi w:val="0"/>
            </w:pPr>
            <w:r>
              <w:t>提示性告警</w:t>
            </w:r>
          </w:p>
        </w:tc>
      </w:tr>
      <w:tr w14:paraId="33F2B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E0B9C9">
            <w:pPr>
              <w:bidi w:val="0"/>
            </w:pPr>
            <w:r>
              <w:t>高警戒区</w:t>
            </w:r>
          </w:p>
        </w:tc>
        <w:tc>
          <w:tcPr>
            <w:tcW w:w="2160" w:type="dxa"/>
          </w:tcPr>
          <w:p w14:paraId="64259891">
            <w:pPr>
              <w:bidi w:val="0"/>
            </w:pPr>
            <w:r>
              <w:t>红</w:t>
            </w:r>
          </w:p>
        </w:tc>
        <w:tc>
          <w:tcPr>
            <w:tcW w:w="2160" w:type="dxa"/>
          </w:tcPr>
          <w:p w14:paraId="5FF3BBB0">
            <w:pPr>
              <w:bidi w:val="0"/>
            </w:pPr>
            <w:r>
              <w:t>目标进入领域核心、CRI 高</w:t>
            </w:r>
          </w:p>
        </w:tc>
        <w:tc>
          <w:tcPr>
            <w:tcW w:w="2160" w:type="dxa"/>
          </w:tcPr>
          <w:p w14:paraId="32B1F5AA">
            <w:pPr>
              <w:bidi w:val="0"/>
            </w:pPr>
            <w:r>
              <w:t>最高级别声光告警 + 避让建议</w:t>
            </w:r>
          </w:p>
        </w:tc>
      </w:tr>
    </w:tbl>
    <w:p w14:paraId="455B5D6E">
      <w:pPr>
        <w:bidi w:val="0"/>
      </w:pPr>
    </w:p>
    <w:p w14:paraId="7F2C152F">
      <w:pPr>
        <w:bidi w:val="0"/>
      </w:pPr>
      <w:r>
        <w:t>**关于"自动干预"的定位**：目标进入红色区域后，系统**自动触发最高级别告警并给出避让建议（转向方向、减速幅度）**，由驾驶员确认执行；系统**不直接操纵船舶的自动舵与主机**。该设计既保证告警的实时性与确定性，又符合"辅助决策、人为主导"的安全边界与法规要求。</w:t>
      </w:r>
    </w:p>
    <w:p w14:paraId="5ABC4109">
      <w:pPr>
        <w:bidi w:val="0"/>
      </w:pPr>
      <w:r>
        <w:t>（5）统一风险框架：无论目标是"有 AIS 的大船"还是"无 AIS 的渔船"，都送入同一套船舶领域 + CRI 风险模型。区别仅在数据来源——AIS 目标直接使用 AIS 数据，无 AIS 渔船则由视觉跟踪估计其航向航速后，作为"虚拟 AIS 目标"接入。</w:t>
      </w:r>
    </w:p>
    <w:p w14:paraId="328C2E9E">
      <w:pPr>
        <w:pStyle w:val="5"/>
      </w:pPr>
      <w:r>
        <w:rPr>
          <w:rFonts w:ascii="Times New Roman" w:hAnsi="Times New Roman" w:eastAsia="微软雅黑"/>
          <w:b/>
          <w:i w:val="0"/>
          <w:color w:val="000000"/>
          <w:sz w:val="24"/>
        </w:rPr>
        <w:t>3.6 避碰决策与损失最小化</w:t>
      </w:r>
    </w:p>
    <w:p w14:paraId="716478A4">
      <w:pPr>
        <w:bidi w:val="0"/>
      </w:pPr>
      <w:r>
        <w:t>（1）可避情形：依据会遇关系（对遇 / 交叉 / 追越）与《国际海上避碰规则》（COLREGS），给出符合规则的避让建议（谁让谁、往哪转）。</w:t>
      </w:r>
    </w:p>
    <w:p w14:paraId="23C8ECB9">
      <w:pPr>
        <w:bidi w:val="0"/>
      </w:pPr>
      <w:r>
        <w:t>（2）不可避情形——损失最小化：当剩余时间不足以避免碰撞时，求解一个带约束的优化问题，目标是让碰撞损失最小：</w:t>
      </w:r>
    </w:p>
    <w:p w14:paraId="1C9A70B3">
      <w:pPr>
        <w:bidi w:val="0"/>
      </w:pPr>
      <w:r>
        <w:t>决策变量：舵角 δ（转向方向与幅度）、减速量 Δv、动作时机 t₀</w:t>
      </w:r>
    </w:p>
    <w:p w14:paraId="4314F4C6">
      <w:pPr>
        <w:bidi w:val="0"/>
      </w:pPr>
      <w:r>
        <w:t xml:space="preserve"> </w:t>
      </w:r>
    </w:p>
    <w:p w14:paraId="6070CB58">
      <w:pPr>
        <w:bidi w:val="0"/>
      </w:pPr>
      <w:r>
        <w:t>目标函数：min  J = w₁·撞击动能(≈伤亡概率) + w₂·搁浅风险 + w₃·破舱漏油风险</w:t>
      </w:r>
    </w:p>
    <w:p w14:paraId="64487AAC">
      <w:pPr>
        <w:bidi w:val="0"/>
      </w:pPr>
      <w:r>
        <w:t xml:space="preserve"> </w:t>
      </w:r>
    </w:p>
    <w:p w14:paraId="03F72008">
      <w:pPr>
        <w:bidi w:val="0"/>
      </w:pPr>
      <w:r>
        <w:t>约束：</w:t>
      </w:r>
    </w:p>
    <w:p w14:paraId="355644BD">
      <w:pPr>
        <w:bidi w:val="0"/>
      </w:pPr>
      <w:r>
        <w:t xml:space="preserve">  ① 航道边界（ECDIS 浅滩水深边界）——不能为避渔船把自己开上浅滩</w:t>
      </w:r>
    </w:p>
    <w:p w14:paraId="20969924">
      <w:pPr>
        <w:bidi w:val="0"/>
      </w:pPr>
      <w:r>
        <w:t xml:space="preserve">  ② 本船机动能力——转弯率上限、减速上限（大船惯性极大）</w:t>
      </w:r>
    </w:p>
    <w:p w14:paraId="50D779BA">
      <w:pPr>
        <w:bidi w:val="0"/>
      </w:pPr>
      <w:r>
        <w:t xml:space="preserve">  ③ COLREGS 合规</w:t>
      </w:r>
    </w:p>
    <w:p w14:paraId="58100A04">
      <w:pPr>
        <w:bidi w:val="0"/>
      </w:pPr>
      <w:r>
        <w:t>物理依据：</w:t>
      </w:r>
    </w:p>
    <w:p w14:paraId="29ABF2E3">
      <w:pPr>
        <w:pStyle w:val="16"/>
      </w:pPr>
      <w:r>
        <w:rPr>
          <w:rFonts w:ascii="Times New Roman" w:hAnsi="Times New Roman" w:eastAsia="宋体"/>
          <w:b/>
          <w:i w:val="0"/>
          <w:sz w:val="22"/>
        </w:rPr>
        <w:t>减速是第一杠杆</w:t>
      </w:r>
      <w:r>
        <w:rPr>
          <w:rFonts w:ascii="Times New Roman" w:hAnsi="Times New Roman" w:eastAsia="宋体"/>
          <w:b w:val="0"/>
          <w:i w:val="0"/>
          <w:sz w:val="22"/>
        </w:rPr>
        <w:t xml:space="preserve">：碰撞破坏由动能 </w:t>
      </w:r>
      <w:r>
        <w:rPr>
          <w:rFonts w:ascii="Consolas" w:hAnsi="Consolas" w:eastAsia="宋体"/>
          <w:b w:val="0"/>
          <w:i w:val="0"/>
          <w:sz w:val="20"/>
        </w:rPr>
        <w:t>E = ½mv²</w:t>
      </w:r>
      <w:r>
        <w:rPr>
          <w:rFonts w:ascii="Times New Roman" w:hAnsi="Times New Roman" w:eastAsia="宋体"/>
          <w:b w:val="0"/>
          <w:i w:val="0"/>
          <w:sz w:val="22"/>
        </w:rPr>
        <w:t xml:space="preserve"> 决定，速度减半、动能降为 1/4；</w:t>
      </w:r>
    </w:p>
    <w:p w14:paraId="0BD33F71">
      <w:pPr>
        <w:pStyle w:val="16"/>
      </w:pPr>
      <w:r>
        <w:rPr>
          <w:rFonts w:ascii="Times New Roman" w:hAnsi="Times New Roman" w:eastAsia="宋体"/>
          <w:b/>
          <w:i w:val="0"/>
          <w:sz w:val="22"/>
        </w:rPr>
        <w:t>选撞击角</w:t>
      </w:r>
      <w:r>
        <w:rPr>
          <w:rFonts w:ascii="Times New Roman" w:hAnsi="Times New Roman" w:eastAsia="宋体"/>
          <w:b w:val="0"/>
          <w:i w:val="0"/>
          <w:sz w:val="22"/>
        </w:rPr>
        <w:t>：斜向擦碰比正面直撞传递能量小，更易将小船"推开"而非"压碎"；</w:t>
      </w:r>
    </w:p>
    <w:p w14:paraId="534B1A5D">
      <w:pPr>
        <w:pStyle w:val="16"/>
      </w:pPr>
      <w:r>
        <w:rPr>
          <w:rFonts w:ascii="Times New Roman" w:hAnsi="Times New Roman" w:eastAsia="宋体"/>
          <w:b/>
          <w:i w:val="0"/>
          <w:sz w:val="22"/>
        </w:rPr>
        <w:t>用船头受撞</w:t>
      </w:r>
      <w:r>
        <w:rPr>
          <w:rFonts w:ascii="Times New Roman" w:hAnsi="Times New Roman" w:eastAsia="宋体"/>
          <w:b w:val="0"/>
          <w:i w:val="0"/>
          <w:sz w:val="22"/>
        </w:rPr>
        <w:t>：船首（含球鼻艏）是加强结构，船侧最薄，保护本船不破舱漏油；</w:t>
      </w:r>
    </w:p>
    <w:p w14:paraId="5A7FD029">
      <w:pPr>
        <w:pStyle w:val="16"/>
      </w:pPr>
      <w:r>
        <w:rPr>
          <w:rFonts w:ascii="Times New Roman" w:hAnsi="Times New Roman" w:eastAsia="宋体"/>
          <w:b/>
          <w:i w:val="0"/>
          <w:sz w:val="22"/>
        </w:rPr>
        <w:t>核心目标是"保人命 + 防污染"</w:t>
      </w:r>
      <w:r>
        <w:rPr>
          <w:rFonts w:ascii="Times New Roman" w:hAnsi="Times New Roman" w:eastAsia="宋体"/>
          <w:b w:val="0"/>
          <w:i w:val="0"/>
          <w:sz w:val="22"/>
        </w:rPr>
        <w:t>：渔船在万吨商船面前注定牺牲，优化对象是人命与污染，而非渔船船体。</w:t>
      </w:r>
    </w:p>
    <w:p w14:paraId="79E36C98">
      <w:pPr>
        <w:pStyle w:val="5"/>
      </w:pPr>
      <w:r>
        <w:rPr>
          <w:rFonts w:ascii="Times New Roman" w:hAnsi="Times New Roman" w:eastAsia="微软雅黑"/>
          <w:b/>
          <w:i w:val="0"/>
          <w:color w:val="000000"/>
          <w:sz w:val="24"/>
        </w:rPr>
        <w:t>3.7 输出与人机交互</w:t>
      </w:r>
    </w:p>
    <w:p w14:paraId="6FD1C780">
      <w:pPr>
        <w:pStyle w:val="16"/>
      </w:pPr>
      <w:r>
        <w:rPr>
          <w:rFonts w:ascii="Times New Roman" w:hAnsi="Times New Roman" w:eastAsia="宋体"/>
          <w:b w:val="0"/>
          <w:i w:val="0"/>
          <w:sz w:val="22"/>
        </w:rPr>
        <w:t>驾驶台显示器叠加显示：本船船舶领域（绿/黄/红）、周边目标、风险等级、避让建议。</w:t>
      </w:r>
    </w:p>
    <w:p w14:paraId="6D7EB033">
      <w:pPr>
        <w:pStyle w:val="16"/>
      </w:pPr>
      <w:r>
        <w:rPr>
          <w:rFonts w:ascii="Times New Roman" w:hAnsi="Times New Roman" w:eastAsia="宋体"/>
          <w:b w:val="0"/>
          <w:i w:val="0"/>
          <w:sz w:val="22"/>
        </w:rPr>
        <w:t>告警分级：绿区静默、黄区提示、红区最高级别声光告警。</w:t>
      </w:r>
    </w:p>
    <w:p w14:paraId="358F828A">
      <w:pPr>
        <w:pStyle w:val="16"/>
      </w:pPr>
      <w:r>
        <w:rPr>
          <w:rFonts w:ascii="Times New Roman" w:hAnsi="Times New Roman" w:eastAsia="宋体"/>
          <w:b w:val="0"/>
          <w:i w:val="0"/>
          <w:sz w:val="22"/>
        </w:rPr>
        <w:t>系统</w:t>
      </w:r>
      <w:r>
        <w:rPr>
          <w:rFonts w:ascii="Times New Roman" w:hAnsi="Times New Roman" w:eastAsia="宋体"/>
          <w:b/>
          <w:i w:val="0"/>
          <w:sz w:val="22"/>
        </w:rPr>
        <w:t>不接管</w:t>
      </w:r>
      <w:r>
        <w:rPr>
          <w:rFonts w:ascii="Times New Roman" w:hAnsi="Times New Roman" w:eastAsia="宋体"/>
          <w:b w:val="0"/>
          <w:i w:val="0"/>
          <w:sz w:val="22"/>
        </w:rPr>
        <w:t>自动舵与主机，一切动作由驾驶员决策执行。</w:t>
      </w:r>
    </w:p>
    <w:p w14:paraId="39D9B646">
      <w:pPr>
        <w:pStyle w:val="4"/>
      </w:pPr>
      <w:r>
        <w:rPr>
          <w:rFonts w:ascii="Times New Roman" w:hAnsi="Times New Roman" w:eastAsia="微软雅黑"/>
          <w:b/>
          <w:i w:val="0"/>
          <w:color w:val="000000"/>
          <w:sz w:val="28"/>
        </w:rPr>
        <w:t>四、核心创新点</w:t>
      </w:r>
    </w:p>
    <w:p w14:paraId="5B4A30A9">
      <w:pPr>
        <w:numPr>
          <w:ilvl w:val="0"/>
          <w:numId w:val="8"/>
        </w:numPr>
        <w:bidi w:val="0"/>
      </w:pPr>
      <w:r>
        <w:rPr>
          <w:rFonts w:ascii="Times New Roman" w:hAnsi="Times New Roman" w:eastAsia="宋体"/>
          <w:b/>
          <w:i w:val="0"/>
          <w:sz w:val="22"/>
        </w:rPr>
        <w:t>看得见——无 AIS 小目标的融合感知</w:t>
      </w:r>
      <w:r>
        <w:rPr>
          <w:rFonts w:ascii="Times New Roman" w:hAnsi="Times New Roman" w:eastAsia="宋体"/>
          <w:b w:val="0"/>
          <w:i w:val="0"/>
          <w:sz w:val="22"/>
        </w:rPr>
        <w:t>：可见光+红外多传感器融合，结合数据关联，实现对"无 AIS 渔船"这一高危盲区目标的主动发现与识别。</w:t>
      </w:r>
    </w:p>
    <w:p w14:paraId="05E04590">
      <w:pPr>
        <w:pStyle w:val="14"/>
        <w:numPr>
          <w:numId w:val="8"/>
        </w:numPr>
      </w:pPr>
      <w:r>
        <w:rPr>
          <w:rFonts w:ascii="Times New Roman" w:hAnsi="Times New Roman" w:eastAsia="宋体"/>
          <w:b/>
          <w:i w:val="0"/>
          <w:sz w:val="22"/>
        </w:rPr>
        <w:t>猜得准——渔船机动的学习式预测</w:t>
      </w:r>
      <w:r>
        <w:rPr>
          <w:rFonts w:ascii="Times New Roman" w:hAnsi="Times New Roman" w:eastAsia="宋体"/>
          <w:b w:val="0"/>
          <w:i w:val="0"/>
          <w:sz w:val="22"/>
        </w:rPr>
        <w:t>：用序列模型学习渔船机动模式，输出含不确定性的轨迹预测，解决传统直线外推对"会突然转向/停船"目标失效的问题。</w:t>
      </w:r>
    </w:p>
    <w:p w14:paraId="753C921F">
      <w:pPr>
        <w:pStyle w:val="14"/>
        <w:numPr>
          <w:numId w:val="8"/>
        </w:numPr>
      </w:pPr>
      <w:r>
        <w:rPr>
          <w:rFonts w:ascii="Times New Roman" w:hAnsi="Times New Roman" w:eastAsia="宋体"/>
          <w:b/>
          <w:i w:val="0"/>
          <w:sz w:val="22"/>
        </w:rPr>
        <w:t>损失小——碰撞不可避免时的兜底决策</w:t>
      </w:r>
      <w:r>
        <w:rPr>
          <w:rFonts w:ascii="Times New Roman" w:hAnsi="Times New Roman" w:eastAsia="宋体"/>
          <w:b w:val="0"/>
          <w:i w:val="0"/>
          <w:sz w:val="22"/>
        </w:rPr>
        <w:t>：把避碰研究从"一定能避开"延伸到"避不开怎么办"，建立减速+选角+防搁浅的损失最小化优化框架。</w:t>
      </w:r>
    </w:p>
    <w:p w14:paraId="632A69EA">
      <w:pPr>
        <w:pStyle w:val="14"/>
        <w:numPr>
          <w:numId w:val="8"/>
        </w:numPr>
      </w:pPr>
      <w:r>
        <w:rPr>
          <w:rFonts w:ascii="Times New Roman" w:hAnsi="Times New Roman" w:eastAsia="宋体"/>
          <w:b/>
          <w:i w:val="0"/>
          <w:sz w:val="22"/>
        </w:rPr>
        <w:t>统一风险分区框架</w:t>
      </w:r>
      <w:r>
        <w:rPr>
          <w:rFonts w:ascii="Times New Roman" w:hAnsi="Times New Roman" w:eastAsia="宋体"/>
          <w:b w:val="0"/>
          <w:i w:val="0"/>
          <w:sz w:val="22"/>
        </w:rPr>
        <w:t>：分扇区船舶领域 + 碰撞危险度 CRI 的绿/黄/红分区，统一处理 AIS 目标与视觉目标，形成一套可解释、可可视化的风险表达。</w:t>
      </w:r>
    </w:p>
    <w:p w14:paraId="7D5F8D8D">
      <w:pPr>
        <w:pStyle w:val="4"/>
      </w:pPr>
      <w:r>
        <w:rPr>
          <w:rFonts w:ascii="Times New Roman" w:hAnsi="Times New Roman" w:eastAsia="微软雅黑"/>
          <w:b/>
          <w:i w:val="0"/>
          <w:color w:val="000000"/>
          <w:sz w:val="28"/>
        </w:rPr>
        <w:t>五、项目可行性</w:t>
      </w:r>
    </w:p>
    <w:p w14:paraId="3CFA5BA8">
      <w:pPr>
        <w:pStyle w:val="5"/>
      </w:pPr>
      <w:r>
        <w:rPr>
          <w:rFonts w:ascii="Times New Roman" w:hAnsi="Times New Roman" w:eastAsia="微软雅黑"/>
          <w:b/>
          <w:i w:val="0"/>
          <w:color w:val="000000"/>
          <w:sz w:val="24"/>
        </w:rPr>
        <w:t>5.1 技术可行性</w:t>
      </w:r>
    </w:p>
    <w:p w14:paraId="5680099A">
      <w:pPr>
        <w:pStyle w:val="16"/>
      </w:pPr>
      <w:r>
        <w:rPr>
          <w:rFonts w:ascii="Times New Roman" w:hAnsi="Times New Roman" w:eastAsia="宋体"/>
          <w:b/>
          <w:i w:val="0"/>
          <w:sz w:val="22"/>
        </w:rPr>
        <w:t>检测</w:t>
      </w:r>
      <w:r>
        <w:rPr>
          <w:rFonts w:ascii="Times New Roman" w:hAnsi="Times New Roman" w:eastAsia="宋体"/>
          <w:b w:val="0"/>
          <w:i w:val="0"/>
          <w:sz w:val="22"/>
        </w:rPr>
        <w:t>：小目标检测、多目标跟踪均为成熟方向，公开数据集充足（SeaShips、新加坡海事数据集、MODD2 等）。</w:t>
      </w:r>
    </w:p>
    <w:p w14:paraId="21EBC5C3">
      <w:pPr>
        <w:pStyle w:val="16"/>
      </w:pPr>
      <w:r>
        <w:rPr>
          <w:rFonts w:ascii="Times New Roman" w:hAnsi="Times New Roman" w:eastAsia="宋体"/>
          <w:b/>
          <w:i w:val="0"/>
          <w:sz w:val="22"/>
        </w:rPr>
        <w:t>轨迹预测</w:t>
      </w:r>
      <w:r>
        <w:rPr>
          <w:rFonts w:ascii="Times New Roman" w:hAnsi="Times New Roman" w:eastAsia="宋体"/>
          <w:b w:val="0"/>
          <w:i w:val="0"/>
          <w:sz w:val="22"/>
        </w:rPr>
        <w:t>：序列预测（LSTM/Transformer）方法成熟，有专门的海事轨迹预测基准（如 MARIS-Forecast 数据集）。</w:t>
      </w:r>
    </w:p>
    <w:p w14:paraId="20147535">
      <w:pPr>
        <w:pStyle w:val="16"/>
      </w:pPr>
      <w:r>
        <w:rPr>
          <w:rFonts w:ascii="Times New Roman" w:hAnsi="Times New Roman" w:eastAsia="宋体"/>
          <w:b/>
          <w:i w:val="0"/>
          <w:sz w:val="22"/>
        </w:rPr>
        <w:t>风险评估</w:t>
      </w:r>
      <w:r>
        <w:rPr>
          <w:rFonts w:ascii="Times New Roman" w:hAnsi="Times New Roman" w:eastAsia="宋体"/>
          <w:b w:val="0"/>
          <w:i w:val="0"/>
          <w:sz w:val="22"/>
        </w:rPr>
        <w:t>：船舶领域、DCPA/TCPA、碰撞危险度 CRI 均为经典、有文献支撑的方法，本项目在此基础上集成创新。</w:t>
      </w:r>
    </w:p>
    <w:p w14:paraId="0EE47B48">
      <w:pPr>
        <w:pStyle w:val="16"/>
      </w:pPr>
      <w:r>
        <w:rPr>
          <w:rFonts w:ascii="Times New Roman" w:hAnsi="Times New Roman" w:eastAsia="宋体"/>
          <w:b/>
          <w:i w:val="0"/>
          <w:sz w:val="22"/>
        </w:rPr>
        <w:t>决策优化</w:t>
      </w:r>
      <w:r>
        <w:rPr>
          <w:rFonts w:ascii="Times New Roman" w:hAnsi="Times New Roman" w:eastAsia="宋体"/>
          <w:b w:val="0"/>
          <w:i w:val="0"/>
          <w:sz w:val="22"/>
        </w:rPr>
        <w:t>：带约束的优化问题，可用常规数值优化方法求解。</w:t>
      </w:r>
    </w:p>
    <w:p w14:paraId="7DF9532A">
      <w:pPr>
        <w:pStyle w:val="5"/>
      </w:pPr>
      <w:r>
        <w:rPr>
          <w:rFonts w:ascii="Times New Roman" w:hAnsi="Times New Roman" w:eastAsia="微软雅黑"/>
          <w:b/>
          <w:i w:val="0"/>
          <w:color w:val="000000"/>
          <w:sz w:val="24"/>
        </w:rPr>
        <w:t>5.2 数据来源方案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6ED1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9E2F3"/>
          </w:tcPr>
          <w:p w14:paraId="2ED6E90B">
            <w:pPr>
              <w:bidi w:val="0"/>
            </w:pPr>
            <w:r>
              <w:t>用途</w:t>
            </w:r>
          </w:p>
        </w:tc>
        <w:tc>
          <w:tcPr>
            <w:tcW w:w="2880" w:type="dxa"/>
            <w:shd w:val="clear" w:color="auto" w:fill="D9E2F3"/>
          </w:tcPr>
          <w:p w14:paraId="2002B515">
            <w:pPr>
              <w:bidi w:val="0"/>
            </w:pPr>
            <w:r>
              <w:t>数据来源</w:t>
            </w:r>
          </w:p>
        </w:tc>
        <w:tc>
          <w:tcPr>
            <w:tcW w:w="2880" w:type="dxa"/>
            <w:shd w:val="clear" w:color="auto" w:fill="D9E2F3"/>
          </w:tcPr>
          <w:p w14:paraId="431AA126">
            <w:pPr>
              <w:bidi w:val="0"/>
            </w:pPr>
            <w:r>
              <w:t>成本</w:t>
            </w:r>
          </w:p>
        </w:tc>
      </w:tr>
      <w:tr w14:paraId="72287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325CF9">
            <w:pPr>
              <w:bidi w:val="0"/>
            </w:pPr>
            <w:r>
              <w:t>算法开发与验证（检测/预测/风险模型）</w:t>
            </w:r>
          </w:p>
        </w:tc>
        <w:tc>
          <w:tcPr>
            <w:tcW w:w="2880" w:type="dxa"/>
          </w:tcPr>
          <w:p w14:paraId="151E53B7">
            <w:pPr>
              <w:bidi w:val="0"/>
            </w:pPr>
            <w:r>
              <w:t>免费公开数据：NOAA MarineCadastre、丹麦海事局 DMA、MARIS-Forecast、Piraeus 等</w:t>
            </w:r>
          </w:p>
        </w:tc>
        <w:tc>
          <w:tcPr>
            <w:tcW w:w="2880" w:type="dxa"/>
          </w:tcPr>
          <w:p w14:paraId="68C37DBB">
            <w:pPr>
              <w:bidi w:val="0"/>
            </w:pPr>
            <w:r>
              <w:t>免费</w:t>
            </w:r>
          </w:p>
        </w:tc>
      </w:tr>
      <w:tr w14:paraId="345E8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70552F">
            <w:pPr>
              <w:bidi w:val="0"/>
            </w:pPr>
            <w:r>
              <w:t>渔船运动特征校准</w:t>
            </w:r>
          </w:p>
        </w:tc>
        <w:tc>
          <w:tcPr>
            <w:tcW w:w="2880" w:type="dxa"/>
          </w:tcPr>
          <w:p w14:paraId="28D4B964">
            <w:pPr>
              <w:bidi w:val="0"/>
            </w:pPr>
            <w:r>
              <w:t>Global Fishing Watch 渔船 AIS 数据（提取真实航速/转向/停船统计）</w:t>
            </w:r>
          </w:p>
        </w:tc>
        <w:tc>
          <w:tcPr>
            <w:tcW w:w="2880" w:type="dxa"/>
          </w:tcPr>
          <w:p w14:paraId="4DD52D47">
            <w:pPr>
              <w:bidi w:val="0"/>
            </w:pPr>
            <w:r>
              <w:t>免费</w:t>
            </w:r>
          </w:p>
        </w:tc>
      </w:tr>
      <w:tr w14:paraId="66157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E12C62">
            <w:pPr>
              <w:bidi w:val="0"/>
            </w:pPr>
            <w:r>
              <w:t>伶仃航道演示背景</w:t>
            </w:r>
          </w:p>
        </w:tc>
        <w:tc>
          <w:tcPr>
            <w:tcW w:w="2880" w:type="dxa"/>
          </w:tcPr>
          <w:p w14:paraId="4FEFC55B">
            <w:pPr>
              <w:bidi w:val="0"/>
            </w:pPr>
            <w:r>
              <w:t>海事大学实验室数据 / 免费回放手动记录 / HiFleet 最小量购买</w:t>
            </w:r>
          </w:p>
        </w:tc>
        <w:tc>
          <w:tcPr>
            <w:tcW w:w="2880" w:type="dxa"/>
          </w:tcPr>
          <w:p w14:paraId="46B9D139">
            <w:pPr>
              <w:bidi w:val="0"/>
            </w:pPr>
            <w:r>
              <w:t>低成本</w:t>
            </w:r>
          </w:p>
        </w:tc>
      </w:tr>
    </w:tbl>
    <w:p w14:paraId="76BC5E51">
      <w:pPr>
        <w:bidi w:val="0"/>
      </w:pPr>
    </w:p>
    <w:p w14:paraId="5F00D418">
      <w:pPr>
        <w:bidi w:val="0"/>
      </w:pPr>
      <w:r>
        <w:t>策略：**算法开发用免费外国数据（碰撞风险物理规律区域无关），演示用伶仃真实数据**，兼顾成本与真实性。</w:t>
      </w:r>
    </w:p>
    <w:p w14:paraId="6636BAAE">
      <w:pPr>
        <w:pStyle w:val="5"/>
      </w:pPr>
      <w:r>
        <w:rPr>
          <w:rFonts w:ascii="Times New Roman" w:hAnsi="Times New Roman" w:eastAsia="微软雅黑"/>
          <w:b/>
          <w:i w:val="0"/>
          <w:color w:val="000000"/>
          <w:sz w:val="24"/>
        </w:rPr>
        <w:t>5.3 实施计划（初步）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2B03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3FAD5B88">
            <w:pPr>
              <w:bidi w:val="0"/>
            </w:pPr>
            <w:r>
              <w:t>阶段</w:t>
            </w:r>
          </w:p>
        </w:tc>
        <w:tc>
          <w:tcPr>
            <w:tcW w:w="4320" w:type="dxa"/>
            <w:shd w:val="clear" w:color="auto" w:fill="D9E2F3"/>
          </w:tcPr>
          <w:p w14:paraId="6B8AD9CE">
            <w:pPr>
              <w:bidi w:val="0"/>
            </w:pPr>
            <w:r>
              <w:t>内容</w:t>
            </w:r>
          </w:p>
        </w:tc>
      </w:tr>
      <w:tr w14:paraId="31536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4937AD">
            <w:pPr>
              <w:bidi w:val="0"/>
            </w:pPr>
            <w:r>
              <w:t>阶段一</w:t>
            </w:r>
          </w:p>
        </w:tc>
        <w:tc>
          <w:tcPr>
            <w:tcW w:w="4320" w:type="dxa"/>
          </w:tcPr>
          <w:p w14:paraId="0C4BA73F">
            <w:pPr>
              <w:bidi w:val="0"/>
            </w:pPr>
            <w:r>
              <w:t>搭建仿真骨架：真实轨迹回放 + 渔船状态机注入 + DCPA/TCPA 风险计算</w:t>
            </w:r>
          </w:p>
        </w:tc>
      </w:tr>
      <w:tr w14:paraId="69465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4AE28BDE">
            <w:pPr>
              <w:bidi w:val="0"/>
            </w:pPr>
            <w:r>
              <w:t>阶段二</w:t>
            </w:r>
          </w:p>
        </w:tc>
        <w:tc>
          <w:tcPr>
            <w:tcW w:w="4320" w:type="dxa"/>
          </w:tcPr>
          <w:p w14:paraId="05E9D3F3">
            <w:pPr>
              <w:bidi w:val="0"/>
            </w:pPr>
            <w:r>
              <w:t>训练小目标检测模型，实现多目标跟踪与数据关联</w:t>
            </w:r>
          </w:p>
        </w:tc>
      </w:tr>
      <w:tr w14:paraId="7C1E4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CD7896">
            <w:pPr>
              <w:bidi w:val="0"/>
            </w:pPr>
            <w:r>
              <w:t>阶段三</w:t>
            </w:r>
          </w:p>
        </w:tc>
        <w:tc>
          <w:tcPr>
            <w:tcW w:w="4320" w:type="dxa"/>
          </w:tcPr>
          <w:p w14:paraId="288F75CB">
            <w:pPr>
              <w:bidi w:val="0"/>
            </w:pPr>
            <w:r>
              <w:t>实现渔船轨迹预测（含不确定性）</w:t>
            </w:r>
          </w:p>
        </w:tc>
      </w:tr>
      <w:tr w14:paraId="347F1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73589F">
            <w:pPr>
              <w:bidi w:val="0"/>
            </w:pPr>
            <w:r>
              <w:t>阶段四</w:t>
            </w:r>
          </w:p>
        </w:tc>
        <w:tc>
          <w:tcPr>
            <w:tcW w:w="4320" w:type="dxa"/>
          </w:tcPr>
          <w:p w14:paraId="7ACCD8B2">
            <w:pPr>
              <w:bidi w:val="0"/>
            </w:pPr>
            <w:r>
              <w:t>构建分扇区船舶领域 + CRI 风险分区模型</w:t>
            </w:r>
          </w:p>
        </w:tc>
      </w:tr>
      <w:tr w14:paraId="48E05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791D17">
            <w:pPr>
              <w:bidi w:val="0"/>
            </w:pPr>
            <w:r>
              <w:t>阶段五</w:t>
            </w:r>
          </w:p>
        </w:tc>
        <w:tc>
          <w:tcPr>
            <w:tcW w:w="4320" w:type="dxa"/>
          </w:tcPr>
          <w:p w14:paraId="402325F2">
            <w:pPr>
              <w:bidi w:val="0"/>
            </w:pPr>
            <w:r>
              <w:t>实现损失最小化决策优化</w:t>
            </w:r>
          </w:p>
        </w:tc>
      </w:tr>
      <w:tr w14:paraId="61F67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8E2909">
            <w:pPr>
              <w:bidi w:val="0"/>
            </w:pPr>
            <w:r>
              <w:t>阶段六</w:t>
            </w:r>
          </w:p>
        </w:tc>
        <w:tc>
          <w:tcPr>
            <w:tcW w:w="4320" w:type="dxa"/>
          </w:tcPr>
          <w:p w14:paraId="6C2DC7D7">
            <w:pPr>
              <w:bidi w:val="0"/>
            </w:pPr>
            <w:r>
              <w:t>集成演示，替换为伶仃航道场景，优化可视化</w:t>
            </w:r>
          </w:p>
        </w:tc>
      </w:tr>
    </w:tbl>
    <w:p w14:paraId="65D031A1">
      <w:pPr>
        <w:bidi w:val="0"/>
      </w:pPr>
    </w:p>
    <w:p w14:paraId="0D86BFDC">
      <w:pPr>
        <w:pStyle w:val="4"/>
      </w:pPr>
      <w:r>
        <w:rPr>
          <w:rFonts w:ascii="Times New Roman" w:hAnsi="Times New Roman" w:eastAsia="微软雅黑"/>
          <w:b/>
          <w:i w:val="0"/>
          <w:color w:val="000000"/>
          <w:sz w:val="28"/>
        </w:rPr>
        <w:t>六、预期成果与应用前景</w:t>
      </w:r>
    </w:p>
    <w:p w14:paraId="2AB58EEA">
      <w:pPr>
        <w:pStyle w:val="5"/>
      </w:pPr>
      <w:r>
        <w:rPr>
          <w:rFonts w:ascii="Times New Roman" w:hAnsi="Times New Roman" w:eastAsia="微软雅黑"/>
          <w:b/>
          <w:i w:val="0"/>
          <w:color w:val="000000"/>
          <w:sz w:val="24"/>
        </w:rPr>
        <w:t>6.1 预期成果</w:t>
      </w:r>
    </w:p>
    <w:p w14:paraId="0A21748F">
      <w:pPr>
        <w:pStyle w:val="16"/>
      </w:pPr>
      <w:r>
        <w:rPr>
          <w:rFonts w:ascii="Times New Roman" w:hAnsi="Times New Roman" w:eastAsia="宋体"/>
          <w:b w:val="0"/>
          <w:i w:val="0"/>
          <w:sz w:val="22"/>
        </w:rPr>
        <w:t>一套可运行的碰撞风险预警原型系统（仿真演示 + 可视化）；</w:t>
      </w:r>
    </w:p>
    <w:p w14:paraId="4F8136C9">
      <w:pPr>
        <w:pStyle w:val="16"/>
      </w:pPr>
      <w:r>
        <w:rPr>
          <w:rFonts w:ascii="Times New Roman" w:hAnsi="Times New Roman" w:eastAsia="宋体"/>
          <w:b w:val="0"/>
          <w:i w:val="0"/>
          <w:sz w:val="22"/>
        </w:rPr>
        <w:t>检测、跟踪、预测、风险评估、决策各模块的技术报告与验证结果；</w:t>
      </w:r>
    </w:p>
    <w:p w14:paraId="2D687B58">
      <w:pPr>
        <w:pStyle w:val="16"/>
      </w:pPr>
      <w:r>
        <w:rPr>
          <w:rFonts w:ascii="Times New Roman" w:hAnsi="Times New Roman" w:eastAsia="宋体"/>
          <w:b w:val="0"/>
          <w:i w:val="0"/>
          <w:sz w:val="22"/>
        </w:rPr>
        <w:t>面向伶仃航道的演示案例（真实大船态势 + 注入无 AIS 渔船威胁）。</w:t>
      </w:r>
    </w:p>
    <w:p w14:paraId="03B6F125">
      <w:pPr>
        <w:pStyle w:val="5"/>
      </w:pPr>
      <w:r>
        <w:rPr>
          <w:rFonts w:ascii="Times New Roman" w:hAnsi="Times New Roman" w:eastAsia="微软雅黑"/>
          <w:b/>
          <w:i w:val="0"/>
          <w:color w:val="000000"/>
          <w:sz w:val="24"/>
        </w:rPr>
        <w:t>6.2 应用前景</w:t>
      </w:r>
    </w:p>
    <w:p w14:paraId="28E82AB2">
      <w:pPr>
        <w:pStyle w:val="16"/>
      </w:pPr>
      <w:r>
        <w:rPr>
          <w:rFonts w:ascii="Times New Roman" w:hAnsi="Times New Roman" w:eastAsia="宋体"/>
          <w:b/>
          <w:i w:val="0"/>
          <w:sz w:val="22"/>
        </w:rPr>
        <w:t>直接应用</w:t>
      </w:r>
      <w:r>
        <w:rPr>
          <w:rFonts w:ascii="Times New Roman" w:hAnsi="Times New Roman" w:eastAsia="宋体"/>
          <w:b w:val="0"/>
          <w:i w:val="0"/>
          <w:sz w:val="22"/>
        </w:rPr>
        <w:t>：商船驾驶辅助终端，补全 AIS 盲区，降低受限水域碰撞事故；</w:t>
      </w:r>
    </w:p>
    <w:p w14:paraId="2C5505A8">
      <w:pPr>
        <w:pStyle w:val="16"/>
      </w:pPr>
      <w:r>
        <w:rPr>
          <w:rFonts w:ascii="Times New Roman" w:hAnsi="Times New Roman" w:eastAsia="宋体"/>
          <w:b/>
          <w:i w:val="0"/>
          <w:sz w:val="22"/>
        </w:rPr>
        <w:t>延伸应用</w:t>
      </w:r>
      <w:r>
        <w:rPr>
          <w:rFonts w:ascii="Times New Roman" w:hAnsi="Times New Roman" w:eastAsia="宋体"/>
          <w:b w:val="0"/>
          <w:i w:val="0"/>
          <w:sz w:val="22"/>
        </w:rPr>
        <w:t>：内河航道、沿海 VTS（船舶交通服务）的辅助监测模块；</w:t>
      </w:r>
    </w:p>
    <w:p w14:paraId="4BB66CED">
      <w:pPr>
        <w:pStyle w:val="16"/>
      </w:pPr>
      <w:r>
        <w:rPr>
          <w:rFonts w:ascii="Times New Roman" w:hAnsi="Times New Roman" w:eastAsia="宋体"/>
          <w:b/>
          <w:i w:val="0"/>
          <w:sz w:val="22"/>
        </w:rPr>
        <w:t>产业化路径</w:t>
      </w:r>
      <w:r>
        <w:rPr>
          <w:rFonts w:ascii="Times New Roman" w:hAnsi="Times New Roman" w:eastAsia="宋体"/>
          <w:b w:val="0"/>
          <w:i w:val="0"/>
          <w:sz w:val="22"/>
        </w:rPr>
        <w:t>：软硬件一体边缘计算盒子，适配现有驾驶台设备。</w:t>
      </w:r>
    </w:p>
    <w:p w14:paraId="5EB381FD">
      <w:pPr>
        <w:pStyle w:val="4"/>
      </w:pPr>
      <w:r>
        <w:rPr>
          <w:rFonts w:ascii="Times New Roman" w:hAnsi="Times New Roman" w:eastAsia="微软雅黑"/>
          <w:b/>
          <w:i w:val="0"/>
          <w:color w:val="000000"/>
          <w:sz w:val="28"/>
        </w:rPr>
        <w:t>七、团队与分工</w:t>
      </w:r>
    </w:p>
    <w:p w14:paraId="613B41B8">
      <w:pPr>
        <w:bidi w:val="0"/>
      </w:pPr>
      <w:r>
        <w:t>【待补充：团队成员姓名、专业、分工、指导教师等】</w:t>
      </w:r>
    </w:p>
    <w:p w14:paraId="4235C405">
      <w:pPr>
        <w:pStyle w:val="4"/>
      </w:pPr>
      <w:r>
        <w:rPr>
          <w:rFonts w:ascii="Times New Roman" w:hAnsi="Times New Roman" w:eastAsia="微软雅黑"/>
          <w:b/>
          <w:i w:val="0"/>
          <w:color w:val="000000"/>
          <w:sz w:val="28"/>
        </w:rPr>
        <w:t>附录一：术语表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620D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2F3"/>
          </w:tcPr>
          <w:p w14:paraId="5F4D5681">
            <w:pPr>
              <w:bidi w:val="0"/>
            </w:pPr>
            <w:r>
              <w:t>术语</w:t>
            </w:r>
          </w:p>
        </w:tc>
        <w:tc>
          <w:tcPr>
            <w:tcW w:w="4320" w:type="dxa"/>
            <w:shd w:val="clear" w:color="auto" w:fill="D9E2F3"/>
          </w:tcPr>
          <w:p w14:paraId="39700B5F">
            <w:pPr>
              <w:bidi w:val="0"/>
            </w:pPr>
            <w:r>
              <w:t>含义</w:t>
            </w:r>
          </w:p>
        </w:tc>
      </w:tr>
      <w:tr w14:paraId="40D12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18188F">
            <w:pPr>
              <w:bidi w:val="0"/>
            </w:pPr>
            <w:r>
              <w:t>AIS</w:t>
            </w:r>
          </w:p>
        </w:tc>
        <w:tc>
          <w:tcPr>
            <w:tcW w:w="4320" w:type="dxa"/>
          </w:tcPr>
          <w:p w14:paraId="39734102">
            <w:pPr>
              <w:bidi w:val="0"/>
            </w:pPr>
            <w:r>
              <w:t>自动识别系统，船舶广播位置/航向/航速等</w:t>
            </w:r>
          </w:p>
        </w:tc>
      </w:tr>
      <w:tr w14:paraId="04A73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80D676">
            <w:pPr>
              <w:bidi w:val="0"/>
            </w:pPr>
            <w:r>
              <w:t>CPA / DCPA</w:t>
            </w:r>
          </w:p>
        </w:tc>
        <w:tc>
          <w:tcPr>
            <w:tcW w:w="4320" w:type="dxa"/>
          </w:tcPr>
          <w:p w14:paraId="25CF6522">
            <w:pPr>
              <w:bidi w:val="0"/>
            </w:pPr>
            <w:r>
              <w:t>最近会遇点 / 最近会遇距离（最近时两船距离）</w:t>
            </w:r>
          </w:p>
        </w:tc>
      </w:tr>
      <w:tr w14:paraId="73A0E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ED2C46">
            <w:pPr>
              <w:bidi w:val="0"/>
            </w:pPr>
            <w:r>
              <w:t>TCPA</w:t>
            </w:r>
          </w:p>
        </w:tc>
        <w:tc>
          <w:tcPr>
            <w:tcW w:w="4320" w:type="dxa"/>
          </w:tcPr>
          <w:p w14:paraId="4B7CD83C">
            <w:pPr>
              <w:bidi w:val="0"/>
            </w:pPr>
            <w:r>
              <w:t>到最近会遇点的时间</w:t>
            </w:r>
          </w:p>
        </w:tc>
      </w:tr>
      <w:tr w14:paraId="53DA4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817921">
            <w:pPr>
              <w:bidi w:val="0"/>
            </w:pPr>
            <w:r>
              <w:t>CRI</w:t>
            </w:r>
          </w:p>
        </w:tc>
        <w:tc>
          <w:tcPr>
            <w:tcW w:w="4320" w:type="dxa"/>
          </w:tcPr>
          <w:p w14:paraId="1073F860">
            <w:pPr>
              <w:bidi w:val="0"/>
            </w:pPr>
            <w:r>
              <w:t>碰撞危险度（0~1 标量）</w:t>
            </w:r>
          </w:p>
        </w:tc>
      </w:tr>
      <w:tr w14:paraId="2A032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49014B">
            <w:pPr>
              <w:bidi w:val="0"/>
            </w:pPr>
            <w:r>
              <w:t>船舶领域</w:t>
            </w:r>
          </w:p>
        </w:tc>
        <w:tc>
          <w:tcPr>
            <w:tcW w:w="4320" w:type="dxa"/>
          </w:tcPr>
          <w:p w14:paraId="68F95950">
            <w:pPr>
              <w:bidi w:val="0"/>
            </w:pPr>
            <w:r>
              <w:t>本船周围应保持清空的安全区域</w:t>
            </w:r>
          </w:p>
        </w:tc>
      </w:tr>
      <w:tr w14:paraId="22E27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6A2D89">
            <w:pPr>
              <w:bidi w:val="0"/>
            </w:pPr>
            <w:r>
              <w:t>相对方位</w:t>
            </w:r>
          </w:p>
        </w:tc>
        <w:tc>
          <w:tcPr>
            <w:tcW w:w="4320" w:type="dxa"/>
          </w:tcPr>
          <w:p w14:paraId="68FD4264">
            <w:pPr>
              <w:bidi w:val="0"/>
            </w:pPr>
            <w:r>
              <w:t>目标相对本船的舷角</w:t>
            </w:r>
          </w:p>
        </w:tc>
      </w:tr>
      <w:tr w14:paraId="5AEAE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D1DA3F">
            <w:pPr>
              <w:bidi w:val="0"/>
            </w:pPr>
            <w:r>
              <w:t>ECDIS</w:t>
            </w:r>
          </w:p>
        </w:tc>
        <w:tc>
          <w:tcPr>
            <w:tcW w:w="4320" w:type="dxa"/>
          </w:tcPr>
          <w:p w14:paraId="2ECA0552">
            <w:pPr>
              <w:bidi w:val="0"/>
            </w:pPr>
            <w:r>
              <w:t>电子海图显示与信息系统</w:t>
            </w:r>
          </w:p>
        </w:tc>
      </w:tr>
      <w:tr w14:paraId="0207C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36F5D9">
            <w:pPr>
              <w:bidi w:val="0"/>
            </w:pPr>
            <w:r>
              <w:t>VTS</w:t>
            </w:r>
          </w:p>
        </w:tc>
        <w:tc>
          <w:tcPr>
            <w:tcW w:w="4320" w:type="dxa"/>
          </w:tcPr>
          <w:p w14:paraId="1801DAC7">
            <w:pPr>
              <w:bidi w:val="0"/>
            </w:pPr>
            <w:r>
              <w:t>船舶交通服务系统</w:t>
            </w:r>
          </w:p>
        </w:tc>
      </w:tr>
      <w:tr w14:paraId="588C0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15B827">
            <w:pPr>
              <w:bidi w:val="0"/>
            </w:pPr>
            <w:r>
              <w:t>MOT</w:t>
            </w:r>
          </w:p>
        </w:tc>
        <w:tc>
          <w:tcPr>
            <w:tcW w:w="4320" w:type="dxa"/>
          </w:tcPr>
          <w:p w14:paraId="6BB892FE">
            <w:pPr>
              <w:bidi w:val="0"/>
            </w:pPr>
            <w:r>
              <w:t>多目标跟踪</w:t>
            </w:r>
          </w:p>
        </w:tc>
      </w:tr>
    </w:tbl>
    <w:p w14:paraId="593CB59C">
      <w:pPr>
        <w:bidi w:val="0"/>
      </w:pPr>
    </w:p>
    <w:p w14:paraId="6A44CDDE">
      <w:pPr>
        <w:pStyle w:val="4"/>
      </w:pPr>
      <w:r>
        <w:rPr>
          <w:rFonts w:ascii="Times New Roman" w:hAnsi="Times New Roman" w:eastAsia="微软雅黑"/>
          <w:b/>
          <w:i w:val="0"/>
          <w:color w:val="000000"/>
          <w:sz w:val="28"/>
        </w:rPr>
        <w:t>附录二：参考文献</w:t>
      </w:r>
    </w:p>
    <w:p w14:paraId="662BB6DD">
      <w:pPr>
        <w:bidi w:val="0"/>
      </w:pPr>
      <w:r>
        <w:t>[1] Fujii Y, Tanaka K. Traffic Capacity[J]. The Journal of Navigation, 1971, 24(4): 543-552.</w:t>
      </w:r>
    </w:p>
    <w:p w14:paraId="29B4B4D3">
      <w:pPr>
        <w:bidi w:val="0"/>
      </w:pPr>
      <w:r>
        <w:t>[2] Goodwin E M. A Statistical Study of Ship Domains[J]. The Journal of Navigation, 1975, 28(3): 328-344.</w:t>
      </w:r>
    </w:p>
    <w:p w14:paraId="474DED89">
      <w:pPr>
        <w:bidi w:val="0"/>
      </w:pPr>
      <w:r>
        <w:t>[3] Wang N. An Intelligent Spatial Collision Risk Based on the Quaternion Ship Domain[J]. The Journal of Navigation, 2010, 63(4): 733-749.</w:t>
      </w:r>
    </w:p>
    <w:p w14:paraId="7ACD95E0">
      <w:pPr>
        <w:bidi w:val="0"/>
      </w:pPr>
      <w:r>
        <w:t>[4] 一种检测船舶碰撞危险度的方法: 中国, CN104050329A[P]. 2014.（DCPA/TCPA 隶属函数与模糊综合评判）</w:t>
      </w:r>
    </w:p>
    <w:p w14:paraId="750EAD18">
      <w:pPr>
        <w:bidi w:val="0"/>
      </w:pPr>
      <w:r>
        <w:t>[5] 航行过程中船舶碰撞危险预警研究[J]. 船舶物资与市场, 2022(05).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88F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4705</Words>
  <Characters>5885</Characters>
  <Lines>0</Lines>
  <Paragraphs>0</Paragraphs>
  <TotalTime>3</TotalTime>
  <ScaleCrop>false</ScaleCrop>
  <LinksUpToDate>false</LinksUpToDate>
  <CharactersWithSpaces>6751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没有名字</cp:lastModifiedBy>
  <dcterms:modified xsi:type="dcterms:W3CDTF">2026-09-01T12:20:23Z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eyJoZGlkIjoiYjkyZmNhZmMwYTRkMzdjNDc0ZDBiODA4ZTNmNjg2YzYiLCJ1c2VySWQiOiI5NDYxOTIxNjgifQ==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C9F0BB70CEA74BFFAF2A2145955FE87D_12</vt:lpwstr>
  </property>
</Properties>
</file>