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93dbf8aadf67322d1a81d99a8f2987af620a5e"/>
    <w:p>
      <w:pPr>
        <w:pStyle w:val="Heading1"/>
      </w:pPr>
      <w:r>
        <w:rPr>
          <w:rFonts w:ascii="Arial" w:hAnsi="Arial"/>
        </w:rPr>
        <w:t xml:space="preserve">Analyse Boumparis et al. (2026) — Adhärenz und Studienabbruch in digitalen Lebensstilprogrammen für Jugendliche</w:t>
      </w:r>
    </w:p>
    <w:p>
      <w:pPr>
        <w:pStyle w:val="FirstParagraph"/>
      </w:pPr>
      <w:r>
        <w:rPr>
          <w:rFonts w:ascii="Arial" w:hAnsi="Arial"/>
        </w:rPr>
        <w:t xml:space="preserve">Befund vom 02.10.2026 · Task „Boumparis“ (Plan Nachtrag 02.10., Prompt</w:t>
      </w:r>
      <w:r>
        <w:rPr>
          <w:rFonts w:ascii="Arial" w:hAnsi="Arial"/>
        </w:rPr>
        <w:t xml:space="preserve"> </w:t>
      </w:r>
      <w:r>
        <w:rPr>
          <w:rStyle w:val="VerbatimChar"/>
          <w:rFonts w:ascii="Arial" w:hAnsi="Arial"/>
          <w:sz w:val="16"/>
        </w:rPr>
        <w:t xml:space="preserve">04_Uebergaben\Prompt_Boumparis_Einarbeitung_2026-10-02.md</w:t>
      </w:r>
      <w:r>
        <w:rPr>
          <w:rFonts w:ascii="Arial" w:hAnsi="Arial"/>
        </w:rPr>
        <w:t xml:space="preserve">) · Arbeitsdokument, kein Manuskripttext</w:t>
      </w:r>
    </w:p>
    <w:p>
      <w:pPr>
        <w:pStyle w:val="BodyText"/>
      </w:pPr>
      <w:r>
        <w:rPr>
          <w:bCs/>
          <w:rFonts w:ascii="Arial" w:hAnsi="Arial"/>
          <w:b/>
        </w:rPr>
        <w:t xml:space="preserve">Auftrag</w:t>
      </w:r>
      <w:r>
        <w:rPr>
          <w:rFonts w:ascii="Arial" w:hAnsi="Arial"/>
        </w:rPr>
        <w:t xml:space="preserve"> </w:t>
      </w:r>
      <w:r>
        <w:rPr>
          <w:rFonts w:ascii="Arial" w:hAnsi="Arial"/>
        </w:rPr>
        <w:t xml:space="preserve">(Verfasser, 02.10., 15:28 Sitzungsuhr): Die Studie wird analysiert, ihre Erkenntnisse werden systematisch in den Text und die Argumentationskette eingearbeitet. Zuerst dient sie dem offenen Vergleichssatz der Umsetzung in 6.1 (Modul A2-M des Textvorschlags 6.1, Klick K2), danach den Tasks 12b und 13a und der Schlussfassung der Einleitung. Dieser Befund ist § 3.1 des Prompts. Der Einarbeitungsplan mit den Satzvarianten steht in</w:t>
      </w:r>
      <w:r>
        <w:rPr>
          <w:rFonts w:ascii="Arial" w:hAnsi="Arial"/>
        </w:rPr>
        <w:t xml:space="preserve"> </w:t>
      </w:r>
      <w:r>
        <w:rPr>
          <w:rStyle w:val="VerbatimChar"/>
          <w:rFonts w:ascii="Arial" w:hAnsi="Arial"/>
          <w:sz w:val="16"/>
        </w:rPr>
        <w:t xml:space="preserve">04_Uebergaben\Textvorschlag_6.1_Nachtrag_K2_2026-10-02.md</w:t>
      </w:r>
      <w:r>
        <w:rPr>
          <w:rFonts w:ascii="Arial" w:hAnsi="Arial"/>
        </w:rPr>
        <w:t xml:space="preserve">.</w:t>
      </w:r>
    </w:p>
    <w:p>
      <w:pPr>
        <w:pStyle w:val="BodyText"/>
      </w:pPr>
      <w:r>
        <w:rPr>
          <w:bCs/>
          <w:rFonts w:ascii="Arial" w:hAnsi="Arial"/>
          <w:b/>
        </w:rPr>
        <w:t xml:space="preserve">Ablage:</w:t>
      </w:r>
      <w:r>
        <w:rPr>
          <w:rFonts w:ascii="Arial" w:hAnsi="Arial"/>
        </w:rPr>
        <w:t xml:space="preserve"> </w:t>
      </w:r>
      <w:r>
        <w:rPr>
          <w:rStyle w:val="VerbatimChar"/>
          <w:rFonts w:ascii="Arial" w:hAnsi="Arial"/>
          <w:sz w:val="16"/>
        </w:rPr>
        <w:t xml:space="preserve">Claude\02_Befunde\Analyse_Boumparis_2026_2026-10-02</w:t>
      </w:r>
      <w:r>
        <w:rPr>
          <w:rFonts w:ascii="Arial" w:hAnsi="Arial"/>
        </w:rPr>
        <w:t xml:space="preserve"> </w:t>
      </w:r>
      <w:r>
        <w:rPr>
          <w:rFonts w:ascii="Arial" w:hAnsi="Arial"/>
        </w:rPr>
        <w:t xml:space="preserve">(.md, .docx und .pdf im Hausstil), Projektkopie</w:t>
      </w:r>
      <w:r>
        <w:rPr>
          <w:rFonts w:ascii="Arial" w:hAnsi="Arial"/>
        </w:rPr>
        <w:t xml:space="preserve"> </w:t>
      </w:r>
      <w:r>
        <w:rPr>
          <w:rStyle w:val="VerbatimChar"/>
          <w:rFonts w:ascii="Arial" w:hAnsi="Arial"/>
          <w:sz w:val="16"/>
        </w:rPr>
        <w:t xml:space="preserve">claude/Analyse_Boumparis_2026_2026-10-02.md</w:t>
      </w:r>
      <w:r>
        <w:rPr>
          <w:rFonts w:ascii="Arial" w:hAnsi="Arial"/>
        </w:rPr>
        <w:t xml:space="preserve">. T1 und T4 per</w:t>
      </w:r>
      <w:r>
        <w:rPr>
          <w:rFonts w:ascii="Arial" w:hAnsi="Arial"/>
        </w:rPr>
        <w:t xml:space="preserve"> </w:t>
      </w:r>
      <w:r>
        <w:rPr>
          <w:rStyle w:val="VerbatimChar"/>
          <w:rFonts w:ascii="Arial" w:hAnsi="Arial"/>
          <w:sz w:val="16"/>
        </w:rPr>
        <w:t xml:space="preserve">03_Skripte\T1_T4_Nachtrag_Boumparis_2026-10-02.py</w:t>
      </w:r>
      <w:r>
        <w:rPr>
          <w:rFonts w:ascii="Arial" w:hAnsi="Arial"/>
        </w:rPr>
        <w:t xml:space="preserve"> </w:t>
      </w:r>
      <w:r>
        <w:rPr>
          <w:rFonts w:ascii="Arial" w:hAnsi="Arial"/>
        </w:rPr>
        <w:t xml:space="preserve">(Protokoll</w:t>
      </w:r>
      <w:r>
        <w:rPr>
          <w:rFonts w:ascii="Arial" w:hAnsi="Arial"/>
        </w:rPr>
        <w:t xml:space="preserve"> </w:t>
      </w:r>
      <w:r>
        <w:rPr>
          <w:rStyle w:val="VerbatimChar"/>
          <w:rFonts w:ascii="Arial" w:hAnsi="Arial"/>
          <w:sz w:val="16"/>
        </w:rPr>
        <w:t xml:space="preserve">.txt</w:t>
      </w:r>
      <w:r>
        <w:rPr>
          <w:rFonts w:ascii="Arial" w:hAnsi="Arial"/>
        </w:rPr>
        <w:t xml:space="preserve"> </w:t>
      </w:r>
      <w:r>
        <w:rPr>
          <w:rFonts w:ascii="Arial" w:hAnsi="Arial"/>
        </w:rPr>
        <w:t xml:space="preserve">daneben).</w:t>
      </w:r>
    </w:p>
    <w:p>
      <w:pPr>
        <w:pStyle w:val="BodyText"/>
      </w:pPr>
      <w:r>
        <w:rPr>
          <w:bCs/>
          <w:rFonts w:ascii="Arial" w:hAnsi="Arial"/>
          <w:b/>
        </w:rPr>
        <w:t xml:space="preserve">Quelle:</w:t>
      </w:r>
      <w:r>
        <w:rPr>
          <w:rFonts w:ascii="Arial" w:hAnsi="Arial"/>
        </w:rPr>
        <w:t xml:space="preserve"> </w:t>
      </w:r>
      <w:r>
        <w:rPr>
          <w:rFonts w:ascii="Arial" w:hAnsi="Arial"/>
        </w:rPr>
        <w:t xml:space="preserve">Boumparis, N., Studhalter, O., de Riedmatten, P., Yücel, I. D., Koutra, K., Champion, K., Molina-Barceló, A., de Pablo-Pardo, T., Kondylakis, H., Schaub, M. P., Triantafyllidis, A., &amp; Haug, S. (2026). Factors influencing adherence to digital lifestyle interventions for adolescents: Systematic review and meta-analysis of attrition.</w:t>
      </w:r>
      <w:r>
        <w:rPr>
          <w:rFonts w:ascii="Arial" w:hAnsi="Arial"/>
        </w:rPr>
        <w:t xml:space="preserve"> </w:t>
      </w:r>
      <w:r>
        <w:rPr>
          <w:iCs/>
          <w:rFonts w:ascii="Arial" w:hAnsi="Arial"/>
          <w:i/>
        </w:rPr>
        <w:t xml:space="preserve">Interactive Journal of Medical Research, 15</w:t>
      </w:r>
      <w:r>
        <w:rPr>
          <w:rFonts w:ascii="Arial" w:hAnsi="Arial"/>
        </w:rPr>
        <w:t xml:space="preserve">, e84822. https://doi.org/10.2196/84822 — Version of Record vom 30.09.2026, PMID 42814774, PMC13626193.</w:t>
      </w:r>
    </w:p>
    <w:p>
      <w:pPr>
        <w:pStyle w:val="BodyText"/>
      </w:pPr>
      <w:r>
        <w:rPr>
          <w:bCs/>
          <w:rFonts w:ascii="Arial" w:hAnsi="Arial"/>
          <w:b/>
        </w:rPr>
        <w:t xml:space="preserve">Lesart:</w:t>
      </w:r>
      <w:r>
        <w:rPr>
          <w:rFonts w:ascii="Arial" w:hAnsi="Arial"/>
        </w:rPr>
        <w:t xml:space="preserve"> </w:t>
      </w:r>
      <w:r>
        <w:rPr>
          <w:rFonts w:ascii="Arial" w:hAnsi="Arial"/>
        </w:rPr>
        <w:t xml:space="preserve">Gelesen wurde der Volltext der Version of Record aus PMC, abgerufen über PubMed am 02.10.2026 (Klick „PMC-Volltext nutzen“ am Haltepunkt 1), dazu die Zusammenfassung aus PubMed. Abbildungen und Multimedia Appendix 1 (Suchstrings, Tab. S1 bis S18, SWiM-Tabelle) waren nicht zugänglich (Europe PMC durch die Netzregel gesperrt, PMC-Seite mit Bot-Prüfung, die nicht umgangen wird). Fundstellen stehen deshalb nach Abschnitt und Absatz (APA 7), gezählt am PMC-Text ohne Abbildungslegenden. Im abgerufenen Text fehlen die Ziffern der Belegnummern. Die Zahl der Belege je Faktor ist an den Trennzeichen gezählt („[,]“ = zwei, „[-]“ = Bereich mit mindestens zwei), an der PDF zu prüfen.</w:t>
      </w:r>
      <w:r>
        <w:rPr>
          <w:rFonts w:ascii="Arial" w:hAnsi="Arial"/>
        </w:rPr>
        <w:t xml:space="preserve"> </w:t>
      </w:r>
      <w:r>
        <w:rPr>
          <w:bCs/>
          <w:rFonts w:ascii="Arial" w:hAnsi="Arial"/>
          <w:b/>
        </w:rPr>
        <w:t xml:space="preserve">Wortlaut:</w:t>
      </w:r>
      <w:r>
        <w:rPr>
          <w:rFonts w:ascii="Arial" w:hAnsi="Arial"/>
        </w:rPr>
        <w:t xml:space="preserve"> </w:t>
      </w:r>
      <w:r>
        <w:rPr>
          <w:rFonts w:ascii="Arial" w:hAnsi="Arial"/>
        </w:rPr>
        <w:t xml:space="preserve">Der Prompt nennt Wortlaut bis 40 Wörter. Weil PubMed für die Arbeit keine Lizenz ausweist, stehen nur kurze Schlüsselstellen im Original (höchstens zehn Wörter, als Suchanker in der PDF), alles Übrige sinngemäß. Wo eine Kürzung einen Quantor abschneiden würde („many“, „tend to“), steht er mit (Zweitprüfung Nr. 14). Der Volltext ist frei zugänglich, die Ablage der PDF vor Task 15 (H16) erlaubt den vollständigen Abgleich.</w:t>
      </w:r>
    </w:p>
    <w:p>
      <w:pPr>
        <w:pStyle w:val="BodyText"/>
      </w:pPr>
      <w:r>
        <w:rPr>
          <w:bCs/>
          <w:rFonts w:ascii="Arial" w:hAnsi="Arial"/>
          <w:b/>
        </w:rPr>
        <w:t xml:space="preserve">Eigene Werte</w:t>
      </w:r>
      <w:r>
        <w:rPr>
          <w:rFonts w:ascii="Arial" w:hAnsi="Arial"/>
        </w:rPr>
        <w:t xml:space="preserve"> </w:t>
      </w:r>
      <w:r>
        <w:rPr>
          <w:rFonts w:ascii="Arial" w:hAnsi="Arial"/>
        </w:rPr>
        <w:t xml:space="preserve">nur über Kennungen des Kennzahlenblatts (25.09., Rev. 2). Prozentwerte, die das Blatt nicht führt, werden nicht gebildet.</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Fassung.</w:t>
      </w:r>
      <w:r>
        <w:rPr>
          <w:rFonts w:ascii="Arial" w:hAnsi="Arial"/>
        </w:rPr>
        <w:t xml:space="preserve"> </w:t>
      </w:r>
      <w:r>
        <w:rPr>
          <w:rFonts w:ascii="Arial" w:hAnsi="Arial"/>
        </w:rPr>
        <w:t xml:space="preserve">Zitiert wird allein die Version of Record (2026). Die Datei im Ordner ist der Preprint (JMIR Preprints, eingereicht 25.09.2025, Fußzeile „unpublished, peer-reviewed preprint“). Sein Deckblatt zeigt den Stand der Erstsuche, sein Manuskript schon das Update, mit 119 statt 116 Studien. Daraus wird nichts übernommen (T4). Die PDF der Version of Record fehlt im Ordner (H16, vor dem Einbau in 6.1, spätestens vor Task 15).</w:t>
      </w:r>
    </w:p>
    <w:p>
      <w:pPr>
        <w:numPr>
          <w:ilvl w:val="0"/>
          <w:numId w:val="1001"/>
        </w:numPr>
        <w:pStyle w:val="Compact"/>
      </w:pPr>
      <w:r>
        <w:rPr>
          <w:bCs/>
          <w:rFonts w:ascii="Arial" w:hAnsi="Arial"/>
          <w:b/>
        </w:rPr>
        <w:t xml:space="preserve">Art der Quelle.</w:t>
      </w:r>
      <w:r>
        <w:rPr>
          <w:rFonts w:ascii="Arial" w:hAnsi="Arial"/>
        </w:rPr>
        <w:t xml:space="preserve"> </w:t>
      </w:r>
      <w:r>
        <w:rPr>
          <w:rFonts w:ascii="Arial" w:hAnsi="Arial"/>
        </w:rPr>
        <w:t xml:space="preserve">Systematische Übersicht über 116 Studien mit 143 Vergleichen zu digitalen Lebensstilprogrammen für 10- bis 19-Jährige. Metaanalytisch zusammengefasst ist nur der Studienabbruch. Abschlussrate und Bestandteil-Adhärenz sind beschreibende Mittel über die berichtenden Vergleiche, eine Gewichtung nennt die Übersicht nicht. Einflussfaktoren sind aus Einzelstudien gezählt, nicht gepoolt. Ein Verzerrungsrisiko wurde nicht bewertet.</w:t>
      </w:r>
    </w:p>
    <w:p>
      <w:pPr>
        <w:numPr>
          <w:ilvl w:val="0"/>
          <w:numId w:val="1001"/>
        </w:numPr>
        <w:pStyle w:val="Compact"/>
      </w:pPr>
      <w:r>
        <w:rPr>
          <w:bCs/>
          <w:rFonts w:ascii="Arial" w:hAnsi="Arial"/>
          <w:b/>
        </w:rPr>
        <w:t xml:space="preserve">Kernwerte.</w:t>
      </w:r>
      <w:r>
        <w:rPr>
          <w:rFonts w:ascii="Arial" w:hAnsi="Arial"/>
        </w:rPr>
        <w:t xml:space="preserve"> </w:t>
      </w:r>
      <w:r>
        <w:rPr>
          <w:rFonts w:ascii="Arial" w:hAnsi="Arial"/>
        </w:rPr>
        <w:t xml:space="preserve">Abschlussrate im Mittel 66,9 % (SD 26 %, 68 Vergleiche), Bestandteil-Adhärenz 55,2 % (SD 25,5 %, 66 Vergleiche), bei Bewegungsprogrammen 62,8 % (ohne SD und Vergleichszahl im Haupttext). Studienabbruch gepoolt 16,9 % (95-%-KI 13,6 bis 20,9, I² 98,3 %), bei Bewegung 14,1 % (k = 32). Kein Moderator erklärte den Abbruch, auch nicht die Dauer.</w:t>
      </w:r>
    </w:p>
    <w:p>
      <w:pPr>
        <w:numPr>
          <w:ilvl w:val="0"/>
          <w:numId w:val="1001"/>
        </w:numPr>
        <w:pStyle w:val="Compact"/>
      </w:pPr>
      <w:r>
        <w:rPr>
          <w:bCs/>
          <w:rFonts w:ascii="Arial" w:hAnsi="Arial"/>
          <w:b/>
        </w:rPr>
        <w:t xml:space="preserve">Folgerung der Autoren</w:t>
      </w:r>
      <w:r>
        <w:rPr>
          <w:rFonts w:ascii="Arial" w:hAnsi="Arial"/>
        </w:rPr>
        <w:t xml:space="preserve"> </w:t>
      </w:r>
      <w:r>
        <w:rPr>
          <w:rFonts w:ascii="Arial" w:hAnsi="Arial"/>
        </w:rPr>
        <w:t xml:space="preserve">aus dem Vergleich von Abbruch und Nutzung, im Ergebnis- und Diskussionsteil, nicht in Zusammenfassung oder Schluss: Der Verbleib in der Studie überschätzt die Nutzung, viele Jugendliche blieben eingeschrieben und nutzten das Programm nur teilweise. Getrennte Maße mit Operationalisierung empfehlen die Autoren wegen der uneinheitlichen Messung (Discussion › Implications for Future Research, Abs. 1), einheitliche Adhärenzmaße wegen der unerklärten Heterogenität des Abbruchs (Discussion › Domain-Specific Adherence Patterns, Abs. 3).</w:t>
      </w:r>
    </w:p>
    <w:p>
      <w:pPr>
        <w:numPr>
          <w:ilvl w:val="0"/>
          <w:numId w:val="1001"/>
        </w:numPr>
        <w:pStyle w:val="Compact"/>
      </w:pPr>
      <w:r>
        <w:rPr>
          <w:bCs/>
          <w:rFonts w:ascii="Arial" w:hAnsi="Arial"/>
          <w:b/>
        </w:rPr>
        <w:t xml:space="preserve">Zuordnung der eigenen Maße.</w:t>
      </w:r>
      <w:r>
        <w:rPr>
          <w:rFonts w:ascii="Arial" w:hAnsi="Arial"/>
        </w:rPr>
        <w:t xml:space="preserve"> </w:t>
      </w:r>
      <w:r>
        <w:rPr>
          <w:rFonts w:ascii="Arial" w:hAnsi="Arial"/>
        </w:rPr>
        <w:t xml:space="preserve">Die Umsetzungsrate (K-10.5) entspricht in der Konstruktion der Bestandteil-Adhärenz (mittlerer Anteil absolvierter Einheiten je zugeteiltem Spieler). Welche eigene Schwelle der Abschlussrate entspricht, bleibt offen: alle zwölf Einheiten (1 von 18, K-10.15) oder das Antragskriterium als vom Entwickler festgelegte Nutzung (3 von 18, K-10.10). Dem Studienabbruch entspricht das Nichtantreten zur Abschlusstestung (IG 2 von 18, K-01.9). Das eigene Muster gleicht dem der Übersicht: Verbleib hoch, Nutzung unter der Hälfte.</w:t>
      </w:r>
    </w:p>
    <w:p>
      <w:pPr>
        <w:numPr>
          <w:ilvl w:val="0"/>
          <w:numId w:val="1001"/>
        </w:numPr>
        <w:pStyle w:val="Compact"/>
      </w:pPr>
      <w:r>
        <w:rPr>
          <w:bCs/>
          <w:rFonts w:ascii="Arial" w:hAnsi="Arial"/>
          <w:b/>
        </w:rPr>
        <w:t xml:space="preserve">Distanz und Formulierungsstufe.</w:t>
      </w:r>
      <w:r>
        <w:rPr>
          <w:rFonts w:ascii="Arial" w:hAnsi="Arial"/>
        </w:rPr>
        <w:t xml:space="preserve"> </w:t>
      </w:r>
      <w:r>
        <w:rPr>
          <w:rFonts w:ascii="Arial" w:hAnsi="Arial"/>
        </w:rPr>
        <w:t xml:space="preserve">Nach der Regel für Umsetzungsvergleiche (Anpassung von F17 § 6.4, Klick 02.10.) Population 2 · Programmform 1 (strenger gelesen 2) · Umsetzungsmaß 1 = 4 bis 5 → nur Kontext, Quellenart und Population im Satz. Die eigene Umsetzungsrate liegt unter dem Mittel der Bestandteil-Adhärenz, aber innerhalb einer Standardabweichung. Das trägt „teilweise Nutzung“ und „im Mittel nur gut die Hälfte“, nicht „typisch“, „gering“ oder „deutlich darunter“.</w:t>
      </w:r>
    </w:p>
    <w:p>
      <w:pPr>
        <w:numPr>
          <w:ilvl w:val="0"/>
          <w:numId w:val="1001"/>
        </w:numPr>
        <w:pStyle w:val="Compact"/>
      </w:pPr>
      <w:r>
        <w:rPr>
          <w:bCs/>
          <w:rFonts w:ascii="Arial" w:hAnsi="Arial"/>
          <w:b/>
        </w:rPr>
        <w:t xml:space="preserve">Was die Quelle trägt.</w:t>
      </w:r>
      <w:r>
        <w:rPr>
          <w:rFonts w:ascii="Arial" w:hAnsi="Arial"/>
        </w:rPr>
        <w:t xml:space="preserve"> </w:t>
      </w:r>
      <w:r>
        <w:rPr>
          <w:rFonts w:ascii="Arial" w:hAnsi="Arial"/>
        </w:rPr>
        <w:t xml:space="preserve">Teilweise Nutzung digitaler Programme als verbreitetes Muster bei Jugendlichen · Verbleib ungleich Nutzung · Berichtsempfehlung · Förder- und Hemmfaktoren als Forschungsfragen.</w:t>
      </w:r>
      <w:r>
        <w:rPr>
          <w:rFonts w:ascii="Arial" w:hAnsi="Arial"/>
        </w:rPr>
        <w:t xml:space="preserve"> </w:t>
      </w:r>
      <w:r>
        <w:rPr>
          <w:bCs/>
          <w:rFonts w:ascii="Arial" w:hAnsi="Arial"/>
          <w:b/>
        </w:rPr>
        <w:t xml:space="preserve">Was sie nicht trägt:</w:t>
      </w:r>
      <w:r>
        <w:rPr>
          <w:rFonts w:ascii="Arial" w:hAnsi="Arial"/>
        </w:rPr>
        <w:t xml:space="preserve"> </w:t>
      </w:r>
      <w:r>
        <w:rPr>
          <w:rFonts w:ascii="Arial" w:hAnsi="Arial"/>
        </w:rPr>
        <w:t xml:space="preserve">eine Norm oder Zielmarke für Nachwuchsspieler · Ursachen der eigenen Umsetzung · Dosis-Wirkung · Aussagen über Videoprogramme · Aufsicht gegen keine Aufsicht im Nachwuchssport · eine Wirkung der Programmdauer.</w:t>
      </w:r>
    </w:p>
    <w:p>
      <w:pPr>
        <w:numPr>
          <w:ilvl w:val="0"/>
          <w:numId w:val="1001"/>
        </w:numPr>
        <w:pStyle w:val="Compact"/>
      </w:pPr>
      <w:r>
        <w:rPr>
          <w:bCs/>
          <w:rFonts w:ascii="Arial" w:hAnsi="Arial"/>
          <w:b/>
        </w:rPr>
        <w:t xml:space="preserve">Vorbefunde (a) bis (c)</w:t>
      </w:r>
      <w:r>
        <w:rPr>
          <w:rFonts w:ascii="Arial" w:hAnsi="Arial"/>
        </w:rPr>
        <w:t xml:space="preserve"> </w:t>
      </w:r>
      <w:r>
        <w:rPr>
          <w:rFonts w:ascii="Arial" w:hAnsi="Arial"/>
        </w:rPr>
        <w:t xml:space="preserve">aus Teil 0 Rev. 148 sind am Volltext bestätigt und präzisiert (§ 1.2).</w:t>
      </w:r>
      <w:r>
        <w:rPr>
          <w:rFonts w:ascii="Arial" w:hAnsi="Arial"/>
        </w:rPr>
        <w:t xml:space="preserve"> </w:t>
      </w:r>
      <w:r>
        <w:rPr>
          <w:bCs/>
          <w:rFonts w:ascii="Arial" w:hAnsi="Arial"/>
          <w:b/>
        </w:rPr>
        <w:t xml:space="preserve">T1 und T4:</w:t>
      </w:r>
      <w:r>
        <w:rPr>
          <w:rFonts w:ascii="Arial" w:hAnsi="Arial"/>
        </w:rPr>
        <w:t xml:space="preserve"> </w:t>
      </w:r>
      <w:r>
        <w:rPr>
          <w:rFonts w:ascii="Arial" w:hAnsi="Arial"/>
        </w:rPr>
        <w:t xml:space="preserve">Steckbrief</w:t>
      </w:r>
      <w:r>
        <w:rPr>
          <w:rFonts w:ascii="Arial" w:hAnsi="Arial"/>
        </w:rPr>
        <w:t xml:space="preserve"> </w:t>
      </w:r>
      <w:r>
        <w:rPr>
          <w:rStyle w:val="VerbatimChar"/>
          <w:rFonts w:ascii="Arial" w:hAnsi="Arial"/>
          <w:sz w:val="16"/>
        </w:rPr>
        <w:t xml:space="preserve">Boumparis2026</w:t>
      </w:r>
      <w:r>
        <w:rPr>
          <w:rFonts w:ascii="Arial" w:hAnsi="Arial"/>
        </w:rPr>
        <w:t xml:space="preserve"> </w:t>
      </w:r>
      <w:r>
        <w:rPr>
          <w:rFonts w:ascii="Arial" w:hAnsi="Arial"/>
        </w:rPr>
        <w:t xml:space="preserve">neu (Distanzfelder nach F17 § 6.4: 2 · — · —), elf Zitierfallen zu Boumparis et al. und eine zu Klusemann et al. (Bezugsmenge der 77 %), beim Steckbrief</w:t>
      </w:r>
      <w:r>
        <w:rPr>
          <w:rFonts w:ascii="Arial" w:hAnsi="Arial"/>
        </w:rPr>
        <w:t xml:space="preserve"> </w:t>
      </w:r>
      <w:r>
        <w:rPr>
          <w:rStyle w:val="VerbatimChar"/>
          <w:rFonts w:ascii="Arial" w:hAnsi="Arial"/>
          <w:sz w:val="16"/>
        </w:rPr>
        <w:t xml:space="preserve">Klusemann2012</w:t>
      </w:r>
      <w:r>
        <w:rPr>
          <w:rFonts w:ascii="Arial" w:hAnsi="Arial"/>
        </w:rPr>
        <w:t xml:space="preserve"> </w:t>
      </w:r>
      <w:r>
        <w:rPr>
          <w:rFonts w:ascii="Arial" w:hAnsi="Arial"/>
        </w:rPr>
        <w:t xml:space="preserve">ein Vermerk zur Distanzregel bei unveränderten Feldern (§ 7).</w:t>
      </w:r>
      <w:r>
        <w:rPr>
          <w:rFonts w:ascii="Arial" w:hAnsi="Arial"/>
        </w:rPr>
        <w:t xml:space="preserve"> </w:t>
      </w:r>
      <w:r>
        <w:rPr>
          <w:bCs/>
          <w:rFonts w:ascii="Arial" w:hAnsi="Arial"/>
          <w:b/>
        </w:rPr>
        <w:t xml:space="preserve">Zweitprüfung:</w:t>
      </w:r>
      <w:r>
        <w:rPr>
          <w:rFonts w:ascii="Arial" w:hAnsi="Arial"/>
        </w:rPr>
        <w:t xml:space="preserve"> </w:t>
      </w:r>
      <w:r>
        <w:rPr>
          <w:rFonts w:ascii="Arial" w:hAnsi="Arial"/>
        </w:rPr>
        <w:t xml:space="preserve">Nachtrag K2 § 9, die Befunde zu diesem Dokument sind eingearbeitet.</w:t>
      </w:r>
    </w:p>
    <w:bookmarkEnd w:id="20"/>
    <w:bookmarkStart w:id="23" w:name="fassung-lesart-vorbefunde"/>
    <w:p>
      <w:pPr>
        <w:pStyle w:val="Heading2"/>
      </w:pPr>
      <w:r>
        <w:rPr>
          <w:rFonts w:ascii="Arial" w:hAnsi="Arial"/>
        </w:rPr>
        <w:t xml:space="preserve">1 Fassung, Lesart, Vorbefunde</w:t>
      </w:r>
    </w:p>
    <w:bookmarkStart w:id="21" w:name="fassung"/>
    <w:p>
      <w:pPr>
        <w:pStyle w:val="Heading3"/>
      </w:pPr>
      <w:r>
        <w:rPr>
          <w:rFonts w:ascii="Arial" w:hAnsi="Arial"/>
        </w:rPr>
        <w:t xml:space="preserve">1.1 Fassung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934"/>
        <w:gridCol w:w="7321"/>
        <w:gridCol w:w="5542"/>
      </w:tblGrid>
      <w:tr>
        <w:trPr>
          <w:tblHeader w:val="true"/>
          <w:tblHeader w:val="true"/>
          <w:cantSplit w:val="true"/>
        </w:trPr>
        <w:tc>
          <w:tcPr>
            <w:tcW w:type="dxa" w:w="1934"/>
            <w:shd w:val="clear" w:color="auto" w:fill="D6E4F0"/>
          </w:tcPr>
          <w:p>
            <w:pPr>
              <w:pStyle w:val="Compact"/>
            </w:pPr>
          </w:p>
        </w:tc>
        <w:tc>
          <w:tcPr>
            <w:tcW w:type="dxa" w:w="7321"/>
            <w:shd w:val="clear" w:color="auto" w:fill="D6E4F0"/>
          </w:tcPr>
          <w:p>
            <w:pPr>
              <w:pStyle w:val="Compact"/>
              <w:jc w:val="left"/>
            </w:pPr>
            <w:r>
              <w:rPr>
                <w:rFonts w:ascii="Arial" w:hAnsi="Arial"/>
                <w:b/>
                <w:sz w:val="18"/>
              </w:rPr>
              <w:t xml:space="preserve">Preprint (im Ordner)</w:t>
            </w:r>
          </w:p>
        </w:tc>
        <w:tc>
          <w:tcPr>
            <w:tcW w:type="dxa" w:w="5542"/>
            <w:shd w:val="clear" w:color="auto" w:fill="D6E4F0"/>
          </w:tcPr>
          <w:p>
            <w:pPr>
              <w:pStyle w:val="Compact"/>
              <w:jc w:val="left"/>
            </w:pPr>
            <w:r>
              <w:rPr>
                <w:rFonts w:ascii="Arial" w:hAnsi="Arial"/>
                <w:b/>
                <w:sz w:val="18"/>
              </w:rPr>
              <w:t xml:space="preserve">Version of Record (zitiert)</w:t>
            </w:r>
          </w:p>
        </w:tc>
      </w:tr>
      <w:tr>
        <w:trPr>
          <w:cantSplit w:val="true"/>
        </w:trPr>
        <w:tc>
          <w:tcPr>
            <w:tcW w:type="dxa" w:w="1934"/>
          </w:tcPr>
          <w:p>
            <w:pPr>
              <w:pStyle w:val="Compact"/>
              <w:jc w:val="left"/>
            </w:pPr>
            <w:r>
              <w:rPr>
                <w:rFonts w:ascii="Arial" w:hAnsi="Arial"/>
                <w:sz w:val="18"/>
              </w:rPr>
              <w:t xml:space="preserve">Datei, Ort</w:t>
            </w:r>
          </w:p>
        </w:tc>
        <w:tc>
          <w:tcPr>
            <w:tcW w:type="dxa" w:w="7321"/>
          </w:tcPr>
          <w:p>
            <w:pPr>
              <w:pStyle w:val="Compact"/>
              <w:jc w:val="left"/>
            </w:pPr>
            <w:r>
              <w:rPr>
                <w:rStyle w:val="VerbatimChar"/>
                <w:rFonts w:ascii="Arial" w:hAnsi="Arial"/>
                <w:sz w:val="16"/>
              </w:rPr>
              <w:t xml:space="preserve">Ideen und Studien\2025 Boumparis et al., Factors Influencing Adherence to Digital Lifestyle interventions for adolescence.pdf</w:t>
            </w:r>
            <w:r>
              <w:rPr>
                <w:rFonts w:ascii="Arial" w:hAnsi="Arial"/>
                <w:sz w:val="18"/>
              </w:rPr>
              <w:t xml:space="preserve">, 1.062.847 Byte, abgelegt 02.10., 15:26 Sitzungsuhr</w:t>
            </w:r>
          </w:p>
        </w:tc>
        <w:tc>
          <w:tcPr>
            <w:tcW w:type="dxa" w:w="5542"/>
          </w:tcPr>
          <w:p>
            <w:pPr>
              <w:pStyle w:val="Compact"/>
              <w:jc w:val="left"/>
            </w:pPr>
            <w:r>
              <w:rPr>
                <w:rFonts w:ascii="Arial" w:hAnsi="Arial"/>
                <w:sz w:val="18"/>
              </w:rPr>
              <w:t xml:space="preserve">nicht im Ordner, frei über PMC13626193 und doi 10.2196/84822</w:t>
            </w:r>
          </w:p>
        </w:tc>
      </w:tr>
      <w:tr>
        <w:trPr>
          <w:cantSplit w:val="true"/>
        </w:trPr>
        <w:tc>
          <w:tcPr>
            <w:tcW w:type="dxa" w:w="1934"/>
            <w:shd w:val="clear" w:color="auto" w:fill="EEF3F9"/>
          </w:tcPr>
          <w:p>
            <w:pPr>
              <w:pStyle w:val="Compact"/>
              <w:jc w:val="left"/>
            </w:pPr>
            <w:r>
              <w:rPr>
                <w:rFonts w:ascii="Arial" w:hAnsi="Arial"/>
                <w:sz w:val="18"/>
              </w:rPr>
              <w:t xml:space="preserve">Status</w:t>
            </w:r>
          </w:p>
        </w:tc>
        <w:tc>
          <w:tcPr>
            <w:tcW w:type="dxa" w:w="7321"/>
            <w:shd w:val="clear" w:color="auto" w:fill="EEF3F9"/>
          </w:tcPr>
          <w:p>
            <w:pPr>
              <w:pStyle w:val="Compact"/>
              <w:jc w:val="left"/>
            </w:pPr>
            <w:r>
              <w:rPr>
                <w:rFonts w:ascii="Arial" w:hAnsi="Arial"/>
                <w:sz w:val="18"/>
              </w:rPr>
              <w:t xml:space="preserve">JMIR Preprints, eingereicht 25.09.2025, Fußzeile „unpublished, peer-reviewed preprint“, nicht die Version of Record</w:t>
            </w:r>
          </w:p>
        </w:tc>
        <w:tc>
          <w:tcPr>
            <w:tcW w:type="dxa" w:w="5542"/>
            <w:shd w:val="clear" w:color="auto" w:fill="EEF3F9"/>
          </w:tcPr>
          <w:p>
            <w:pPr>
              <w:pStyle w:val="Compact"/>
              <w:jc w:val="left"/>
            </w:pPr>
            <w:r>
              <w:rPr>
                <w:rFonts w:ascii="Arial" w:hAnsi="Arial"/>
                <w:sz w:val="18"/>
              </w:rPr>
              <w:t xml:space="preserve">erschienen 30.09.2026,</w:t>
            </w:r>
            <w:r>
              <w:rPr>
                <w:rFonts w:ascii="Arial" w:hAnsi="Arial"/>
                <w:sz w:val="18"/>
              </w:rPr>
              <w:t xml:space="preserve"> </w:t>
            </w:r>
            <w:r>
              <w:rPr>
                <w:iCs/>
                <w:rFonts w:ascii="Arial" w:hAnsi="Arial"/>
                <w:i/>
                <w:sz w:val="18"/>
              </w:rPr>
              <w:t xml:space="preserve">Interact J Med Res 15</w:t>
            </w:r>
            <w:r>
              <w:rPr>
                <w:rFonts w:ascii="Arial" w:hAnsi="Arial"/>
                <w:sz w:val="18"/>
              </w:rPr>
              <w:t xml:space="preserve">, e84822</w:t>
            </w:r>
          </w:p>
        </w:tc>
      </w:tr>
      <w:tr>
        <w:trPr>
          <w:cantSplit w:val="true"/>
        </w:trPr>
        <w:tc>
          <w:tcPr>
            <w:tcW w:type="dxa" w:w="1934"/>
          </w:tcPr>
          <w:p>
            <w:pPr>
              <w:pStyle w:val="Compact"/>
              <w:jc w:val="left"/>
            </w:pPr>
            <w:r>
              <w:rPr>
                <w:rFonts w:ascii="Arial" w:hAnsi="Arial"/>
                <w:sz w:val="18"/>
              </w:rPr>
              <w:t xml:space="preserve">Stand</w:t>
            </w:r>
          </w:p>
        </w:tc>
        <w:tc>
          <w:tcPr>
            <w:tcW w:type="dxa" w:w="7321"/>
          </w:tcPr>
          <w:p>
            <w:pPr>
              <w:pStyle w:val="Compact"/>
              <w:jc w:val="left"/>
            </w:pPr>
            <w:r>
              <w:rPr>
                <w:rFonts w:ascii="Arial" w:hAnsi="Arial"/>
                <w:sz w:val="18"/>
              </w:rPr>
              <w:t xml:space="preserve">Deckblatt (S. 3, Erstsuche): 85 Studien, 32.397 Teilnehmende, Abschlussrate 51,85 %, Bestandteil-Adhärenz 49,35 % · Manuskript (S. 7, Update): 119 Studien, 46.029 Teilnehmende, 66,9 % und 55,2 %, 108 Vergleiche, Abbruch 16,9 %</w:t>
            </w:r>
          </w:p>
        </w:tc>
        <w:tc>
          <w:tcPr>
            <w:tcW w:type="dxa" w:w="5542"/>
          </w:tcPr>
          <w:p>
            <w:pPr>
              <w:pStyle w:val="Compact"/>
              <w:jc w:val="left"/>
            </w:pPr>
            <w:r>
              <w:rPr>
                <w:rFonts w:ascii="Arial" w:hAnsi="Arial"/>
                <w:sz w:val="18"/>
              </w:rPr>
              <w:t xml:space="preserve">116 Studien, 143 Vergleiche, 46.029 Teilnehmende, Abschlussrate 66,9 %, Bestandteil-Adhärenz 55,2 %</w:t>
            </w:r>
          </w:p>
        </w:tc>
      </w:tr>
      <w:tr>
        <w:trPr>
          <w:cantSplit w:val="true"/>
        </w:trPr>
        <w:tc>
          <w:tcPr>
            <w:tcW w:type="dxa" w:w="1934"/>
            <w:shd w:val="clear" w:color="auto" w:fill="EEF3F9"/>
          </w:tcPr>
          <w:p>
            <w:pPr>
              <w:pStyle w:val="Compact"/>
              <w:jc w:val="left"/>
            </w:pPr>
            <w:r>
              <w:rPr>
                <w:rFonts w:ascii="Arial" w:hAnsi="Arial"/>
                <w:sz w:val="18"/>
              </w:rPr>
              <w:t xml:space="preserve">Verwendung</w:t>
            </w:r>
          </w:p>
        </w:tc>
        <w:tc>
          <w:tcPr>
            <w:tcW w:type="dxa" w:w="7321"/>
            <w:shd w:val="clear" w:color="auto" w:fill="EEF3F9"/>
          </w:tcPr>
          <w:p>
            <w:pPr>
              <w:pStyle w:val="Compact"/>
              <w:jc w:val="left"/>
            </w:pPr>
            <w:r>
              <w:rPr>
                <w:rFonts w:ascii="Arial" w:hAnsi="Arial"/>
                <w:sz w:val="18"/>
              </w:rPr>
              <w:t xml:space="preserve">keine (F17 § 6.1)</w:t>
            </w:r>
          </w:p>
        </w:tc>
        <w:tc>
          <w:tcPr>
            <w:tcW w:type="dxa" w:w="5542"/>
            <w:shd w:val="clear" w:color="auto" w:fill="EEF3F9"/>
          </w:tcPr>
          <w:p>
            <w:pPr>
              <w:pStyle w:val="Compact"/>
              <w:jc w:val="left"/>
            </w:pPr>
            <w:r>
              <w:rPr>
                <w:rFonts w:ascii="Arial" w:hAnsi="Arial"/>
                <w:sz w:val="18"/>
              </w:rPr>
              <w:t xml:space="preserve">Zitierjahr 2026, Fundstellen nach Abschnitt und Absatz bis zur Ablage der PDF</w:t>
            </w:r>
          </w:p>
        </w:tc>
      </w:tr>
    </w:tbl>
    <w:p>
      <w:pPr>
        <w:pStyle w:val="BodyText"/>
      </w:pPr>
      <w:r>
        <w:rPr>
          <w:rFonts w:ascii="Arial" w:hAnsi="Arial"/>
        </w:rPr>
        <w:t xml:space="preserve">Die Werte des Preprints stehen hier nur, damit sie nicht versehentlich verwendet werden. Zwischen der Erstsuche (85 Studien) und dem Update verschoben sich die beschreibenden Mittel um rund 15 und 6 Prozentpunkte. Das zeigt, wie stark sie von der Studienauswahl abhängen (§ 5).</w:t>
      </w:r>
    </w:p>
    <w:bookmarkEnd w:id="21"/>
    <w:bookmarkStart w:id="22" w:name="vorbefunde-aus-teil-0-rev.-148"/>
    <w:p>
      <w:pPr>
        <w:pStyle w:val="Heading3"/>
      </w:pPr>
      <w:r>
        <w:rPr>
          <w:rFonts w:ascii="Arial" w:hAnsi="Arial"/>
        </w:rPr>
        <w:t xml:space="preserve">1.2 Vorbefunde aus Teil 0 Rev. 148</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908"/>
        <w:gridCol w:w="6420"/>
        <w:gridCol w:w="4469"/>
      </w:tblGrid>
      <w:tr>
        <w:trPr>
          <w:tblHeader w:val="true"/>
          <w:tblHeader w:val="true"/>
          <w:cantSplit w:val="true"/>
        </w:trPr>
        <w:tc>
          <w:tcPr>
            <w:tcW w:type="dxa" w:w="3908"/>
            <w:shd w:val="clear" w:color="auto" w:fill="D6E4F0"/>
          </w:tcPr>
          <w:p>
            <w:pPr>
              <w:pStyle w:val="Compact"/>
              <w:jc w:val="left"/>
            </w:pPr>
            <w:r>
              <w:rPr>
                <w:rFonts w:ascii="Arial" w:hAnsi="Arial"/>
                <w:b/>
                <w:sz w:val="18"/>
              </w:rPr>
              <w:t xml:space="preserve">Vorbefund</w:t>
            </w:r>
          </w:p>
        </w:tc>
        <w:tc>
          <w:tcPr>
            <w:tcW w:type="dxa" w:w="6420"/>
            <w:shd w:val="clear" w:color="auto" w:fill="D6E4F0"/>
          </w:tcPr>
          <w:p>
            <w:pPr>
              <w:pStyle w:val="Compact"/>
              <w:jc w:val="left"/>
            </w:pPr>
            <w:r>
              <w:rPr>
                <w:rFonts w:ascii="Arial" w:hAnsi="Arial"/>
                <w:b/>
                <w:sz w:val="18"/>
              </w:rPr>
              <w:t xml:space="preserve">Ergebnis am Volltext</w:t>
            </w:r>
          </w:p>
        </w:tc>
        <w:tc>
          <w:tcPr>
            <w:tcW w:type="dxa" w:w="4469"/>
            <w:shd w:val="clear" w:color="auto" w:fill="D6E4F0"/>
          </w:tcPr>
          <w:p>
            <w:pPr>
              <w:pStyle w:val="Compact"/>
              <w:jc w:val="left"/>
            </w:pPr>
            <w:r>
              <w:rPr>
                <w:rFonts w:ascii="Arial" w:hAnsi="Arial"/>
                <w:b/>
                <w:sz w:val="18"/>
              </w:rPr>
              <w:t xml:space="preserve">Folge</w:t>
            </w:r>
          </w:p>
        </w:tc>
      </w:tr>
      <w:tr>
        <w:trPr>
          <w:cantSplit w:val="true"/>
        </w:trPr>
        <w:tc>
          <w:tcPr>
            <w:tcW w:type="dxa" w:w="3908"/>
          </w:tcPr>
          <w:p>
            <w:pPr>
              <w:pStyle w:val="Compact"/>
              <w:jc w:val="left"/>
            </w:pPr>
            <w:r>
              <w:rPr>
                <w:rFonts w:ascii="Arial" w:hAnsi="Arial"/>
                <w:sz w:val="18"/>
              </w:rPr>
              <w:t xml:space="preserve">(a) Abschlussrate und Bestandteil-Adhärenz ungewichtet und beschreibend, metaanalytisch nur der Studienabbruch</w:t>
            </w:r>
          </w:p>
        </w:tc>
        <w:tc>
          <w:tcPr>
            <w:tcW w:type="dxa" w:w="6420"/>
          </w:tcPr>
          <w:p>
            <w:pPr>
              <w:pStyle w:val="Compact"/>
              <w:jc w:val="left"/>
            </w:pPr>
            <w:r>
              <w:rPr>
                <w:rFonts w:ascii="Arial" w:hAnsi="Arial"/>
                <w:sz w:val="18"/>
              </w:rPr>
              <w:t xml:space="preserve">Bestätigt. Beide Werte sind Mittel über die berichtenden Vergleiche (Results › Characteristics of Digital Interventions, Abs. 4). Nach den Limitationen waren sie zu uneinheitlich berichtet für einen vertretbaren gepoolten Schätzer und wurden „synthesized descriptively“ statt metaanalytisch zusammengefasst (Discussion › Limitations, Abs. 1). Präzisierung: „ungewichtet“ steht nicht im Text, die Übersicht nennt keine Gewichtung.</w:t>
            </w:r>
          </w:p>
        </w:tc>
        <w:tc>
          <w:tcPr>
            <w:tcW w:type="dxa" w:w="4469"/>
          </w:tcPr>
          <w:p>
            <w:pPr>
              <w:pStyle w:val="Compact"/>
              <w:jc w:val="left"/>
            </w:pPr>
            <w:r>
              <w:rPr>
                <w:rFonts w:ascii="Arial" w:hAnsi="Arial"/>
                <w:sz w:val="18"/>
              </w:rPr>
              <w:t xml:space="preserve">Im Text „systematische Übersicht“ und „im Mittel“. Befund Rev. 147 § 0 Nr. 3 und H16 nennen die Quelle für diese Werte „Metaanalyse“, das wird in H16 berichtigt.</w:t>
            </w:r>
          </w:p>
        </w:tc>
      </w:tr>
      <w:tr>
        <w:trPr>
          <w:cantSplit w:val="true"/>
        </w:trPr>
        <w:tc>
          <w:tcPr>
            <w:tcW w:type="dxa" w:w="3908"/>
            <w:shd w:val="clear" w:color="auto" w:fill="EEF3F9"/>
          </w:tcPr>
          <w:p>
            <w:pPr>
              <w:pStyle w:val="Compact"/>
              <w:jc w:val="left"/>
            </w:pPr>
            <w:r>
              <w:rPr>
                <w:rFonts w:ascii="Arial" w:hAnsi="Arial"/>
                <w:sz w:val="18"/>
              </w:rPr>
              <w:t xml:space="preserve">(b) Längere Studiendauer mit geringerer Adhärenz nur bei Bewegung, insgesamt uneinheitlich</w:t>
            </w:r>
          </w:p>
        </w:tc>
        <w:tc>
          <w:tcPr>
            <w:tcW w:type="dxa" w:w="6420"/>
            <w:shd w:val="clear" w:color="auto" w:fill="EEF3F9"/>
          </w:tcPr>
          <w:p>
            <w:pPr>
              <w:pStyle w:val="Compact"/>
              <w:jc w:val="left"/>
            </w:pPr>
            <w:r>
              <w:rPr>
                <w:rFonts w:ascii="Arial" w:hAnsi="Arial"/>
                <w:sz w:val="18"/>
              </w:rPr>
              <w:t xml:space="preserve">Bestätigt. Im Bewegungsteil statistische Evidenz aus zwei zitierten Studien (Results › Physical Activity › Intervention-Related Factors, Abs. 1). Die Zusammenfassung nennt die Evidenz zur Dauer uneinheitlich, in der Metaregression des Studienabbruchs war die Dauer nicht signifikant (QM = 2,60, p = 0,11). Präzisierung: Davon zu trennen ist der Rückgang der Nutzung im Verlauf eines Programms (§ 4.5).</w:t>
            </w:r>
          </w:p>
        </w:tc>
        <w:tc>
          <w:tcPr>
            <w:tcW w:type="dxa" w:w="4469"/>
            <w:shd w:val="clear" w:color="auto" w:fill="EEF3F9"/>
          </w:tcPr>
          <w:p>
            <w:pPr>
              <w:pStyle w:val="Compact"/>
              <w:jc w:val="left"/>
            </w:pPr>
            <w:r>
              <w:rPr>
                <w:rFonts w:ascii="Arial" w:hAnsi="Arial"/>
                <w:sz w:val="18"/>
              </w:rPr>
              <w:t xml:space="preserve">Nur mit dieser Einschränkung verwenden, nicht als Erklärung des eigenen Rückgangs in Woche 6 (K-10.16).</w:t>
            </w:r>
          </w:p>
        </w:tc>
      </w:tr>
      <w:tr>
        <w:trPr>
          <w:cantSplit w:val="true"/>
        </w:trPr>
        <w:tc>
          <w:tcPr>
            <w:tcW w:type="dxa" w:w="3908"/>
          </w:tcPr>
          <w:p>
            <w:pPr>
              <w:pStyle w:val="Compact"/>
              <w:jc w:val="left"/>
            </w:pPr>
            <w:r>
              <w:rPr>
                <w:rFonts w:ascii="Arial" w:hAnsi="Arial"/>
                <w:sz w:val="18"/>
              </w:rPr>
              <w:t xml:space="preserve">(c) Distanz bei Umsetzungsvergleichen</w:t>
            </w:r>
          </w:p>
        </w:tc>
        <w:tc>
          <w:tcPr>
            <w:tcW w:type="dxa" w:w="6420"/>
          </w:tcPr>
          <w:p>
            <w:pPr>
              <w:pStyle w:val="Compact"/>
              <w:jc w:val="left"/>
            </w:pPr>
            <w:r>
              <w:rPr>
                <w:rFonts w:ascii="Arial" w:hAnsi="Arial"/>
                <w:sz w:val="18"/>
              </w:rPr>
              <w:t xml:space="preserve">Regel festgelegt und als Anpassung gekennzeichnet (Klick „Anpassung wie vorgeschlagen“, Haltepunkt 1), auf Klusemann et al. (2012) und Boumparis et al. (2026) gleich angewandt (§ 6.1). Klusemann 2 · 0 · 0 = 2, Boumparis 2 · 1 · 1 = 4 (strenger gelesen 5).</w:t>
            </w:r>
          </w:p>
        </w:tc>
        <w:tc>
          <w:tcPr>
            <w:tcW w:type="dxa" w:w="4469"/>
          </w:tcPr>
          <w:p>
            <w:pPr>
              <w:pStyle w:val="Compact"/>
              <w:jc w:val="left"/>
            </w:pPr>
            <w:r>
              <w:rPr>
                <w:rFonts w:ascii="Arial" w:hAnsi="Arial"/>
                <w:sz w:val="18"/>
              </w:rPr>
              <w:t xml:space="preserve">Der Textvorschlag 6.1 rechnet Klusemann seit dem 02.10. ebenso (§ 5 dort). In T1 bleiben die Distanzfelder nach F17 § 6.4, die Umsetzungsdistanz steht im Vermerk (Zweitprüfung Nr. 10).</w:t>
            </w:r>
          </w:p>
        </w:tc>
      </w:tr>
    </w:tbl>
    <w:bookmarkEnd w:id="22"/>
    <w:bookmarkEnd w:id="23"/>
    <w:bookmarkStart w:id="24" w:name="steckbrief"/>
    <w:p>
      <w:pPr>
        <w:pStyle w:val="Heading2"/>
      </w:pPr>
      <w:r>
        <w:rPr>
          <w:rFonts w:ascii="Arial" w:hAnsi="Arial"/>
        </w:rPr>
        <w:t xml:space="preserve">2 Steckbrief</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57"/>
        <w:gridCol w:w="8280"/>
        <w:gridCol w:w="4260"/>
      </w:tblGrid>
      <w:tr>
        <w:trPr>
          <w:tblHeader w:val="true"/>
          <w:tblHeader w:val="true"/>
          <w:cantSplit w:val="true"/>
        </w:trPr>
        <w:tc>
          <w:tcPr>
            <w:tcW w:type="dxa" w:w="2257"/>
            <w:shd w:val="clear" w:color="auto" w:fill="D6E4F0"/>
          </w:tcPr>
          <w:p>
            <w:pPr>
              <w:pStyle w:val="Compact"/>
              <w:jc w:val="left"/>
            </w:pPr>
            <w:r>
              <w:rPr>
                <w:rFonts w:ascii="Arial" w:hAnsi="Arial"/>
                <w:b/>
                <w:sz w:val="18"/>
              </w:rPr>
              <w:t xml:space="preserve">Merkmal</w:t>
            </w:r>
          </w:p>
        </w:tc>
        <w:tc>
          <w:tcPr>
            <w:tcW w:type="dxa" w:w="8280"/>
            <w:shd w:val="clear" w:color="auto" w:fill="D6E4F0"/>
          </w:tcPr>
          <w:p>
            <w:pPr>
              <w:pStyle w:val="Compact"/>
              <w:jc w:val="left"/>
            </w:pPr>
            <w:r>
              <w:rPr>
                <w:rFonts w:ascii="Arial" w:hAnsi="Arial"/>
                <w:b/>
                <w:sz w:val="18"/>
              </w:rPr>
              <w:t xml:space="preserve">Angabe</w:t>
            </w:r>
          </w:p>
        </w:tc>
        <w:tc>
          <w:tcPr>
            <w:tcW w:type="dxa" w:w="4260"/>
            <w:shd w:val="clear" w:color="auto" w:fill="D6E4F0"/>
          </w:tcPr>
          <w:p>
            <w:pPr>
              <w:pStyle w:val="Compact"/>
              <w:jc w:val="left"/>
            </w:pPr>
            <w:r>
              <w:rPr>
                <w:rFonts w:ascii="Arial" w:hAnsi="Arial"/>
                <w:b/>
                <w:sz w:val="18"/>
              </w:rPr>
              <w:t xml:space="preserve">Fundstelle</w:t>
            </w:r>
          </w:p>
        </w:tc>
      </w:tr>
      <w:tr>
        <w:trPr>
          <w:cantSplit w:val="true"/>
        </w:trPr>
        <w:tc>
          <w:tcPr>
            <w:tcW w:type="dxa" w:w="2257"/>
          </w:tcPr>
          <w:p>
            <w:pPr>
              <w:pStyle w:val="Compact"/>
              <w:jc w:val="left"/>
            </w:pPr>
            <w:r>
              <w:rPr>
                <w:rFonts w:ascii="Arial" w:hAnsi="Arial"/>
                <w:sz w:val="18"/>
              </w:rPr>
              <w:t xml:space="preserve">Frage</w:t>
            </w:r>
          </w:p>
        </w:tc>
        <w:tc>
          <w:tcPr>
            <w:tcW w:type="dxa" w:w="8280"/>
          </w:tcPr>
          <w:p>
            <w:pPr>
              <w:pStyle w:val="Compact"/>
              <w:jc w:val="left"/>
            </w:pPr>
            <w:r>
              <w:rPr>
                <w:rFonts w:ascii="Arial" w:hAnsi="Arial"/>
                <w:sz w:val="18"/>
              </w:rPr>
              <w:t xml:space="preserve">Welche Faktoren beeinflussen die Adhärenz Jugendlicher an digitalen Lebensstilprogrammen, über die Domänen Bewegung, Ernährung, Adipositas, Alkohol und Tabak hinweg</w:t>
            </w:r>
          </w:p>
        </w:tc>
        <w:tc>
          <w:tcPr>
            <w:tcW w:type="dxa" w:w="4260"/>
          </w:tcPr>
          <w:p>
            <w:pPr>
              <w:pStyle w:val="Compact"/>
              <w:jc w:val="left"/>
            </w:pPr>
            <w:r>
              <w:rPr>
                <w:rFonts w:ascii="Arial" w:hAnsi="Arial"/>
                <w:sz w:val="18"/>
              </w:rPr>
              <w:t xml:space="preserve">Introduction, Abs. 6 · Abstract › Objective</w:t>
            </w:r>
          </w:p>
        </w:tc>
      </w:tr>
      <w:tr>
        <w:trPr>
          <w:cantSplit w:val="true"/>
        </w:trPr>
        <w:tc>
          <w:tcPr>
            <w:tcW w:type="dxa" w:w="2257"/>
            <w:shd w:val="clear" w:color="auto" w:fill="EEF3F9"/>
          </w:tcPr>
          <w:p>
            <w:pPr>
              <w:pStyle w:val="Compact"/>
              <w:jc w:val="left"/>
            </w:pPr>
            <w:r>
              <w:rPr>
                <w:rFonts w:ascii="Arial" w:hAnsi="Arial"/>
                <w:sz w:val="18"/>
              </w:rPr>
              <w:t xml:space="preserve">Suche</w:t>
            </w:r>
          </w:p>
        </w:tc>
        <w:tc>
          <w:tcPr>
            <w:tcW w:type="dxa" w:w="8280"/>
            <w:shd w:val="clear" w:color="auto" w:fill="EEF3F9"/>
          </w:tcPr>
          <w:p>
            <w:pPr>
              <w:pStyle w:val="Compact"/>
              <w:jc w:val="left"/>
            </w:pPr>
            <w:r>
              <w:rPr>
                <w:rFonts w:ascii="Arial" w:hAnsi="Arial"/>
                <w:sz w:val="18"/>
              </w:rPr>
              <w:t xml:space="preserve">PubMed, PsycINFO, CINAHL, Embase am 12.03.2024 (6.831 Treffer), Aktualisierung am 22.06.2026 (2.298 Treffer), ohne Einschränkung nach Jahr, Sprache und Region, keine Vor- und Rückwärtssuche über Zitationen, Protokoll nicht registriert, PRISMA 2020</w:t>
            </w:r>
          </w:p>
        </w:tc>
        <w:tc>
          <w:tcPr>
            <w:tcW w:type="dxa" w:w="4260"/>
            <w:shd w:val="clear" w:color="auto" w:fill="EEF3F9"/>
          </w:tcPr>
          <w:p>
            <w:pPr>
              <w:pStyle w:val="Compact"/>
              <w:jc w:val="left"/>
            </w:pPr>
            <w:r>
              <w:rPr>
                <w:rFonts w:ascii="Arial" w:hAnsi="Arial"/>
                <w:sz w:val="18"/>
              </w:rPr>
              <w:t xml:space="preserve">Methods › Identification of Studies, Abs. 2 · Results › Selection and Inclusion of Studies, Abs. 1 · Discussion › Limitations, Abs. 1</w:t>
            </w:r>
          </w:p>
        </w:tc>
      </w:tr>
      <w:tr>
        <w:trPr>
          <w:cantSplit w:val="true"/>
        </w:trPr>
        <w:tc>
          <w:tcPr>
            <w:tcW w:type="dxa" w:w="2257"/>
          </w:tcPr>
          <w:p>
            <w:pPr>
              <w:pStyle w:val="Compact"/>
              <w:jc w:val="left"/>
            </w:pPr>
            <w:r>
              <w:rPr>
                <w:rFonts w:ascii="Arial" w:hAnsi="Arial"/>
                <w:sz w:val="18"/>
              </w:rPr>
              <w:t xml:space="preserve">Einschluss</w:t>
            </w:r>
          </w:p>
        </w:tc>
        <w:tc>
          <w:tcPr>
            <w:tcW w:type="dxa" w:w="8280"/>
          </w:tcPr>
          <w:p>
            <w:pPr>
              <w:pStyle w:val="Compact"/>
              <w:jc w:val="left"/>
            </w:pPr>
            <w:r>
              <w:rPr>
                <w:rFonts w:ascii="Arial" w:hAnsi="Arial"/>
                <w:sz w:val="18"/>
              </w:rPr>
              <w:t xml:space="preserve">Jugendliche von 10 bis 19 Jahren nach WHO (Studien mit einzelnen Älteren bei passendem Altersmittel), eine der fünf Domänen, digitale Gesundheitsförderung als Hauptkomponente (Web, App, SMS, auch Computer), Daten zur vorgesehenen oder tatsächlichen Nutzung. Ausgeschlossen: Übersichten, Einzelsitzungen, Plattformen nur zur Kommunikation („email-based coaching or video consultation sessions“), Programme vor allem für Familien</w:t>
            </w:r>
          </w:p>
        </w:tc>
        <w:tc>
          <w:tcPr>
            <w:tcW w:type="dxa" w:w="4260"/>
          </w:tcPr>
          <w:p>
            <w:pPr>
              <w:pStyle w:val="Compact"/>
              <w:jc w:val="left"/>
            </w:pPr>
            <w:r>
              <w:rPr>
                <w:rFonts w:ascii="Arial" w:hAnsi="Arial"/>
                <w:sz w:val="18"/>
              </w:rPr>
              <w:t xml:space="preserve">Methods › Identification of Studies, Abs. 1 · Methods › Eligibility Criteria, Abs. 1 bis 4</w:t>
            </w:r>
          </w:p>
        </w:tc>
      </w:tr>
      <w:tr>
        <w:trPr>
          <w:cantSplit w:val="true"/>
        </w:trPr>
        <w:tc>
          <w:tcPr>
            <w:tcW w:type="dxa" w:w="2257"/>
            <w:shd w:val="clear" w:color="auto" w:fill="EEF3F9"/>
          </w:tcPr>
          <w:p>
            <w:pPr>
              <w:pStyle w:val="Compact"/>
              <w:jc w:val="left"/>
            </w:pPr>
            <w:r>
              <w:rPr>
                <w:rFonts w:ascii="Arial" w:hAnsi="Arial"/>
                <w:sz w:val="18"/>
              </w:rPr>
              <w:t xml:space="preserve">Designs</w:t>
            </w:r>
          </w:p>
        </w:tc>
        <w:tc>
          <w:tcPr>
            <w:tcW w:type="dxa" w:w="8280"/>
            <w:shd w:val="clear" w:color="auto" w:fill="EEF3F9"/>
          </w:tcPr>
          <w:p>
            <w:pPr>
              <w:pStyle w:val="Compact"/>
              <w:jc w:val="left"/>
            </w:pPr>
            <w:r>
              <w:rPr>
                <w:rFonts w:ascii="Arial" w:hAnsi="Arial"/>
                <w:sz w:val="18"/>
              </w:rPr>
              <w:t xml:space="preserve">116 Studien: 77 RCTs (66,4 %), 36 quasi-experimentell (31 %), 3 beobachtend (2,6 %) · 143 Vergleiche (23 Studien mit mehreren Interventionsarmen)</w:t>
            </w:r>
          </w:p>
        </w:tc>
        <w:tc>
          <w:tcPr>
            <w:tcW w:type="dxa" w:w="4260"/>
            <w:shd w:val="clear" w:color="auto" w:fill="EEF3F9"/>
          </w:tcPr>
          <w:p>
            <w:pPr>
              <w:pStyle w:val="Compact"/>
              <w:jc w:val="left"/>
            </w:pPr>
            <w:r>
              <w:rPr>
                <w:rFonts w:ascii="Arial" w:hAnsi="Arial"/>
                <w:sz w:val="18"/>
              </w:rPr>
              <w:t xml:space="preserve">Results › Characteristics of Included Studies, Abs. 1 und 3</w:t>
            </w:r>
          </w:p>
        </w:tc>
      </w:tr>
      <w:tr>
        <w:trPr>
          <w:cantSplit w:val="true"/>
        </w:trPr>
        <w:tc>
          <w:tcPr>
            <w:tcW w:type="dxa" w:w="2257"/>
          </w:tcPr>
          <w:p>
            <w:pPr>
              <w:pStyle w:val="Compact"/>
              <w:jc w:val="left"/>
            </w:pPr>
            <w:r>
              <w:rPr>
                <w:rFonts w:ascii="Arial" w:hAnsi="Arial"/>
                <w:sz w:val="18"/>
              </w:rPr>
              <w:t xml:space="preserve">Teilnehmende</w:t>
            </w:r>
          </w:p>
        </w:tc>
        <w:tc>
          <w:tcPr>
            <w:tcW w:type="dxa" w:w="8280"/>
          </w:tcPr>
          <w:p>
            <w:pPr>
              <w:pStyle w:val="Compact"/>
              <w:jc w:val="left"/>
            </w:pPr>
            <w:r>
              <w:rPr>
                <w:rFonts w:ascii="Arial" w:hAnsi="Arial"/>
                <w:sz w:val="18"/>
              </w:rPr>
              <w:t xml:space="preserve">46.029 über Interventions- und Kontrollarme summiert („summed across intervention and control arms“), Median 52,5 je Studie (IQR 28 bis 232, Spanne 10 bis 5.260), 91 von 142 Vergleichen mit unter 100 Teilnehmenden</w:t>
            </w:r>
          </w:p>
        </w:tc>
        <w:tc>
          <w:tcPr>
            <w:tcW w:type="dxa" w:w="4260"/>
          </w:tcPr>
          <w:p>
            <w:pPr>
              <w:pStyle w:val="Compact"/>
              <w:jc w:val="left"/>
            </w:pPr>
            <w:r>
              <w:rPr>
                <w:rFonts w:ascii="Arial" w:hAnsi="Arial"/>
                <w:sz w:val="18"/>
              </w:rPr>
              <w:t xml:space="preserve">Results › Characteristics of Study Populations, Abs. 1</w:t>
            </w:r>
          </w:p>
        </w:tc>
      </w:tr>
      <w:tr>
        <w:trPr>
          <w:cantSplit w:val="true"/>
        </w:trPr>
        <w:tc>
          <w:tcPr>
            <w:tcW w:type="dxa" w:w="2257"/>
            <w:shd w:val="clear" w:color="auto" w:fill="EEF3F9"/>
          </w:tcPr>
          <w:p>
            <w:pPr>
              <w:pStyle w:val="Compact"/>
              <w:jc w:val="left"/>
            </w:pPr>
            <w:r>
              <w:rPr>
                <w:rFonts w:ascii="Arial" w:hAnsi="Arial"/>
                <w:sz w:val="18"/>
              </w:rPr>
              <w:t xml:space="preserve">Alter, Geschlecht</w:t>
            </w:r>
          </w:p>
        </w:tc>
        <w:tc>
          <w:tcPr>
            <w:tcW w:type="dxa" w:w="8280"/>
            <w:shd w:val="clear" w:color="auto" w:fill="EEF3F9"/>
          </w:tcPr>
          <w:p>
            <w:pPr>
              <w:pStyle w:val="Compact"/>
              <w:jc w:val="left"/>
            </w:pPr>
            <w:r>
              <w:rPr>
                <w:rFonts w:ascii="Arial" w:hAnsi="Arial"/>
                <w:sz w:val="18"/>
              </w:rPr>
              <w:t xml:space="preserve">14,48 ± 2,07 Jahre · 59,1 % weiblich (115 von 116 Studien mit Angabe)</w:t>
            </w:r>
          </w:p>
        </w:tc>
        <w:tc>
          <w:tcPr>
            <w:tcW w:type="dxa" w:w="4260"/>
            <w:shd w:val="clear" w:color="auto" w:fill="EEF3F9"/>
          </w:tcPr>
          <w:p>
            <w:pPr>
              <w:pStyle w:val="Compact"/>
              <w:jc w:val="left"/>
            </w:pPr>
            <w:r>
              <w:rPr>
                <w:rFonts w:ascii="Arial" w:hAnsi="Arial"/>
                <w:sz w:val="18"/>
              </w:rPr>
              <w:t xml:space="preserve">ebd.</w:t>
            </w:r>
          </w:p>
        </w:tc>
      </w:tr>
      <w:tr>
        <w:trPr>
          <w:cantSplit w:val="true"/>
        </w:trPr>
        <w:tc>
          <w:tcPr>
            <w:tcW w:type="dxa" w:w="2257"/>
          </w:tcPr>
          <w:p>
            <w:pPr>
              <w:pStyle w:val="Compact"/>
              <w:jc w:val="left"/>
            </w:pPr>
            <w:r>
              <w:rPr>
                <w:rFonts w:ascii="Arial" w:hAnsi="Arial"/>
                <w:sz w:val="18"/>
              </w:rPr>
              <w:t xml:space="preserve">Zielgruppen, Diagnosen</w:t>
            </w:r>
          </w:p>
        </w:tc>
        <w:tc>
          <w:tcPr>
            <w:tcW w:type="dxa" w:w="8280"/>
          </w:tcPr>
          <w:p>
            <w:pPr>
              <w:pStyle w:val="Compact"/>
              <w:jc w:val="left"/>
            </w:pPr>
            <w:r>
              <w:rPr>
                <w:rFonts w:ascii="Arial" w:hAnsi="Arial"/>
                <w:sz w:val="18"/>
              </w:rPr>
              <w:t xml:space="preserve">Schüler, Studierende, Jugendliche außerhalb formaler Bildung, Berufsausbildung, Jugendgruppen, klinische Gruppen. Überwiegend ohne Diagnose, klinisch am häufigsten Übergewicht und Adipositas. Eine Gruppe von Nachwuchssportlern führt die Übersicht nicht</w:t>
            </w:r>
          </w:p>
        </w:tc>
        <w:tc>
          <w:tcPr>
            <w:tcW w:type="dxa" w:w="4260"/>
          </w:tcPr>
          <w:p>
            <w:pPr>
              <w:pStyle w:val="Compact"/>
              <w:jc w:val="left"/>
            </w:pPr>
            <w:r>
              <w:rPr>
                <w:rFonts w:ascii="Arial" w:hAnsi="Arial"/>
                <w:sz w:val="18"/>
              </w:rPr>
              <w:t xml:space="preserve">Methods › Data Extraction, Abs. 2 · Results › Characteristics of Study Populations, Abs. 2</w:t>
            </w:r>
          </w:p>
        </w:tc>
      </w:tr>
      <w:tr>
        <w:trPr>
          <w:cantSplit w:val="true"/>
        </w:trPr>
        <w:tc>
          <w:tcPr>
            <w:tcW w:type="dxa" w:w="2257"/>
            <w:shd w:val="clear" w:color="auto" w:fill="EEF3F9"/>
          </w:tcPr>
          <w:p>
            <w:pPr>
              <w:pStyle w:val="Compact"/>
              <w:jc w:val="left"/>
            </w:pPr>
            <w:r>
              <w:rPr>
                <w:rFonts w:ascii="Arial" w:hAnsi="Arial"/>
                <w:sz w:val="18"/>
              </w:rPr>
              <w:t xml:space="preserve">Dauer</w:t>
            </w:r>
          </w:p>
        </w:tc>
        <w:tc>
          <w:tcPr>
            <w:tcW w:type="dxa" w:w="8280"/>
            <w:shd w:val="clear" w:color="auto" w:fill="EEF3F9"/>
          </w:tcPr>
          <w:p>
            <w:pPr>
              <w:pStyle w:val="Compact"/>
              <w:jc w:val="left"/>
            </w:pPr>
            <w:r>
              <w:rPr>
                <w:rFonts w:ascii="Arial" w:hAnsi="Arial"/>
                <w:sz w:val="18"/>
              </w:rPr>
              <w:t xml:space="preserve">Median 84 Tage (IQR 42 bis 135, Spanne 2 bis 730): 1 bis 30 Tage 18,9 %, 1 bis 3 Monate 37,8 %, 3 bis 12 Monate 30,8 %, ab einem Jahr 2,8 %, ohne Angabe 9,8 % der Vergleiche</w:t>
            </w:r>
          </w:p>
        </w:tc>
        <w:tc>
          <w:tcPr>
            <w:tcW w:type="dxa" w:w="4260"/>
            <w:shd w:val="clear" w:color="auto" w:fill="EEF3F9"/>
          </w:tcPr>
          <w:p>
            <w:pPr>
              <w:pStyle w:val="Compact"/>
              <w:jc w:val="left"/>
            </w:pPr>
            <w:r>
              <w:rPr>
                <w:rFonts w:ascii="Arial" w:hAnsi="Arial"/>
                <w:sz w:val="18"/>
              </w:rPr>
              <w:t xml:space="preserve">Results › Characteristics of Included Studies, Abs. 3</w:t>
            </w:r>
          </w:p>
        </w:tc>
      </w:tr>
      <w:tr>
        <w:trPr>
          <w:cantSplit w:val="true"/>
        </w:trPr>
        <w:tc>
          <w:tcPr>
            <w:tcW w:type="dxa" w:w="2257"/>
          </w:tcPr>
          <w:p>
            <w:pPr>
              <w:pStyle w:val="Compact"/>
              <w:jc w:val="left"/>
            </w:pPr>
            <w:r>
              <w:rPr>
                <w:rFonts w:ascii="Arial" w:hAnsi="Arial"/>
                <w:sz w:val="18"/>
              </w:rPr>
              <w:t xml:space="preserve">Domänen</w:t>
            </w:r>
          </w:p>
        </w:tc>
        <w:tc>
          <w:tcPr>
            <w:tcW w:type="dxa" w:w="8280"/>
          </w:tcPr>
          <w:p>
            <w:pPr>
              <w:pStyle w:val="Compact"/>
              <w:jc w:val="left"/>
            </w:pPr>
            <w:r>
              <w:rPr>
                <w:rFonts w:ascii="Arial" w:hAnsi="Arial"/>
                <w:sz w:val="18"/>
              </w:rPr>
              <w:t xml:space="preserve">Bewegung 32 Studien (27,6 %), Mehrkomponenten 31 (26,7 %), Adipositas 19 (16,4 %), Tabak 14 (12,1 %), Ernährung 10 (8,6 %), Alkohol 10 (8,6 %)</w:t>
            </w:r>
          </w:p>
        </w:tc>
        <w:tc>
          <w:tcPr>
            <w:tcW w:type="dxa" w:w="4260"/>
          </w:tcPr>
          <w:p>
            <w:pPr>
              <w:pStyle w:val="Compact"/>
              <w:jc w:val="left"/>
            </w:pPr>
            <w:r>
              <w:rPr>
                <w:rFonts w:ascii="Arial" w:hAnsi="Arial"/>
                <w:sz w:val="18"/>
              </w:rPr>
              <w:t xml:space="preserve">Results › Characteristics of Health Domains, Abs. 1</w:t>
            </w:r>
          </w:p>
        </w:tc>
      </w:tr>
      <w:tr>
        <w:trPr>
          <w:cantSplit w:val="true"/>
        </w:trPr>
        <w:tc>
          <w:tcPr>
            <w:tcW w:type="dxa" w:w="2257"/>
            <w:shd w:val="clear" w:color="auto" w:fill="EEF3F9"/>
          </w:tcPr>
          <w:p>
            <w:pPr>
              <w:pStyle w:val="Compact"/>
              <w:jc w:val="left"/>
            </w:pPr>
            <w:r>
              <w:rPr>
                <w:rFonts w:ascii="Arial" w:hAnsi="Arial"/>
                <w:sz w:val="18"/>
              </w:rPr>
              <w:t xml:space="preserve">Setting, Vermittlung</w:t>
            </w:r>
          </w:p>
        </w:tc>
        <w:tc>
          <w:tcPr>
            <w:tcW w:type="dxa" w:w="8280"/>
            <w:shd w:val="clear" w:color="auto" w:fill="EEF3F9"/>
          </w:tcPr>
          <w:p>
            <w:pPr>
              <w:pStyle w:val="Compact"/>
              <w:jc w:val="left"/>
            </w:pPr>
            <w:r>
              <w:rPr>
                <w:rFonts w:ascii="Arial" w:hAnsi="Arial"/>
                <w:sz w:val="18"/>
              </w:rPr>
              <w:t xml:space="preserve">ortsunabhängig 49,7 %, Schule 23,1 %, zu Hause 13,3 %, Klinik 7,7 %, Gemeinde 3,5 %, kombiniert 2,8 % · App 35,7 %, Web 35 %, Wearable mit Plattform 9,1 %, nur SMS 7,7 %, Computer 6,3 %, gemischt 5,6 %, VR 0,7 % der Vergleiche. Video ist keine eigene Kategorie</w:t>
            </w:r>
          </w:p>
        </w:tc>
        <w:tc>
          <w:tcPr>
            <w:tcW w:type="dxa" w:w="4260"/>
            <w:shd w:val="clear" w:color="auto" w:fill="EEF3F9"/>
          </w:tcPr>
          <w:p>
            <w:pPr>
              <w:pStyle w:val="Compact"/>
              <w:jc w:val="left"/>
            </w:pPr>
            <w:r>
              <w:rPr>
                <w:rFonts w:ascii="Arial" w:hAnsi="Arial"/>
                <w:sz w:val="18"/>
              </w:rPr>
              <w:t xml:space="preserve">Results › Characteristics of Digital Interventions, Abs. 1 und 2</w:t>
            </w:r>
          </w:p>
        </w:tc>
      </w:tr>
      <w:tr>
        <w:trPr>
          <w:cantSplit w:val="true"/>
        </w:trPr>
        <w:tc>
          <w:tcPr>
            <w:tcW w:type="dxa" w:w="2257"/>
          </w:tcPr>
          <w:p>
            <w:pPr>
              <w:pStyle w:val="Compact"/>
              <w:jc w:val="left"/>
            </w:pPr>
            <w:r>
              <w:rPr>
                <w:rFonts w:ascii="Arial" w:hAnsi="Arial"/>
                <w:sz w:val="18"/>
              </w:rPr>
              <w:t xml:space="preserve">Persönliche Unterstützung</w:t>
            </w:r>
          </w:p>
        </w:tc>
        <w:tc>
          <w:tcPr>
            <w:tcW w:type="dxa" w:w="8280"/>
          </w:tcPr>
          <w:p>
            <w:pPr>
              <w:pStyle w:val="Compact"/>
              <w:jc w:val="left"/>
            </w:pPr>
            <w:r>
              <w:rPr>
                <w:rFonts w:ascii="Arial" w:hAnsi="Arial"/>
                <w:sz w:val="18"/>
              </w:rPr>
              <w:t xml:space="preserve">in 72 Vergleichen (50,3 %), meist Kontakt zum Studienteam, Fachpersonen oder Coaching, sonst keine oder nur automatische Erinnerungen</w:t>
            </w:r>
          </w:p>
        </w:tc>
        <w:tc>
          <w:tcPr>
            <w:tcW w:type="dxa" w:w="4260"/>
          </w:tcPr>
          <w:p>
            <w:pPr>
              <w:pStyle w:val="Compact"/>
              <w:jc w:val="left"/>
            </w:pPr>
            <w:r>
              <w:rPr>
                <w:rFonts w:ascii="Arial" w:hAnsi="Arial"/>
                <w:sz w:val="18"/>
              </w:rPr>
              <w:t xml:space="preserve">ebd., Abs. 3</w:t>
            </w:r>
          </w:p>
        </w:tc>
      </w:tr>
      <w:tr>
        <w:trPr>
          <w:cantSplit w:val="true"/>
        </w:trPr>
        <w:tc>
          <w:tcPr>
            <w:tcW w:type="dxa" w:w="2257"/>
            <w:shd w:val="clear" w:color="auto" w:fill="EEF3F9"/>
          </w:tcPr>
          <w:p>
            <w:pPr>
              <w:pStyle w:val="Compact"/>
              <w:jc w:val="left"/>
            </w:pPr>
            <w:r>
              <w:rPr>
                <w:rFonts w:ascii="Arial" w:hAnsi="Arial"/>
                <w:sz w:val="18"/>
              </w:rPr>
              <w:t xml:space="preserve">Anreize</w:t>
            </w:r>
          </w:p>
        </w:tc>
        <w:tc>
          <w:tcPr>
            <w:tcW w:type="dxa" w:w="8280"/>
            <w:shd w:val="clear" w:color="auto" w:fill="EEF3F9"/>
          </w:tcPr>
          <w:p>
            <w:pPr>
              <w:pStyle w:val="Compact"/>
              <w:jc w:val="left"/>
            </w:pPr>
            <w:r>
              <w:rPr>
                <w:rFonts w:ascii="Arial" w:hAnsi="Arial"/>
                <w:sz w:val="18"/>
              </w:rPr>
              <w:t xml:space="preserve">keine 55,2 %, monetär oder materiell 30,8 %, nicht monetär 14 % der Vergleiche</w:t>
            </w:r>
          </w:p>
        </w:tc>
        <w:tc>
          <w:tcPr>
            <w:tcW w:type="dxa" w:w="4260"/>
            <w:shd w:val="clear" w:color="auto" w:fill="EEF3F9"/>
          </w:tcPr>
          <w:p>
            <w:pPr>
              <w:pStyle w:val="Compact"/>
              <w:jc w:val="left"/>
            </w:pPr>
            <w:r>
              <w:rPr>
                <w:rFonts w:ascii="Arial" w:hAnsi="Arial"/>
                <w:sz w:val="18"/>
              </w:rPr>
              <w:t xml:space="preserve">Results › Characteristics of Included Studies, Abs. 3</w:t>
            </w:r>
          </w:p>
        </w:tc>
      </w:tr>
      <w:tr>
        <w:trPr>
          <w:cantSplit w:val="true"/>
        </w:trPr>
        <w:tc>
          <w:tcPr>
            <w:tcW w:type="dxa" w:w="2257"/>
          </w:tcPr>
          <w:p>
            <w:pPr>
              <w:pStyle w:val="Compact"/>
              <w:jc w:val="left"/>
            </w:pPr>
            <w:r>
              <w:rPr>
                <w:rFonts w:ascii="Arial" w:hAnsi="Arial"/>
                <w:sz w:val="18"/>
              </w:rPr>
              <w:t xml:space="preserve">Wirksamkeit</w:t>
            </w:r>
          </w:p>
        </w:tc>
        <w:tc>
          <w:tcPr>
            <w:tcW w:type="dxa" w:w="8280"/>
          </w:tcPr>
          <w:p>
            <w:pPr>
              <w:pStyle w:val="Compact"/>
              <w:jc w:val="left"/>
            </w:pPr>
            <w:r>
              <w:rPr>
                <w:rFonts w:ascii="Arial" w:hAnsi="Arial"/>
                <w:sz w:val="18"/>
              </w:rPr>
              <w:t xml:space="preserve">52,8 % (47 von 89) der darauf geprüften Programme erreichten ihre primären Endpunkte, getrennt von der Adhärenz bewertet</w:t>
            </w:r>
          </w:p>
        </w:tc>
        <w:tc>
          <w:tcPr>
            <w:tcW w:type="dxa" w:w="4260"/>
          </w:tcPr>
          <w:p>
            <w:pPr>
              <w:pStyle w:val="Compact"/>
              <w:jc w:val="left"/>
            </w:pPr>
            <w:r>
              <w:rPr>
                <w:rFonts w:ascii="Arial" w:hAnsi="Arial"/>
                <w:sz w:val="18"/>
              </w:rPr>
              <w:t xml:space="preserve">Results › Characteristics of Digital Interventions, Abs. 4</w:t>
            </w:r>
          </w:p>
        </w:tc>
      </w:tr>
      <w:tr>
        <w:trPr>
          <w:cantSplit w:val="true"/>
        </w:trPr>
        <w:tc>
          <w:tcPr>
            <w:tcW w:type="dxa" w:w="2257"/>
            <w:shd w:val="clear" w:color="auto" w:fill="EEF3F9"/>
          </w:tcPr>
          <w:p>
            <w:pPr>
              <w:pStyle w:val="Compact"/>
              <w:jc w:val="left"/>
            </w:pPr>
            <w:r>
              <w:rPr>
                <w:rFonts w:ascii="Arial" w:hAnsi="Arial"/>
                <w:sz w:val="18"/>
              </w:rPr>
              <w:t xml:space="preserve">Synthese</w:t>
            </w:r>
          </w:p>
        </w:tc>
        <w:tc>
          <w:tcPr>
            <w:tcW w:type="dxa" w:w="8280"/>
            <w:shd w:val="clear" w:color="auto" w:fill="EEF3F9"/>
          </w:tcPr>
          <w:p>
            <w:pPr>
              <w:pStyle w:val="Compact"/>
              <w:jc w:val="left"/>
            </w:pPr>
            <w:r>
              <w:rPr>
                <w:rFonts w:ascii="Arial" w:hAnsi="Arial"/>
                <w:sz w:val="18"/>
              </w:rPr>
              <w:t xml:space="preserve">narrative Synthese der Einflussfaktoren nach Evidenzart, SWiM · Metaanalyse des Studienabbruchs (logit, Zufallseffekte, REML, Knapp-Hartung, Prognoseintervall, Sensitivität mit binomial-normalem Modell und Dreiebenenmodell, Metaregression, Egger-Test), R 4.5.3</w:t>
            </w:r>
          </w:p>
        </w:tc>
        <w:tc>
          <w:tcPr>
            <w:tcW w:type="dxa" w:w="4260"/>
            <w:shd w:val="clear" w:color="auto" w:fill="EEF3F9"/>
          </w:tcPr>
          <w:p>
            <w:pPr>
              <w:pStyle w:val="Compact"/>
              <w:jc w:val="left"/>
            </w:pPr>
            <w:r>
              <w:rPr>
                <w:rFonts w:ascii="Arial" w:hAnsi="Arial"/>
                <w:sz w:val="18"/>
              </w:rPr>
              <w:t xml:space="preserve">Methods › Data Synthesis, Abs. 1 bis 3</w:t>
            </w:r>
          </w:p>
        </w:tc>
      </w:tr>
      <w:tr>
        <w:trPr>
          <w:cantSplit w:val="true"/>
        </w:trPr>
        <w:tc>
          <w:tcPr>
            <w:tcW w:type="dxa" w:w="2257"/>
          </w:tcPr>
          <w:p>
            <w:pPr>
              <w:pStyle w:val="Compact"/>
              <w:jc w:val="left"/>
            </w:pPr>
            <w:r>
              <w:rPr>
                <w:rFonts w:ascii="Arial" w:hAnsi="Arial"/>
                <w:sz w:val="18"/>
              </w:rPr>
              <w:t xml:space="preserve">Herkunft</w:t>
            </w:r>
          </w:p>
        </w:tc>
        <w:tc>
          <w:tcPr>
            <w:tcW w:type="dxa" w:w="8280"/>
          </w:tcPr>
          <w:p>
            <w:pPr>
              <w:pStyle w:val="Compact"/>
              <w:jc w:val="left"/>
            </w:pPr>
            <w:r>
              <w:rPr>
                <w:rFonts w:ascii="Arial" w:hAnsi="Arial"/>
                <w:sz w:val="18"/>
              </w:rPr>
              <w:t xml:space="preserve">Projekt SUNRISE (Horizon Europe), Domänen nach ihrer Rolle für die Krebsprävention gewählt, 26 Länder, 43,1 % der Studien aus den USA</w:t>
            </w:r>
          </w:p>
        </w:tc>
        <w:tc>
          <w:tcPr>
            <w:tcW w:type="dxa" w:w="4260"/>
          </w:tcPr>
          <w:p>
            <w:pPr>
              <w:pStyle w:val="Compact"/>
              <w:jc w:val="left"/>
            </w:pPr>
            <w:r>
              <w:rPr>
                <w:rFonts w:ascii="Arial" w:hAnsi="Arial"/>
                <w:sz w:val="18"/>
              </w:rPr>
              <w:t xml:space="preserve">Methods › Eligibility Criteria, Abs. 1 · Results › Characteristics of Included Studies, Abs. 2</w:t>
            </w:r>
          </w:p>
        </w:tc>
      </w:tr>
    </w:tbl>
    <w:bookmarkEnd w:id="24"/>
    <w:bookmarkStart w:id="28" w:name="Xdd33e491f27b9126e83e27b10bb141de9ffb333"/>
    <w:p>
      <w:pPr>
        <w:pStyle w:val="Heading2"/>
      </w:pPr>
      <w:r>
        <w:rPr>
          <w:rFonts w:ascii="Arial" w:hAnsi="Arial"/>
        </w:rPr>
        <w:t xml:space="preserve">3 Definitionen und Zuordnung der eigenen Maße</w:t>
      </w:r>
    </w:p>
    <w:bookmarkStart w:id="25" w:name="definitionen-der-übersicht"/>
    <w:p>
      <w:pPr>
        <w:pStyle w:val="Heading3"/>
      </w:pPr>
      <w:r>
        <w:rPr>
          <w:rFonts w:ascii="Arial" w:hAnsi="Arial"/>
        </w:rPr>
        <w:t xml:space="preserve">3.1 Definitionen der Übersicht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315"/>
        <w:gridCol w:w="8034"/>
        <w:gridCol w:w="3448"/>
      </w:tblGrid>
      <w:tr>
        <w:trPr>
          <w:tblHeader w:val="true"/>
          <w:tblHeader w:val="true"/>
          <w:cantSplit w:val="true"/>
        </w:trPr>
        <w:tc>
          <w:tcPr>
            <w:tcW w:type="dxa" w:w="3315"/>
            <w:shd w:val="clear" w:color="auto" w:fill="D6E4F0"/>
          </w:tcPr>
          <w:p>
            <w:pPr>
              <w:pStyle w:val="Compact"/>
              <w:jc w:val="left"/>
            </w:pPr>
            <w:r>
              <w:rPr>
                <w:rFonts w:ascii="Arial" w:hAnsi="Arial"/>
                <w:b/>
                <w:sz w:val="18"/>
              </w:rPr>
              <w:t xml:space="preserve">Maß</w:t>
            </w:r>
          </w:p>
        </w:tc>
        <w:tc>
          <w:tcPr>
            <w:tcW w:type="dxa" w:w="8034"/>
            <w:shd w:val="clear" w:color="auto" w:fill="D6E4F0"/>
          </w:tcPr>
          <w:p>
            <w:pPr>
              <w:pStyle w:val="Compact"/>
              <w:jc w:val="left"/>
            </w:pPr>
            <w:r>
              <w:rPr>
                <w:rFonts w:ascii="Arial" w:hAnsi="Arial"/>
                <w:b/>
                <w:sz w:val="18"/>
              </w:rPr>
              <w:t xml:space="preserve">Definition</w:t>
            </w:r>
          </w:p>
        </w:tc>
        <w:tc>
          <w:tcPr>
            <w:tcW w:type="dxa" w:w="3448"/>
            <w:shd w:val="clear" w:color="auto" w:fill="D6E4F0"/>
          </w:tcPr>
          <w:p>
            <w:pPr>
              <w:pStyle w:val="Compact"/>
              <w:jc w:val="left"/>
            </w:pPr>
            <w:r>
              <w:rPr>
                <w:rFonts w:ascii="Arial" w:hAnsi="Arial"/>
                <w:b/>
                <w:sz w:val="18"/>
              </w:rPr>
              <w:t xml:space="preserve">Fundstelle</w:t>
            </w:r>
          </w:p>
        </w:tc>
      </w:tr>
      <w:tr>
        <w:trPr>
          <w:cantSplit w:val="true"/>
        </w:trPr>
        <w:tc>
          <w:tcPr>
            <w:tcW w:type="dxa" w:w="3315"/>
          </w:tcPr>
          <w:p>
            <w:pPr>
              <w:pStyle w:val="Compact"/>
              <w:jc w:val="left"/>
            </w:pPr>
            <w:r>
              <w:rPr>
                <w:rFonts w:ascii="Arial" w:hAnsi="Arial"/>
                <w:sz w:val="18"/>
              </w:rPr>
              <w:t xml:space="preserve">Adhärenz</w:t>
            </w:r>
          </w:p>
        </w:tc>
        <w:tc>
          <w:tcPr>
            <w:tcW w:type="dxa" w:w="8034"/>
          </w:tcPr>
          <w:p>
            <w:pPr>
              <w:pStyle w:val="Compact"/>
              <w:jc w:val="left"/>
            </w:pPr>
            <w:r>
              <w:rPr>
                <w:rFonts w:ascii="Arial" w:hAnsi="Arial"/>
                <w:sz w:val="18"/>
              </w:rPr>
              <w:t xml:space="preserve">verhaltensbezogenes Engagement: Ausmaß, in dem Jugendliche das Programm nutzen „as intended by the developers“, einschließlich Häufigkeit, Erledigung vorgegebener Aktivitäten und Teilnahme über die vorgesehene Dauer. Erlebensbezogenes Engagement ist ausgeklammert</w:t>
            </w:r>
          </w:p>
        </w:tc>
        <w:tc>
          <w:tcPr>
            <w:tcW w:type="dxa" w:w="3448"/>
          </w:tcPr>
          <w:p>
            <w:pPr>
              <w:pStyle w:val="Compact"/>
              <w:jc w:val="left"/>
            </w:pPr>
            <w:r>
              <w:rPr>
                <w:rFonts w:ascii="Arial" w:hAnsi="Arial"/>
                <w:sz w:val="18"/>
              </w:rPr>
              <w:t xml:space="preserve">Introduction, Abs. 2 · Methods › Data Synthesis, Abs. 1</w:t>
            </w:r>
          </w:p>
        </w:tc>
      </w:tr>
      <w:tr>
        <w:trPr>
          <w:cantSplit w:val="true"/>
        </w:trPr>
        <w:tc>
          <w:tcPr>
            <w:tcW w:type="dxa" w:w="3315"/>
            <w:shd w:val="clear" w:color="auto" w:fill="EEF3F9"/>
          </w:tcPr>
          <w:p>
            <w:pPr>
              <w:pStyle w:val="Compact"/>
              <w:jc w:val="left"/>
            </w:pPr>
            <w:r>
              <w:rPr>
                <w:rFonts w:ascii="Arial" w:hAnsi="Arial"/>
                <w:sz w:val="18"/>
              </w:rPr>
              <w:t xml:space="preserve">Vorgesehene Nutzung</w:t>
            </w:r>
          </w:p>
        </w:tc>
        <w:tc>
          <w:tcPr>
            <w:tcW w:type="dxa" w:w="8034"/>
            <w:shd w:val="clear" w:color="auto" w:fill="EEF3F9"/>
          </w:tcPr>
          <w:p>
            <w:pPr>
              <w:pStyle w:val="Compact"/>
              <w:jc w:val="left"/>
            </w:pPr>
            <w:r>
              <w:rPr>
                <w:rFonts w:ascii="Arial" w:hAnsi="Arial"/>
                <w:sz w:val="18"/>
              </w:rPr>
              <w:t xml:space="preserve">Mindestmaß an Nutzung, das die Entwickler als nötig für die Adhärenz festlegten, gegenüber der gemessenen tatsächlichen Nutzung</w:t>
            </w:r>
          </w:p>
        </w:tc>
        <w:tc>
          <w:tcPr>
            <w:tcW w:type="dxa" w:w="3448"/>
            <w:shd w:val="clear" w:color="auto" w:fill="EEF3F9"/>
          </w:tcPr>
          <w:p>
            <w:pPr>
              <w:pStyle w:val="Compact"/>
              <w:jc w:val="left"/>
            </w:pPr>
            <w:r>
              <w:rPr>
                <w:rFonts w:ascii="Arial" w:hAnsi="Arial"/>
                <w:sz w:val="18"/>
              </w:rPr>
              <w:t xml:space="preserve">Methods › Eligibility Criteria, Abs. 3</w:t>
            </w:r>
          </w:p>
        </w:tc>
      </w:tr>
      <w:tr>
        <w:trPr>
          <w:cantSplit w:val="true"/>
        </w:trPr>
        <w:tc>
          <w:tcPr>
            <w:tcW w:type="dxa" w:w="3315"/>
          </w:tcPr>
          <w:p>
            <w:pPr>
              <w:pStyle w:val="Compact"/>
              <w:jc w:val="left"/>
            </w:pPr>
            <w:r>
              <w:rPr>
                <w:rFonts w:ascii="Arial" w:hAnsi="Arial"/>
                <w:sz w:val="18"/>
              </w:rPr>
              <w:t xml:space="preserve">Abschlussrate</w:t>
            </w:r>
          </w:p>
        </w:tc>
        <w:tc>
          <w:tcPr>
            <w:tcW w:type="dxa" w:w="8034"/>
          </w:tcPr>
          <w:p>
            <w:pPr>
              <w:pStyle w:val="Compact"/>
              <w:jc w:val="left"/>
            </w:pPr>
            <w:r>
              <w:rPr>
                <w:rFonts w:ascii="Arial" w:hAnsi="Arial"/>
                <w:sz w:val="18"/>
              </w:rPr>
              <w:t xml:space="preserve">Anteil der Teilnehmenden, „who completed the entire intervention program“, binär</w:t>
            </w:r>
          </w:p>
        </w:tc>
        <w:tc>
          <w:tcPr>
            <w:tcW w:type="dxa" w:w="3448"/>
          </w:tcPr>
          <w:p>
            <w:pPr>
              <w:pStyle w:val="Compact"/>
              <w:jc w:val="left"/>
            </w:pPr>
            <w:r>
              <w:rPr>
                <w:rFonts w:ascii="Arial" w:hAnsi="Arial"/>
                <w:sz w:val="18"/>
              </w:rPr>
              <w:t xml:space="preserve">Methods › Data Synthesis, Abs. 1</w:t>
            </w:r>
          </w:p>
        </w:tc>
      </w:tr>
      <w:tr>
        <w:trPr>
          <w:cantSplit w:val="true"/>
        </w:trPr>
        <w:tc>
          <w:tcPr>
            <w:tcW w:type="dxa" w:w="3315"/>
            <w:shd w:val="clear" w:color="auto" w:fill="EEF3F9"/>
          </w:tcPr>
          <w:p>
            <w:pPr>
              <w:pStyle w:val="Compact"/>
              <w:jc w:val="left"/>
            </w:pPr>
            <w:r>
              <w:rPr>
                <w:rFonts w:ascii="Arial" w:hAnsi="Arial"/>
                <w:sz w:val="18"/>
              </w:rPr>
              <w:t xml:space="preserve">Bestandteil-Adhärenz</w:t>
            </w:r>
          </w:p>
        </w:tc>
        <w:tc>
          <w:tcPr>
            <w:tcW w:type="dxa" w:w="8034"/>
            <w:shd w:val="clear" w:color="auto" w:fill="EEF3F9"/>
          </w:tcPr>
          <w:p>
            <w:pPr>
              <w:pStyle w:val="Compact"/>
              <w:jc w:val="left"/>
            </w:pPr>
            <w:r>
              <w:rPr>
                <w:rFonts w:ascii="Arial" w:hAnsi="Arial"/>
                <w:sz w:val="18"/>
              </w:rPr>
              <w:t xml:space="preserve">„mean proportion of individual intervention components completed by participants“, stetig. Was ein Bestandteil ist (Modul, Einheit, Nachricht), regeln die Einzelstudien</w:t>
            </w:r>
          </w:p>
        </w:tc>
        <w:tc>
          <w:tcPr>
            <w:tcW w:type="dxa" w:w="3448"/>
            <w:shd w:val="clear" w:color="auto" w:fill="EEF3F9"/>
          </w:tcPr>
          <w:p>
            <w:pPr>
              <w:pStyle w:val="Compact"/>
              <w:jc w:val="left"/>
            </w:pPr>
            <w:r>
              <w:rPr>
                <w:rFonts w:ascii="Arial" w:hAnsi="Arial"/>
                <w:sz w:val="18"/>
              </w:rPr>
              <w:t xml:space="preserve">ebd.</w:t>
            </w:r>
          </w:p>
        </w:tc>
      </w:tr>
      <w:tr>
        <w:trPr>
          <w:cantSplit w:val="true"/>
        </w:trPr>
        <w:tc>
          <w:tcPr>
            <w:tcW w:type="dxa" w:w="3315"/>
          </w:tcPr>
          <w:p>
            <w:pPr>
              <w:pStyle w:val="Compact"/>
              <w:jc w:val="left"/>
            </w:pPr>
            <w:r>
              <w:rPr>
                <w:rFonts w:ascii="Arial" w:hAnsi="Arial"/>
                <w:sz w:val="18"/>
              </w:rPr>
              <w:t xml:space="preserve">Studienabbruch</w:t>
            </w:r>
          </w:p>
        </w:tc>
        <w:tc>
          <w:tcPr>
            <w:tcW w:type="dxa" w:w="8034"/>
          </w:tcPr>
          <w:p>
            <w:pPr>
              <w:pStyle w:val="Compact"/>
              <w:jc w:val="left"/>
            </w:pPr>
            <w:r>
              <w:rPr>
                <w:rFonts w:ascii="Arial" w:hAnsi="Arial"/>
                <w:sz w:val="18"/>
              </w:rPr>
              <w:t xml:space="preserve">Anteil der eingeschlossenen Teilnehmenden, die während der Intervention verloren gingen, je Interventionsarm</w:t>
            </w:r>
          </w:p>
        </w:tc>
        <w:tc>
          <w:tcPr>
            <w:tcW w:type="dxa" w:w="3448"/>
          </w:tcPr>
          <w:p>
            <w:pPr>
              <w:pStyle w:val="Compact"/>
              <w:jc w:val="left"/>
            </w:pPr>
            <w:r>
              <w:rPr>
                <w:rFonts w:ascii="Arial" w:hAnsi="Arial"/>
                <w:sz w:val="18"/>
              </w:rPr>
              <w:t xml:space="preserve">Methods › Data Synthesis, Abs. 3</w:t>
            </w:r>
          </w:p>
        </w:tc>
      </w:tr>
      <w:tr>
        <w:trPr>
          <w:cantSplit w:val="true"/>
        </w:trPr>
        <w:tc>
          <w:tcPr>
            <w:tcW w:type="dxa" w:w="3315"/>
            <w:shd w:val="clear" w:color="auto" w:fill="EEF3F9"/>
          </w:tcPr>
          <w:p>
            <w:pPr>
              <w:pStyle w:val="Compact"/>
              <w:jc w:val="left"/>
            </w:pPr>
            <w:r>
              <w:rPr>
                <w:rFonts w:ascii="Arial" w:hAnsi="Arial"/>
                <w:sz w:val="18"/>
              </w:rPr>
              <w:t xml:space="preserve">Evidenzarten der Faktoren</w:t>
            </w:r>
          </w:p>
        </w:tc>
        <w:tc>
          <w:tcPr>
            <w:tcW w:type="dxa" w:w="8034"/>
            <w:shd w:val="clear" w:color="auto" w:fill="EEF3F9"/>
          </w:tcPr>
          <w:p>
            <w:pPr>
              <w:pStyle w:val="Compact"/>
              <w:jc w:val="left"/>
            </w:pPr>
            <w:r>
              <w:rPr>
                <w:rFonts w:ascii="Arial" w:hAnsi="Arial"/>
                <w:sz w:val="18"/>
              </w:rPr>
              <w:t xml:space="preserve">statistisch (inferenzstatistisch, p &lt; 0,05) · beschreibend (Muster ohne Test) · qualitativ (Interviews, Fokusgruppen, offene Antworten)</w:t>
            </w:r>
          </w:p>
        </w:tc>
        <w:tc>
          <w:tcPr>
            <w:tcW w:type="dxa" w:w="3448"/>
            <w:shd w:val="clear" w:color="auto" w:fill="EEF3F9"/>
          </w:tcPr>
          <w:p>
            <w:pPr>
              <w:pStyle w:val="Compact"/>
              <w:jc w:val="left"/>
            </w:pPr>
            <w:r>
              <w:rPr>
                <w:rFonts w:ascii="Arial" w:hAnsi="Arial"/>
                <w:sz w:val="18"/>
              </w:rPr>
              <w:t xml:space="preserve">Methods › Data Synthesis, Abs. 1 und 2</w:t>
            </w:r>
          </w:p>
        </w:tc>
      </w:tr>
    </w:tbl>
    <w:bookmarkEnd w:id="25"/>
    <w:bookmarkStart w:id="26" w:name="eigene-gegenstücke"/>
    <w:p>
      <w:pPr>
        <w:pStyle w:val="Heading3"/>
      </w:pPr>
      <w:r>
        <w:rPr>
          <w:rFonts w:ascii="Arial" w:hAnsi="Arial"/>
        </w:rPr>
        <w:t xml:space="preserve">3.2 Eigene Gegenstücke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76"/>
        <w:gridCol w:w="2809"/>
        <w:gridCol w:w="4189"/>
        <w:gridCol w:w="5122"/>
      </w:tblGrid>
      <w:tr>
        <w:trPr>
          <w:tblHeader w:val="true"/>
          <w:tblHeader w:val="true"/>
          <w:cantSplit w:val="true"/>
        </w:trPr>
        <w:tc>
          <w:tcPr>
            <w:tcW w:type="dxa" w:w="2676"/>
            <w:shd w:val="clear" w:color="auto" w:fill="D6E4F0"/>
          </w:tcPr>
          <w:p>
            <w:pPr>
              <w:pStyle w:val="Compact"/>
              <w:jc w:val="left"/>
            </w:pPr>
            <w:r>
              <w:rPr>
                <w:rFonts w:ascii="Arial" w:hAnsi="Arial"/>
                <w:b/>
                <w:sz w:val="18"/>
              </w:rPr>
              <w:t xml:space="preserve">Maß der Übersicht</w:t>
            </w:r>
          </w:p>
        </w:tc>
        <w:tc>
          <w:tcPr>
            <w:tcW w:type="dxa" w:w="2809"/>
            <w:shd w:val="clear" w:color="auto" w:fill="D6E4F0"/>
          </w:tcPr>
          <w:p>
            <w:pPr>
              <w:pStyle w:val="Compact"/>
              <w:jc w:val="left"/>
            </w:pPr>
            <w:r>
              <w:rPr>
                <w:rFonts w:ascii="Arial" w:hAnsi="Arial"/>
                <w:b/>
                <w:sz w:val="18"/>
              </w:rPr>
              <w:t xml:space="preserve">eigenes Gegenstück</w:t>
            </w:r>
          </w:p>
        </w:tc>
        <w:tc>
          <w:tcPr>
            <w:tcW w:type="dxa" w:w="4189"/>
            <w:shd w:val="clear" w:color="auto" w:fill="D6E4F0"/>
          </w:tcPr>
          <w:p>
            <w:pPr>
              <w:pStyle w:val="Compact"/>
              <w:jc w:val="left"/>
            </w:pPr>
            <w:r>
              <w:rPr>
                <w:rFonts w:ascii="Arial" w:hAnsi="Arial"/>
                <w:b/>
                <w:sz w:val="18"/>
              </w:rPr>
              <w:t xml:space="preserve">Kennung und Wert</w:t>
            </w:r>
          </w:p>
        </w:tc>
        <w:tc>
          <w:tcPr>
            <w:tcW w:type="dxa" w:w="5122"/>
            <w:shd w:val="clear" w:color="auto" w:fill="D6E4F0"/>
          </w:tcPr>
          <w:p>
            <w:pPr>
              <w:pStyle w:val="Compact"/>
              <w:jc w:val="left"/>
            </w:pPr>
            <w:r>
              <w:rPr>
                <w:rFonts w:ascii="Arial" w:hAnsi="Arial"/>
                <w:b/>
                <w:sz w:val="18"/>
              </w:rPr>
              <w:t xml:space="preserve">Abweichung</w:t>
            </w:r>
          </w:p>
        </w:tc>
      </w:tr>
      <w:tr>
        <w:trPr>
          <w:cantSplit w:val="true"/>
        </w:trPr>
        <w:tc>
          <w:tcPr>
            <w:tcW w:type="dxa" w:w="2676"/>
          </w:tcPr>
          <w:p>
            <w:pPr>
              <w:pStyle w:val="Compact"/>
              <w:jc w:val="left"/>
            </w:pPr>
            <w:r>
              <w:rPr>
                <w:rFonts w:ascii="Arial" w:hAnsi="Arial"/>
                <w:sz w:val="18"/>
              </w:rPr>
              <w:t xml:space="preserve">Bestandteil-Adhärenz</w:t>
            </w:r>
          </w:p>
        </w:tc>
        <w:tc>
          <w:tcPr>
            <w:tcW w:type="dxa" w:w="2809"/>
          </w:tcPr>
          <w:p>
            <w:pPr>
              <w:pStyle w:val="Compact"/>
              <w:jc w:val="left"/>
            </w:pPr>
            <w:r>
              <w:rPr>
                <w:rFonts w:ascii="Arial" w:hAnsi="Arial"/>
                <w:sz w:val="18"/>
              </w:rPr>
              <w:t xml:space="preserve">Umsetzungsrate: Meldungen „ganz“ je angebotene Einheit über alle zugeteilten Spieler</w:t>
            </w:r>
          </w:p>
        </w:tc>
        <w:tc>
          <w:tcPr>
            <w:tcW w:type="dxa" w:w="4189"/>
          </w:tcPr>
          <w:p>
            <w:pPr>
              <w:pStyle w:val="Compact"/>
              <w:jc w:val="left"/>
            </w:pPr>
            <w:r>
              <w:rPr>
                <w:rFonts w:ascii="Arial" w:hAnsi="Arial"/>
                <w:sz w:val="18"/>
              </w:rPr>
              <w:t xml:space="preserve">K-10.5: 92 Einheiten, 42,6 % (Nenner K-10.4: 18 Spieler mit je 12 Einheiten) · K-10.7 Untergrenzen 41,7 % und 39,8 % · K-10.6 mit „teilweise“ 45,4 % · K-10.8 Mittel 5,11 Einheiten je Spieler</w:t>
            </w:r>
          </w:p>
        </w:tc>
        <w:tc>
          <w:tcPr>
            <w:tcW w:type="dxa" w:w="5122"/>
          </w:tcPr>
          <w:p>
            <w:pPr>
              <w:pStyle w:val="Compact"/>
              <w:jc w:val="left"/>
            </w:pPr>
            <w:r>
              <w:rPr>
                <w:rFonts w:ascii="Arial" w:hAnsi="Arial"/>
                <w:sz w:val="18"/>
              </w:rPr>
              <w:t xml:space="preserve">Bei gleichem Nenner je Spieler ist die Umsetzungsrate rechnerisch das Mittel der Anteile je Spieler, also wie die Bestandteil-Adhärenz gebaut. Abweichend: Bestandteil ist hier immer eine ganze Trainingseinheit, erfasst ist Selbstauskunft je Einheit, Nenner sind alle Zugeteilten einschließlich dreier ohne jede Meldung (K-10.9: 15 von 18 mit Meldung, darunter BW-21 ohne Listenplatz, K-01.19, K-01.20). Die Bezugsmenge der Übersicht ist nicht berichtet. Distanz Umsetzungsmaß 1</w:t>
            </w:r>
          </w:p>
        </w:tc>
      </w:tr>
      <w:tr>
        <w:trPr>
          <w:cantSplit w:val="true"/>
        </w:trPr>
        <w:tc>
          <w:tcPr>
            <w:tcW w:type="dxa" w:w="2676"/>
            <w:shd w:val="clear" w:color="auto" w:fill="EEF3F9"/>
          </w:tcPr>
          <w:p>
            <w:pPr>
              <w:pStyle w:val="Compact"/>
              <w:jc w:val="left"/>
            </w:pPr>
            <w:r>
              <w:rPr>
                <w:rFonts w:ascii="Arial" w:hAnsi="Arial"/>
                <w:sz w:val="18"/>
              </w:rPr>
              <w:t xml:space="preserve">Abschlussrate</w:t>
            </w:r>
          </w:p>
        </w:tc>
        <w:tc>
          <w:tcPr>
            <w:tcW w:type="dxa" w:w="2809"/>
            <w:shd w:val="clear" w:color="auto" w:fill="EEF3F9"/>
          </w:tcPr>
          <w:p>
            <w:pPr>
              <w:pStyle w:val="Compact"/>
              <w:jc w:val="left"/>
            </w:pPr>
            <w:r>
              <w:rPr>
                <w:rFonts w:ascii="Arial" w:hAnsi="Arial"/>
                <w:sz w:val="18"/>
              </w:rPr>
              <w:t xml:space="preserve">offen, zwei Lesarten (§ 3.3)</w:t>
            </w:r>
          </w:p>
        </w:tc>
        <w:tc>
          <w:tcPr>
            <w:tcW w:type="dxa" w:w="4189"/>
            <w:shd w:val="clear" w:color="auto" w:fill="EEF3F9"/>
          </w:tcPr>
          <w:p>
            <w:pPr>
              <w:pStyle w:val="Compact"/>
              <w:jc w:val="left"/>
            </w:pPr>
            <w:r>
              <w:rPr>
                <w:rFonts w:ascii="Arial" w:hAnsi="Arial"/>
                <w:sz w:val="18"/>
              </w:rPr>
              <w:t xml:space="preserve">K-10.15: 1 von 18 mit allen zwölf Einheiten · K-10.10: 3 von 18 mit mindestens neun (Antragskriterium)</w:t>
            </w:r>
          </w:p>
        </w:tc>
        <w:tc>
          <w:tcPr>
            <w:tcW w:type="dxa" w:w="5122"/>
            <w:shd w:val="clear" w:color="auto" w:fill="EEF3F9"/>
          </w:tcPr>
          <w:p>
            <w:pPr>
              <w:pStyle w:val="Compact"/>
              <w:jc w:val="left"/>
            </w:pPr>
            <w:r>
              <w:rPr>
                <w:rFonts w:ascii="Arial" w:hAnsi="Arial"/>
                <w:sz w:val="18"/>
              </w:rPr>
              <w:t xml:space="preserve">binär wie in der Übersicht, Schwelle nicht eindeutig</w:t>
            </w:r>
          </w:p>
        </w:tc>
      </w:tr>
      <w:tr>
        <w:trPr>
          <w:cantSplit w:val="true"/>
        </w:trPr>
        <w:tc>
          <w:tcPr>
            <w:tcW w:type="dxa" w:w="2676"/>
          </w:tcPr>
          <w:p>
            <w:pPr>
              <w:pStyle w:val="Compact"/>
              <w:jc w:val="left"/>
            </w:pPr>
            <w:r>
              <w:rPr>
                <w:rFonts w:ascii="Arial" w:hAnsi="Arial"/>
                <w:sz w:val="18"/>
              </w:rPr>
              <w:t xml:space="preserve">Studienabbruch</w:t>
            </w:r>
          </w:p>
        </w:tc>
        <w:tc>
          <w:tcPr>
            <w:tcW w:type="dxa" w:w="2809"/>
          </w:tcPr>
          <w:p>
            <w:pPr>
              <w:pStyle w:val="Compact"/>
              <w:jc w:val="left"/>
            </w:pPr>
            <w:r>
              <w:rPr>
                <w:rFonts w:ascii="Arial" w:hAnsi="Arial"/>
                <w:sz w:val="18"/>
              </w:rPr>
              <w:t xml:space="preserve">zur Abschlusstestung nicht angetreten</w:t>
            </w:r>
          </w:p>
        </w:tc>
        <w:tc>
          <w:tcPr>
            <w:tcW w:type="dxa" w:w="4189"/>
          </w:tcPr>
          <w:p>
            <w:pPr>
              <w:pStyle w:val="Compact"/>
              <w:jc w:val="left"/>
            </w:pPr>
            <w:r>
              <w:rPr>
                <w:rFonts w:ascii="Arial" w:hAnsi="Arial"/>
                <w:sz w:val="18"/>
              </w:rPr>
              <w:t xml:space="preserve">K-01.9: IG 2 von 18 · K-01.23 Teilnehmerebene ausgewertet 88,9 % (IG). KG 2 von 13 (84,6 % ausgewertet) nur nachrichtlich, die Übersicht poolt je Interventionsarm</w:t>
            </w:r>
          </w:p>
        </w:tc>
        <w:tc>
          <w:tcPr>
            <w:tcW w:type="dxa" w:w="5122"/>
          </w:tcPr>
          <w:p>
            <w:pPr>
              <w:pStyle w:val="Compact"/>
              <w:jc w:val="left"/>
            </w:pPr>
            <w:r>
              <w:rPr>
                <w:rFonts w:ascii="Arial" w:hAnsi="Arial"/>
                <w:sz w:val="18"/>
              </w:rPr>
              <w:t xml:space="preserve">eigener Abbruch nur über die Testung erfasst, ein Aufhören mit dem Programm bei Teilnahme an der Testung zählt nicht als Abbruch. Distanz Umsetzungsmaß 2</w:t>
            </w:r>
          </w:p>
        </w:tc>
      </w:tr>
    </w:tbl>
    <w:p>
      <w:pPr>
        <w:pStyle w:val="BodyText"/>
      </w:pPr>
      <w:r>
        <w:rPr>
          <w:bCs/>
          <w:rFonts w:ascii="Arial" w:hAnsi="Arial"/>
          <w:b/>
        </w:rPr>
        <w:t xml:space="preserve">Eigenes Muster neben dem der Übersicht.</w:t>
      </w:r>
      <w:r>
        <w:rPr>
          <w:rFonts w:ascii="Arial" w:hAnsi="Arial"/>
        </w:rPr>
        <w:t xml:space="preserve"> </w:t>
      </w:r>
      <w:r>
        <w:rPr>
          <w:rFonts w:ascii="Arial" w:hAnsi="Arial"/>
        </w:rPr>
        <w:t xml:space="preserve">Zur Abschlusstestung traten 16 der 18 zugeteilten Spieler an (K-01.10), vollständig gemeldet waren 42,6 % der angebotenen Einheiten (K-10.5), 4 Spieler meldeten keine vollständige Einheit (K-10.15), 3 davon gar keine (K-10.9, K-01.19, K-01.20). Das ist dasselbe Muster, das die Übersicht als Kernaussage formuliert: hoher Verbleib, teilweise Nutzung. Für die Arbeit folgt daraus kein Befund über Ursachen. Es stützt die Verdünnungslogik (F17 § 11.7): In die Hauptanalyse gingen Spieler ein, die in der Studie blieben, das Programm aber nur teilweise nutzten.</w:t>
      </w:r>
    </w:p>
    <w:bookmarkEnd w:id="26"/>
    <w:bookmarkStart w:id="27" w:name="abschlussrate-zwei-lesarten"/>
    <w:p>
      <w:pPr>
        <w:pStyle w:val="Heading3"/>
      </w:pPr>
      <w:r>
        <w:rPr>
          <w:rFonts w:ascii="Arial" w:hAnsi="Arial"/>
        </w:rPr>
        <w:t xml:space="preserve">3.3 Abschlussrate: zwei Lesarten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94"/>
        <w:gridCol w:w="3632"/>
        <w:gridCol w:w="1795"/>
        <w:gridCol w:w="6276"/>
      </w:tblGrid>
      <w:tr>
        <w:trPr>
          <w:tblHeader w:val="true"/>
          <w:tblHeader w:val="true"/>
          <w:cantSplit w:val="true"/>
        </w:trPr>
        <w:tc>
          <w:tcPr>
            <w:tcW w:type="dxa" w:w="3094"/>
            <w:shd w:val="clear" w:color="auto" w:fill="D6E4F0"/>
          </w:tcPr>
          <w:p>
            <w:pPr>
              <w:pStyle w:val="Compact"/>
              <w:jc w:val="left"/>
            </w:pPr>
            <w:r>
              <w:rPr>
                <w:rFonts w:ascii="Arial" w:hAnsi="Arial"/>
                <w:b/>
                <w:sz w:val="18"/>
              </w:rPr>
              <w:t xml:space="preserve">Lesart</w:t>
            </w:r>
          </w:p>
        </w:tc>
        <w:tc>
          <w:tcPr>
            <w:tcW w:type="dxa" w:w="3632"/>
            <w:shd w:val="clear" w:color="auto" w:fill="D6E4F0"/>
          </w:tcPr>
          <w:p>
            <w:pPr>
              <w:pStyle w:val="Compact"/>
              <w:jc w:val="left"/>
            </w:pPr>
            <w:r>
              <w:rPr>
                <w:rFonts w:ascii="Arial" w:hAnsi="Arial"/>
                <w:b/>
                <w:sz w:val="18"/>
              </w:rPr>
              <w:t xml:space="preserve">Begründung</w:t>
            </w:r>
          </w:p>
        </w:tc>
        <w:tc>
          <w:tcPr>
            <w:tcW w:type="dxa" w:w="1795"/>
            <w:shd w:val="clear" w:color="auto" w:fill="D6E4F0"/>
          </w:tcPr>
          <w:p>
            <w:pPr>
              <w:pStyle w:val="Compact"/>
              <w:jc w:val="left"/>
            </w:pPr>
            <w:r>
              <w:rPr>
                <w:rFonts w:ascii="Arial" w:hAnsi="Arial"/>
                <w:b/>
                <w:sz w:val="18"/>
              </w:rPr>
              <w:t xml:space="preserve">Eigener Wert</w:t>
            </w:r>
          </w:p>
        </w:tc>
        <w:tc>
          <w:tcPr>
            <w:tcW w:type="dxa" w:w="6276"/>
            <w:shd w:val="clear" w:color="auto" w:fill="D6E4F0"/>
          </w:tcPr>
          <w:p>
            <w:pPr>
              <w:pStyle w:val="Compact"/>
              <w:jc w:val="left"/>
            </w:pPr>
            <w:r>
              <w:rPr>
                <w:rFonts w:ascii="Arial" w:hAnsi="Arial"/>
                <w:b/>
                <w:sz w:val="18"/>
              </w:rPr>
              <w:t xml:space="preserve">Folge</w:t>
            </w:r>
          </w:p>
        </w:tc>
      </w:tr>
      <w:tr>
        <w:trPr>
          <w:cantSplit w:val="true"/>
        </w:trPr>
        <w:tc>
          <w:tcPr>
            <w:tcW w:type="dxa" w:w="3094"/>
          </w:tcPr>
          <w:p>
            <w:pPr>
              <w:pStyle w:val="Compact"/>
              <w:jc w:val="left"/>
            </w:pPr>
            <w:r>
              <w:rPr>
                <w:rFonts w:ascii="Arial" w:hAnsi="Arial"/>
                <w:sz w:val="18"/>
              </w:rPr>
              <w:t xml:space="preserve">(i) alle zwölf Einheiten als vollständig gemeldet</w:t>
            </w:r>
          </w:p>
        </w:tc>
        <w:tc>
          <w:tcPr>
            <w:tcW w:type="dxa" w:w="3632"/>
          </w:tcPr>
          <w:p>
            <w:pPr>
              <w:pStyle w:val="Compact"/>
              <w:jc w:val="left"/>
            </w:pPr>
            <w:r>
              <w:rPr>
                <w:rFonts w:ascii="Arial" w:hAnsi="Arial"/>
                <w:sz w:val="18"/>
              </w:rPr>
              <w:t xml:space="preserve">Wortlaut der Definition („the entire intervention program“)</w:t>
            </w:r>
          </w:p>
        </w:tc>
        <w:tc>
          <w:tcPr>
            <w:tcW w:type="dxa" w:w="1795"/>
          </w:tcPr>
          <w:p>
            <w:pPr>
              <w:pStyle w:val="Compact"/>
              <w:jc w:val="left"/>
            </w:pPr>
            <w:r>
              <w:rPr>
                <w:rFonts w:ascii="Arial" w:hAnsi="Arial"/>
                <w:sz w:val="18"/>
              </w:rPr>
              <w:t xml:space="preserve">1 von 18 (K-10.15)</w:t>
            </w:r>
          </w:p>
        </w:tc>
        <w:tc>
          <w:tcPr>
            <w:tcW w:type="dxa" w:w="6276"/>
          </w:tcPr>
          <w:p>
            <w:pPr>
              <w:pStyle w:val="Compact"/>
              <w:jc w:val="left"/>
            </w:pPr>
            <w:r>
              <w:rPr>
                <w:rFonts w:ascii="Arial" w:hAnsi="Arial"/>
                <w:sz w:val="18"/>
              </w:rPr>
              <w:t xml:space="preserve">streng, wörtlich. Der Wert steht bisher nur in Tab. H2, nicht im Text. Ein Vergleich verlangte eine neue Zahl im Text und wäre schief, weil die Abschlussdefinitionen der Einzelstudien nicht berichtet sind und ihre Programme verschieden viele Bestandteile verlangten (Dauer Median 84 Tage, IQR 42 bis 135)</w:t>
            </w:r>
          </w:p>
        </w:tc>
      </w:tr>
      <w:tr>
        <w:trPr>
          <w:cantSplit w:val="true"/>
        </w:trPr>
        <w:tc>
          <w:tcPr>
            <w:tcW w:type="dxa" w:w="3094"/>
            <w:shd w:val="clear" w:color="auto" w:fill="EEF3F9"/>
          </w:tcPr>
          <w:p>
            <w:pPr>
              <w:pStyle w:val="Compact"/>
              <w:jc w:val="left"/>
            </w:pPr>
            <w:r>
              <w:rPr>
                <w:rFonts w:ascii="Arial" w:hAnsi="Arial"/>
                <w:sz w:val="18"/>
              </w:rPr>
              <w:t xml:space="preserve">(ii) Antragskriterium, mindestens 9 von 12 (75 %)</w:t>
            </w:r>
          </w:p>
        </w:tc>
        <w:tc>
          <w:tcPr>
            <w:tcW w:type="dxa" w:w="3632"/>
            <w:shd w:val="clear" w:color="auto" w:fill="EEF3F9"/>
          </w:tcPr>
          <w:p>
            <w:pPr>
              <w:pStyle w:val="Compact"/>
              <w:jc w:val="left"/>
            </w:pPr>
            <w:r>
              <w:rPr>
                <w:rFonts w:ascii="Arial" w:hAnsi="Arial"/>
                <w:sz w:val="18"/>
              </w:rPr>
              <w:t xml:space="preserve">entspricht der Adhärenz „as intended by the developers“ und der vorgesehenen Nutzung als Mindestmaß der Entwickler: Der Ethikantrag legte 75 % als Kriterium fest (4.6)</w:t>
            </w:r>
          </w:p>
        </w:tc>
        <w:tc>
          <w:tcPr>
            <w:tcW w:type="dxa" w:w="1795"/>
            <w:shd w:val="clear" w:color="auto" w:fill="EEF3F9"/>
          </w:tcPr>
          <w:p>
            <w:pPr>
              <w:pStyle w:val="Compact"/>
              <w:jc w:val="left"/>
            </w:pPr>
            <w:r>
              <w:rPr>
                <w:rFonts w:ascii="Arial" w:hAnsi="Arial"/>
                <w:sz w:val="18"/>
              </w:rPr>
              <w:t xml:space="preserve">3 von 18 (K-10.10)</w:t>
            </w:r>
          </w:p>
        </w:tc>
        <w:tc>
          <w:tcPr>
            <w:tcW w:type="dxa" w:w="6276"/>
            <w:shd w:val="clear" w:color="auto" w:fill="EEF3F9"/>
          </w:tcPr>
          <w:p>
            <w:pPr>
              <w:pStyle w:val="Compact"/>
              <w:jc w:val="left"/>
            </w:pPr>
            <w:r>
              <w:rPr>
                <w:rFonts w:ascii="Arial" w:hAnsi="Arial"/>
                <w:sz w:val="18"/>
              </w:rPr>
              <w:t xml:space="preserve">steht schon in 4.6 (Kriterium) und Kapitel 5 („drei mindestens neun Einheiten“), braucht keine neue Zahl. Bleibt deutlich unter dem Mittel der Übersicht, aber die Definitionen der Einzelstudien sind unbekannt</w:t>
            </w:r>
          </w:p>
        </w:tc>
      </w:tr>
    </w:tbl>
    <w:p>
      <w:pPr>
        <w:pStyle w:val="BodyText"/>
      </w:pPr>
      <w:r>
        <w:rPr>
          <w:bCs/>
          <w:rFonts w:ascii="Arial" w:hAnsi="Arial"/>
          <w:b/>
        </w:rPr>
        <w:t xml:space="preserve">Folge für den Text.</w:t>
      </w:r>
      <w:r>
        <w:rPr>
          <w:rFonts w:ascii="Arial" w:hAnsi="Arial"/>
        </w:rPr>
        <w:t xml:space="preserve"> </w:t>
      </w:r>
      <w:r>
        <w:rPr>
          <w:rFonts w:ascii="Arial" w:hAnsi="Arial"/>
        </w:rPr>
        <w:t xml:space="preserve">Beide Lesarten liegen weit unter dem Mittel der Abschlussrate der Übersicht (66,9 %). Ein Vergleich der Abschlussraten trägt trotzdem nicht: Die Abschlussdefinitionen der Einzelstudien sind nicht berichtet, der Anhang fehlt, und die eigene Schwelle ist eine von zwei vertretbaren. Empfehlung: Im Text nur die Bestandteil-Adhärenz als Bezug (ohne Zahl, Klick K3), die Abschlussrate nicht vergleichen. Für 6.3 genügt, dass die Verteilung je Spieler berichtet ist (Kapitel 5, Tab. H2): Aus ihr ergibt sich die Abschlussrate nach jeder Lesart (Satzkern Nr. 5 des Nachtrags K2, Zweitprüfung Nr. 8).</w:t>
      </w:r>
    </w:p>
    <w:bookmarkEnd w:id="27"/>
    <w:bookmarkEnd w:id="28"/>
    <w:bookmarkStart w:id="35" w:name="ergebnisse-mit-fundstelle"/>
    <w:p>
      <w:pPr>
        <w:pStyle w:val="Heading2"/>
      </w:pPr>
      <w:r>
        <w:rPr>
          <w:rFonts w:ascii="Arial" w:hAnsi="Arial"/>
        </w:rPr>
        <w:t xml:space="preserve">4 Ergebnisse mit Fundstelle</w:t>
      </w:r>
    </w:p>
    <w:bookmarkStart w:id="29" w:name="adhärenz-insgesamt-und-je-domäne"/>
    <w:p>
      <w:pPr>
        <w:pStyle w:val="Heading3"/>
      </w:pPr>
      <w:r>
        <w:rPr>
          <w:rFonts w:ascii="Arial" w:hAnsi="Arial"/>
        </w:rPr>
        <w:t xml:space="preserve">4.1 Adhärenz insgesamt und je Domäne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553"/>
        <w:gridCol w:w="3715"/>
        <w:gridCol w:w="2334"/>
        <w:gridCol w:w="5195"/>
      </w:tblGrid>
      <w:tr>
        <w:trPr>
          <w:tblHeader w:val="true"/>
          <w:tblHeader w:val="true"/>
          <w:cantSplit w:val="true"/>
        </w:trPr>
        <w:tc>
          <w:tcPr>
            <w:tcW w:type="dxa" w:w="3553"/>
            <w:shd w:val="clear" w:color="auto" w:fill="D6E4F0"/>
          </w:tcPr>
          <w:p>
            <w:pPr>
              <w:pStyle w:val="Compact"/>
              <w:jc w:val="left"/>
            </w:pPr>
            <w:r>
              <w:rPr>
                <w:rFonts w:ascii="Arial" w:hAnsi="Arial"/>
                <w:b/>
                <w:sz w:val="18"/>
              </w:rPr>
              <w:t xml:space="preserve">Größe</w:t>
            </w:r>
          </w:p>
        </w:tc>
        <w:tc>
          <w:tcPr>
            <w:tcW w:type="dxa" w:w="3715"/>
            <w:shd w:val="clear" w:color="auto" w:fill="D6E4F0"/>
          </w:tcPr>
          <w:p>
            <w:pPr>
              <w:pStyle w:val="Compact"/>
              <w:jc w:val="left"/>
            </w:pPr>
            <w:r>
              <w:rPr>
                <w:rFonts w:ascii="Arial" w:hAnsi="Arial"/>
                <w:b/>
                <w:sz w:val="18"/>
              </w:rPr>
              <w:t xml:space="preserve">Wert</w:t>
            </w:r>
          </w:p>
        </w:tc>
        <w:tc>
          <w:tcPr>
            <w:tcW w:type="dxa" w:w="2334"/>
            <w:shd w:val="clear" w:color="auto" w:fill="D6E4F0"/>
          </w:tcPr>
          <w:p>
            <w:pPr>
              <w:pStyle w:val="Compact"/>
              <w:jc w:val="left"/>
            </w:pPr>
            <w:r>
              <w:rPr>
                <w:rFonts w:ascii="Arial" w:hAnsi="Arial"/>
                <w:b/>
                <w:sz w:val="18"/>
              </w:rPr>
              <w:t xml:space="preserve">Berichtende Vergleiche</w:t>
            </w:r>
          </w:p>
        </w:tc>
        <w:tc>
          <w:tcPr>
            <w:tcW w:type="dxa" w:w="5195"/>
            <w:shd w:val="clear" w:color="auto" w:fill="D6E4F0"/>
          </w:tcPr>
          <w:p>
            <w:pPr>
              <w:pStyle w:val="Compact"/>
              <w:jc w:val="left"/>
            </w:pPr>
            <w:r>
              <w:rPr>
                <w:rFonts w:ascii="Arial" w:hAnsi="Arial"/>
                <w:b/>
                <w:sz w:val="18"/>
              </w:rPr>
              <w:t xml:space="preserve">Fundstelle, Schlüsselstelle</w:t>
            </w:r>
          </w:p>
        </w:tc>
      </w:tr>
      <w:tr>
        <w:trPr>
          <w:cantSplit w:val="true"/>
        </w:trPr>
        <w:tc>
          <w:tcPr>
            <w:tcW w:type="dxa" w:w="3553"/>
          </w:tcPr>
          <w:p>
            <w:pPr>
              <w:pStyle w:val="Compact"/>
              <w:jc w:val="left"/>
            </w:pPr>
            <w:r>
              <w:rPr>
                <w:rFonts w:ascii="Arial" w:hAnsi="Arial"/>
                <w:sz w:val="18"/>
              </w:rPr>
              <w:t xml:space="preserve">Abschlussrate, insgesamt</w:t>
            </w:r>
          </w:p>
        </w:tc>
        <w:tc>
          <w:tcPr>
            <w:tcW w:type="dxa" w:w="3715"/>
          </w:tcPr>
          <w:p>
            <w:pPr>
              <w:pStyle w:val="Compact"/>
              <w:jc w:val="left"/>
            </w:pPr>
            <w:r>
              <w:rPr>
                <w:rFonts w:ascii="Arial" w:hAnsi="Arial"/>
                <w:sz w:val="18"/>
              </w:rPr>
              <w:t xml:space="preserve">66,9 % (SD 26 %)</w:t>
            </w:r>
          </w:p>
        </w:tc>
        <w:tc>
          <w:tcPr>
            <w:tcW w:type="dxa" w:w="2334"/>
          </w:tcPr>
          <w:p>
            <w:pPr>
              <w:pStyle w:val="Compact"/>
              <w:jc w:val="left"/>
            </w:pPr>
            <w:r>
              <w:rPr>
                <w:rFonts w:ascii="Arial" w:hAnsi="Arial"/>
                <w:sz w:val="18"/>
              </w:rPr>
              <w:t xml:space="preserve">68</w:t>
            </w:r>
          </w:p>
        </w:tc>
        <w:tc>
          <w:tcPr>
            <w:tcW w:type="dxa" w:w="5195"/>
          </w:tcPr>
          <w:p>
            <w:pPr>
              <w:pStyle w:val="Compact"/>
              <w:jc w:val="left"/>
            </w:pPr>
            <w:r>
              <w:rPr>
                <w:rFonts w:ascii="Arial" w:hAnsi="Arial"/>
                <w:sz w:val="18"/>
              </w:rPr>
              <w:t xml:space="preserve">Results › Characteristics of Digital Interventions, Abs. 4 · Discussion › Principal Findings, Abs. 1 · Abstract › Results</w:t>
            </w:r>
          </w:p>
        </w:tc>
      </w:tr>
      <w:tr>
        <w:trPr>
          <w:cantSplit w:val="true"/>
        </w:trPr>
        <w:tc>
          <w:tcPr>
            <w:tcW w:type="dxa" w:w="3553"/>
            <w:shd w:val="clear" w:color="auto" w:fill="EEF3F9"/>
          </w:tcPr>
          <w:p>
            <w:pPr>
              <w:pStyle w:val="Compact"/>
              <w:jc w:val="left"/>
            </w:pPr>
            <w:r>
              <w:rPr>
                <w:rFonts w:ascii="Arial" w:hAnsi="Arial"/>
                <w:sz w:val="18"/>
              </w:rPr>
              <w:t xml:space="preserve">Bestandteil-Adhärenz, insgesamt</w:t>
            </w:r>
          </w:p>
        </w:tc>
        <w:tc>
          <w:tcPr>
            <w:tcW w:type="dxa" w:w="3715"/>
            <w:shd w:val="clear" w:color="auto" w:fill="EEF3F9"/>
          </w:tcPr>
          <w:p>
            <w:pPr>
              <w:pStyle w:val="Compact"/>
              <w:jc w:val="left"/>
            </w:pPr>
            <w:r>
              <w:rPr>
                <w:rFonts w:ascii="Arial" w:hAnsi="Arial"/>
                <w:sz w:val="18"/>
              </w:rPr>
              <w:t xml:space="preserve">55,2 % (SD 25,5 %)</w:t>
            </w:r>
          </w:p>
        </w:tc>
        <w:tc>
          <w:tcPr>
            <w:tcW w:type="dxa" w:w="2334"/>
            <w:shd w:val="clear" w:color="auto" w:fill="EEF3F9"/>
          </w:tcPr>
          <w:p>
            <w:pPr>
              <w:pStyle w:val="Compact"/>
              <w:jc w:val="left"/>
            </w:pPr>
            <w:r>
              <w:rPr>
                <w:rFonts w:ascii="Arial" w:hAnsi="Arial"/>
                <w:sz w:val="18"/>
              </w:rPr>
              <w:t xml:space="preserve">66</w:t>
            </w:r>
          </w:p>
        </w:tc>
        <w:tc>
          <w:tcPr>
            <w:tcW w:type="dxa" w:w="5195"/>
            <w:shd w:val="clear" w:color="auto" w:fill="EEF3F9"/>
          </w:tcPr>
          <w:p>
            <w:pPr>
              <w:pStyle w:val="Compact"/>
              <w:jc w:val="left"/>
            </w:pPr>
            <w:r>
              <w:rPr>
                <w:rFonts w:ascii="Arial" w:hAnsi="Arial"/>
                <w:sz w:val="18"/>
              </w:rPr>
              <w:t xml:space="preserve">ebd. · in der Zusammenfassung als Schluss: Jugendliche absolvierten „only about half of intervention components on average“ (Abstract › Conclusions)</w:t>
            </w:r>
          </w:p>
        </w:tc>
      </w:tr>
      <w:tr>
        <w:trPr>
          <w:cantSplit w:val="true"/>
        </w:trPr>
        <w:tc>
          <w:tcPr>
            <w:tcW w:type="dxa" w:w="3553"/>
          </w:tcPr>
          <w:p>
            <w:pPr>
              <w:pStyle w:val="Compact"/>
              <w:jc w:val="left"/>
            </w:pPr>
            <w:r>
              <w:rPr>
                <w:rFonts w:ascii="Arial" w:hAnsi="Arial"/>
                <w:sz w:val="18"/>
              </w:rPr>
              <w:t xml:space="preserve">Abschlussrate je Domäne</w:t>
            </w:r>
          </w:p>
        </w:tc>
        <w:tc>
          <w:tcPr>
            <w:tcW w:type="dxa" w:w="3715"/>
          </w:tcPr>
          <w:p>
            <w:pPr>
              <w:pStyle w:val="Compact"/>
              <w:jc w:val="left"/>
            </w:pPr>
            <w:r>
              <w:rPr>
                <w:rFonts w:ascii="Arial" w:hAnsi="Arial"/>
                <w:sz w:val="18"/>
              </w:rPr>
              <w:t xml:space="preserve">höchste Ernährung 83,9 % (SD 21 %), niedrigste Alkohol 48,4 % (SD 35,4 %), Bewegung im Haupttext nicht genannt</w:t>
            </w:r>
          </w:p>
        </w:tc>
        <w:tc>
          <w:tcPr>
            <w:tcW w:type="dxa" w:w="2334"/>
          </w:tcPr>
          <w:p>
            <w:pPr>
              <w:pStyle w:val="Compact"/>
              <w:jc w:val="left"/>
            </w:pPr>
            <w:r>
              <w:rPr>
                <w:rFonts w:ascii="Arial" w:hAnsi="Arial"/>
                <w:sz w:val="18"/>
              </w:rPr>
              <w:t xml:space="preserve">4 bis 24 je Domäne</w:t>
            </w:r>
          </w:p>
        </w:tc>
        <w:tc>
          <w:tcPr>
            <w:tcW w:type="dxa" w:w="5195"/>
          </w:tcPr>
          <w:p>
            <w:pPr>
              <w:pStyle w:val="Compact"/>
              <w:jc w:val="left"/>
            </w:pPr>
            <w:r>
              <w:rPr>
                <w:rFonts w:ascii="Arial" w:hAnsi="Arial"/>
                <w:sz w:val="18"/>
              </w:rPr>
              <w:t xml:space="preserve">Results › Characteristics of Health Domains, Abs. 3</w:t>
            </w:r>
          </w:p>
        </w:tc>
      </w:tr>
      <w:tr>
        <w:trPr>
          <w:cantSplit w:val="true"/>
        </w:trPr>
        <w:tc>
          <w:tcPr>
            <w:tcW w:type="dxa" w:w="3553"/>
            <w:shd w:val="clear" w:color="auto" w:fill="EEF3F9"/>
          </w:tcPr>
          <w:p>
            <w:pPr>
              <w:pStyle w:val="Compact"/>
              <w:jc w:val="left"/>
            </w:pPr>
            <w:r>
              <w:rPr>
                <w:rFonts w:ascii="Arial" w:hAnsi="Arial"/>
                <w:sz w:val="18"/>
              </w:rPr>
              <w:t xml:space="preserve">Bestandteil-Adhärenz je Domäne</w:t>
            </w:r>
          </w:p>
        </w:tc>
        <w:tc>
          <w:tcPr>
            <w:tcW w:type="dxa" w:w="3715"/>
            <w:shd w:val="clear" w:color="auto" w:fill="EEF3F9"/>
          </w:tcPr>
          <w:p>
            <w:pPr>
              <w:pStyle w:val="Compact"/>
              <w:jc w:val="left"/>
            </w:pPr>
            <w:r>
              <w:rPr>
                <w:rFonts w:ascii="Arial" w:hAnsi="Arial"/>
                <w:sz w:val="18"/>
              </w:rPr>
              <w:t xml:space="preserve">höchste Ernährung 63,7 % (SD 23 %), Bewegung 62,8 % (ohne SD), niedrigste Adipositas 45,9 % (SD 22,5 %)</w:t>
            </w:r>
          </w:p>
        </w:tc>
        <w:tc>
          <w:tcPr>
            <w:tcW w:type="dxa" w:w="2334"/>
            <w:shd w:val="clear" w:color="auto" w:fill="EEF3F9"/>
          </w:tcPr>
          <w:p>
            <w:pPr>
              <w:pStyle w:val="Compact"/>
              <w:jc w:val="left"/>
            </w:pPr>
            <w:r>
              <w:rPr>
                <w:rFonts w:ascii="Arial" w:hAnsi="Arial"/>
                <w:sz w:val="18"/>
              </w:rPr>
              <w:t xml:space="preserve">4 bis 24 je Domäne, für Bewegung nicht genannt</w:t>
            </w:r>
          </w:p>
        </w:tc>
        <w:tc>
          <w:tcPr>
            <w:tcW w:type="dxa" w:w="5195"/>
            <w:shd w:val="clear" w:color="auto" w:fill="EEF3F9"/>
          </w:tcPr>
          <w:p>
            <w:pPr>
              <w:pStyle w:val="Compact"/>
              <w:jc w:val="left"/>
            </w:pPr>
            <w:r>
              <w:rPr>
                <w:rFonts w:ascii="Arial" w:hAnsi="Arial"/>
                <w:sz w:val="18"/>
              </w:rPr>
              <w:t xml:space="preserve">ebd., Domänenwerte nach den Autoren „indicative rather than definitive“</w:t>
            </w:r>
          </w:p>
        </w:tc>
      </w:tr>
      <w:tr>
        <w:trPr>
          <w:cantSplit w:val="true"/>
        </w:trPr>
        <w:tc>
          <w:tcPr>
            <w:tcW w:type="dxa" w:w="3553"/>
          </w:tcPr>
          <w:p>
            <w:pPr>
              <w:pStyle w:val="Compact"/>
              <w:jc w:val="left"/>
            </w:pPr>
            <w:r>
              <w:rPr>
                <w:rFonts w:ascii="Arial" w:hAnsi="Arial"/>
                <w:sz w:val="18"/>
              </w:rPr>
              <w:t xml:space="preserve">Wirksamkeit</w:t>
            </w:r>
          </w:p>
        </w:tc>
        <w:tc>
          <w:tcPr>
            <w:tcW w:type="dxa" w:w="3715"/>
          </w:tcPr>
          <w:p>
            <w:pPr>
              <w:pStyle w:val="Compact"/>
              <w:jc w:val="left"/>
            </w:pPr>
            <w:r>
              <w:rPr>
                <w:rFonts w:ascii="Arial" w:hAnsi="Arial"/>
                <w:sz w:val="18"/>
              </w:rPr>
              <w:t xml:space="preserve">52,8 % (47 von 89) mit erreichten primären Endpunkten</w:t>
            </w:r>
          </w:p>
        </w:tc>
        <w:tc>
          <w:tcPr>
            <w:tcW w:type="dxa" w:w="2334"/>
          </w:tcPr>
          <w:p>
            <w:pPr>
              <w:pStyle w:val="Compact"/>
              <w:jc w:val="left"/>
            </w:pPr>
            <w:r>
              <w:rPr>
                <w:rFonts w:ascii="Arial" w:hAnsi="Arial"/>
                <w:sz w:val="18"/>
              </w:rPr>
              <w:t xml:space="preserve">89</w:t>
            </w:r>
          </w:p>
        </w:tc>
        <w:tc>
          <w:tcPr>
            <w:tcW w:type="dxa" w:w="5195"/>
          </w:tcPr>
          <w:p>
            <w:pPr>
              <w:pStyle w:val="Compact"/>
              <w:jc w:val="left"/>
            </w:pPr>
            <w:r>
              <w:rPr>
                <w:rFonts w:ascii="Arial" w:hAnsi="Arial"/>
                <w:sz w:val="18"/>
              </w:rPr>
              <w:t xml:space="preserve">Results › Characteristics of Digital Interventions, Abs. 4</w:t>
            </w:r>
          </w:p>
        </w:tc>
      </w:tr>
    </w:tbl>
    <w:bookmarkEnd w:id="29"/>
    <w:bookmarkStart w:id="30" w:name="studienabbruch-metaanalyse"/>
    <w:p>
      <w:pPr>
        <w:pStyle w:val="Heading3"/>
      </w:pPr>
      <w:r>
        <w:rPr>
          <w:rFonts w:ascii="Arial" w:hAnsi="Arial"/>
        </w:rPr>
        <w:t xml:space="preserve">4.2 Studienabbruch (Metaanalyse)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829"/>
        <w:gridCol w:w="8875"/>
        <w:gridCol w:w="3093"/>
      </w:tblGrid>
      <w:tr>
        <w:trPr>
          <w:tblHeader w:val="true"/>
          <w:tblHeader w:val="true"/>
          <w:cantSplit w:val="true"/>
        </w:trPr>
        <w:tc>
          <w:tcPr>
            <w:tcW w:type="dxa" w:w="2829"/>
            <w:shd w:val="clear" w:color="auto" w:fill="D6E4F0"/>
          </w:tcPr>
          <w:p>
            <w:pPr>
              <w:pStyle w:val="Compact"/>
              <w:jc w:val="left"/>
            </w:pPr>
            <w:r>
              <w:rPr>
                <w:rFonts w:ascii="Arial" w:hAnsi="Arial"/>
                <w:b/>
                <w:sz w:val="18"/>
              </w:rPr>
              <w:t xml:space="preserve">Größe</w:t>
            </w:r>
          </w:p>
        </w:tc>
        <w:tc>
          <w:tcPr>
            <w:tcW w:type="dxa" w:w="8875"/>
            <w:shd w:val="clear" w:color="auto" w:fill="D6E4F0"/>
          </w:tcPr>
          <w:p>
            <w:pPr>
              <w:pStyle w:val="Compact"/>
              <w:jc w:val="left"/>
            </w:pPr>
            <w:r>
              <w:rPr>
                <w:rFonts w:ascii="Arial" w:hAnsi="Arial"/>
                <w:b/>
                <w:sz w:val="18"/>
              </w:rPr>
              <w:t xml:space="preserve">Wert</w:t>
            </w:r>
          </w:p>
        </w:tc>
        <w:tc>
          <w:tcPr>
            <w:tcW w:type="dxa" w:w="3093"/>
            <w:shd w:val="clear" w:color="auto" w:fill="D6E4F0"/>
          </w:tcPr>
          <w:p>
            <w:pPr>
              <w:pStyle w:val="Compact"/>
              <w:jc w:val="left"/>
            </w:pPr>
            <w:r>
              <w:rPr>
                <w:rFonts w:ascii="Arial" w:hAnsi="Arial"/>
                <w:b/>
                <w:sz w:val="18"/>
              </w:rPr>
              <w:t xml:space="preserve">Fundstelle</w:t>
            </w:r>
          </w:p>
        </w:tc>
      </w:tr>
      <w:tr>
        <w:trPr>
          <w:cantSplit w:val="true"/>
        </w:trPr>
        <w:tc>
          <w:tcPr>
            <w:tcW w:type="dxa" w:w="2829"/>
          </w:tcPr>
          <w:p>
            <w:pPr>
              <w:pStyle w:val="Compact"/>
              <w:jc w:val="left"/>
            </w:pPr>
            <w:r>
              <w:rPr>
                <w:rFonts w:ascii="Arial" w:hAnsi="Arial"/>
                <w:sz w:val="18"/>
              </w:rPr>
              <w:t xml:space="preserve">Datengrundlage</w:t>
            </w:r>
          </w:p>
        </w:tc>
        <w:tc>
          <w:tcPr>
            <w:tcW w:type="dxa" w:w="8875"/>
          </w:tcPr>
          <w:p>
            <w:pPr>
              <w:pStyle w:val="Compact"/>
              <w:jc w:val="left"/>
            </w:pPr>
            <w:r>
              <w:rPr>
                <w:rFonts w:ascii="Arial" w:hAnsi="Arial"/>
                <w:sz w:val="18"/>
              </w:rPr>
              <w:t xml:space="preserve">108 Vergleiche aus 88 Studien, 30.956 Teilnehmende</w:t>
            </w:r>
          </w:p>
        </w:tc>
        <w:tc>
          <w:tcPr>
            <w:tcW w:type="dxa" w:w="3093"/>
          </w:tcPr>
          <w:p>
            <w:pPr>
              <w:pStyle w:val="Compact"/>
              <w:jc w:val="left"/>
            </w:pPr>
            <w:r>
              <w:rPr>
                <w:rFonts w:ascii="Arial" w:hAnsi="Arial"/>
                <w:sz w:val="18"/>
              </w:rPr>
              <w:t xml:space="preserve">Results › Quantitative Synthesis of Attrition, Abs. 1</w:t>
            </w:r>
          </w:p>
        </w:tc>
      </w:tr>
      <w:tr>
        <w:trPr>
          <w:cantSplit w:val="true"/>
        </w:trPr>
        <w:tc>
          <w:tcPr>
            <w:tcW w:type="dxa" w:w="2829"/>
            <w:shd w:val="clear" w:color="auto" w:fill="EEF3F9"/>
          </w:tcPr>
          <w:p>
            <w:pPr>
              <w:pStyle w:val="Compact"/>
              <w:jc w:val="left"/>
            </w:pPr>
            <w:r>
              <w:rPr>
                <w:rFonts w:ascii="Arial" w:hAnsi="Arial"/>
                <w:sz w:val="18"/>
              </w:rPr>
              <w:t xml:space="preserve">gepoolter Abbruch</w:t>
            </w:r>
          </w:p>
        </w:tc>
        <w:tc>
          <w:tcPr>
            <w:tcW w:type="dxa" w:w="8875"/>
            <w:shd w:val="clear" w:color="auto" w:fill="EEF3F9"/>
          </w:tcPr>
          <w:p>
            <w:pPr>
              <w:pStyle w:val="Compact"/>
              <w:jc w:val="left"/>
            </w:pPr>
            <w:r>
              <w:rPr>
                <w:rFonts w:ascii="Arial" w:hAnsi="Arial"/>
                <w:sz w:val="18"/>
              </w:rPr>
              <w:t xml:space="preserve">16,9 % (95-%-KI 13,6 bis 20,9)</w:t>
            </w:r>
          </w:p>
        </w:tc>
        <w:tc>
          <w:tcPr>
            <w:tcW w:type="dxa" w:w="3093"/>
            <w:shd w:val="clear" w:color="auto" w:fill="EEF3F9"/>
          </w:tcPr>
          <w:p>
            <w:pPr>
              <w:pStyle w:val="Compact"/>
              <w:jc w:val="left"/>
            </w:pPr>
            <w:r>
              <w:rPr>
                <w:rFonts w:ascii="Arial" w:hAnsi="Arial"/>
                <w:sz w:val="18"/>
              </w:rPr>
              <w:t xml:space="preserve">ebd.</w:t>
            </w:r>
          </w:p>
        </w:tc>
      </w:tr>
      <w:tr>
        <w:trPr>
          <w:cantSplit w:val="true"/>
        </w:trPr>
        <w:tc>
          <w:tcPr>
            <w:tcW w:type="dxa" w:w="2829"/>
          </w:tcPr>
          <w:p>
            <w:pPr>
              <w:pStyle w:val="Compact"/>
              <w:jc w:val="left"/>
            </w:pPr>
            <w:r>
              <w:rPr>
                <w:rFonts w:ascii="Arial" w:hAnsi="Arial"/>
                <w:sz w:val="18"/>
              </w:rPr>
              <w:t xml:space="preserve">Heterogenität</w:t>
            </w:r>
          </w:p>
        </w:tc>
        <w:tc>
          <w:tcPr>
            <w:tcW w:type="dxa" w:w="8875"/>
          </w:tcPr>
          <w:p>
            <w:pPr>
              <w:pStyle w:val="Compact"/>
              <w:jc w:val="left"/>
            </w:pPr>
            <w:r>
              <w:rPr>
                <w:rFonts w:ascii="Arial" w:hAnsi="Arial"/>
                <w:sz w:val="18"/>
              </w:rPr>
              <w:t xml:space="preserve">I² 98,3 %, τ² 1,51 (Logit-Skala, im PMC-Text ohne Hochzeichen, das Preprint-Manuskript nennt „tau-squared“, an der PDF prüfen), 95-%-Prognoseintervall 1,7 bis 70,3 %</w:t>
            </w:r>
          </w:p>
        </w:tc>
        <w:tc>
          <w:tcPr>
            <w:tcW w:type="dxa" w:w="3093"/>
          </w:tcPr>
          <w:p>
            <w:pPr>
              <w:pStyle w:val="Compact"/>
              <w:jc w:val="left"/>
            </w:pPr>
            <w:r>
              <w:rPr>
                <w:rFonts w:ascii="Arial" w:hAnsi="Arial"/>
                <w:sz w:val="18"/>
              </w:rPr>
              <w:t xml:space="preserve">ebd.</w:t>
            </w:r>
          </w:p>
        </w:tc>
      </w:tr>
      <w:tr>
        <w:trPr>
          <w:cantSplit w:val="true"/>
        </w:trPr>
        <w:tc>
          <w:tcPr>
            <w:tcW w:type="dxa" w:w="2829"/>
            <w:shd w:val="clear" w:color="auto" w:fill="EEF3F9"/>
          </w:tcPr>
          <w:p>
            <w:pPr>
              <w:pStyle w:val="Compact"/>
              <w:jc w:val="left"/>
            </w:pPr>
            <w:r>
              <w:rPr>
                <w:rFonts w:ascii="Arial" w:hAnsi="Arial"/>
                <w:sz w:val="18"/>
              </w:rPr>
              <w:t xml:space="preserve">Robustheit</w:t>
            </w:r>
          </w:p>
        </w:tc>
        <w:tc>
          <w:tcPr>
            <w:tcW w:type="dxa" w:w="8875"/>
            <w:shd w:val="clear" w:color="auto" w:fill="EEF3F9"/>
          </w:tcPr>
          <w:p>
            <w:pPr>
              <w:pStyle w:val="Compact"/>
              <w:jc w:val="left"/>
            </w:pPr>
            <w:r>
              <w:rPr>
                <w:rFonts w:ascii="Arial" w:hAnsi="Arial"/>
                <w:sz w:val="18"/>
              </w:rPr>
              <w:t xml:space="preserve">binomial-normales Modell 14,3 % (11,1 bis 18,2) · Dreiebenenmodell 17,3 % (13,6 bis 21,7)</w:t>
            </w:r>
          </w:p>
        </w:tc>
        <w:tc>
          <w:tcPr>
            <w:tcW w:type="dxa" w:w="3093"/>
            <w:shd w:val="clear" w:color="auto" w:fill="EEF3F9"/>
          </w:tcPr>
          <w:p>
            <w:pPr>
              <w:pStyle w:val="Compact"/>
              <w:jc w:val="left"/>
            </w:pPr>
            <w:r>
              <w:rPr>
                <w:rFonts w:ascii="Arial" w:hAnsi="Arial"/>
                <w:sz w:val="18"/>
              </w:rPr>
              <w:t xml:space="preserve">ebd.</w:t>
            </w:r>
          </w:p>
        </w:tc>
      </w:tr>
      <w:tr>
        <w:trPr>
          <w:cantSplit w:val="true"/>
        </w:trPr>
        <w:tc>
          <w:tcPr>
            <w:tcW w:type="dxa" w:w="2829"/>
          </w:tcPr>
          <w:p>
            <w:pPr>
              <w:pStyle w:val="Compact"/>
              <w:jc w:val="left"/>
            </w:pPr>
            <w:r>
              <w:rPr>
                <w:rFonts w:ascii="Arial" w:hAnsi="Arial"/>
                <w:sz w:val="18"/>
              </w:rPr>
              <w:t xml:space="preserve">je Domäne</w:t>
            </w:r>
          </w:p>
        </w:tc>
        <w:tc>
          <w:tcPr>
            <w:tcW w:type="dxa" w:w="8875"/>
          </w:tcPr>
          <w:p>
            <w:pPr>
              <w:pStyle w:val="Compact"/>
              <w:jc w:val="left"/>
            </w:pPr>
            <w:r>
              <w:rPr>
                <w:rFonts w:ascii="Arial" w:hAnsi="Arial"/>
                <w:sz w:val="18"/>
              </w:rPr>
              <w:t xml:space="preserve">Bewegung 14,1 % (9,9 bis 19,7, k = 32) · Ernährung 14,9 % (6,2 bis 31,5, k = 9) · Adipositas 15,1 % (7,3 bis 28,4, k = 14) · Mehrkomponenten 17,9 % (11,1 bis 27,8, k = 31) · Tabak 21,4 % (11,9 bis 35,5, k = 14) · Alkohol 25,3 % (7,0 bis 60,5, k = 8), Intervalle stark überlappend</w:t>
            </w:r>
          </w:p>
        </w:tc>
        <w:tc>
          <w:tcPr>
            <w:tcW w:type="dxa" w:w="3093"/>
          </w:tcPr>
          <w:p>
            <w:pPr>
              <w:pStyle w:val="Compact"/>
              <w:jc w:val="left"/>
            </w:pPr>
            <w:r>
              <w:rPr>
                <w:rFonts w:ascii="Arial" w:hAnsi="Arial"/>
                <w:sz w:val="18"/>
              </w:rPr>
              <w:t xml:space="preserve">ebd., Abs. 2</w:t>
            </w:r>
          </w:p>
        </w:tc>
      </w:tr>
      <w:tr>
        <w:trPr>
          <w:cantSplit w:val="true"/>
        </w:trPr>
        <w:tc>
          <w:tcPr>
            <w:tcW w:type="dxa" w:w="2829"/>
            <w:shd w:val="clear" w:color="auto" w:fill="EEF3F9"/>
          </w:tcPr>
          <w:p>
            <w:pPr>
              <w:pStyle w:val="Compact"/>
              <w:jc w:val="left"/>
            </w:pPr>
            <w:r>
              <w:rPr>
                <w:rFonts w:ascii="Arial" w:hAnsi="Arial"/>
                <w:sz w:val="18"/>
              </w:rPr>
              <w:t xml:space="preserve">Moderatoren</w:t>
            </w:r>
          </w:p>
        </w:tc>
        <w:tc>
          <w:tcPr>
            <w:tcW w:type="dxa" w:w="8875"/>
            <w:shd w:val="clear" w:color="auto" w:fill="EEF3F9"/>
          </w:tcPr>
          <w:p>
            <w:pPr>
              <w:pStyle w:val="Compact"/>
              <w:jc w:val="left"/>
            </w:pPr>
            <w:r>
              <w:rPr>
                <w:rFonts w:ascii="Arial" w:hAnsi="Arial"/>
                <w:sz w:val="18"/>
              </w:rPr>
              <w:t xml:space="preserve">keiner signifikant: Domäne QM = 0,79, p = 0,56 · Vermittlung QM = 1,22, p = 0,30 · persönliche Unterstützung QM = 0,57, p = 0,45 · Anreize QM = 1,03, p = 0,31 · Dauer QM = 2,60, p = 0,11 · Alter QM = 0,62, p = 0,43, je praktisch ohne erklärte Varianz</w:t>
            </w:r>
          </w:p>
        </w:tc>
        <w:tc>
          <w:tcPr>
            <w:tcW w:type="dxa" w:w="3093"/>
            <w:shd w:val="clear" w:color="auto" w:fill="EEF3F9"/>
          </w:tcPr>
          <w:p>
            <w:pPr>
              <w:pStyle w:val="Compact"/>
              <w:jc w:val="left"/>
            </w:pPr>
            <w:r>
              <w:rPr>
                <w:rFonts w:ascii="Arial" w:hAnsi="Arial"/>
                <w:sz w:val="18"/>
              </w:rPr>
              <w:t xml:space="preserve">ebd.</w:t>
            </w:r>
          </w:p>
        </w:tc>
      </w:tr>
      <w:tr>
        <w:trPr>
          <w:cantSplit w:val="true"/>
        </w:trPr>
        <w:tc>
          <w:tcPr>
            <w:tcW w:type="dxa" w:w="2829"/>
          </w:tcPr>
          <w:p>
            <w:pPr>
              <w:pStyle w:val="Compact"/>
              <w:jc w:val="left"/>
            </w:pPr>
            <w:r>
              <w:rPr>
                <w:rFonts w:ascii="Arial" w:hAnsi="Arial"/>
                <w:sz w:val="18"/>
              </w:rPr>
              <w:t xml:space="preserve">kleine Studien</w:t>
            </w:r>
          </w:p>
        </w:tc>
        <w:tc>
          <w:tcPr>
            <w:tcW w:type="dxa" w:w="8875"/>
          </w:tcPr>
          <w:p>
            <w:pPr>
              <w:pStyle w:val="Compact"/>
              <w:jc w:val="left"/>
            </w:pPr>
            <w:r>
              <w:rPr>
                <w:rFonts w:ascii="Arial" w:hAnsi="Arial"/>
                <w:sz w:val="18"/>
              </w:rPr>
              <w:t xml:space="preserve">Egger-Test z = −2,75, p = 0,007, kleinere Studien mit geringerem Abbruch, bei dieser Heterogenität vorsichtig zu lesen</w:t>
            </w:r>
          </w:p>
        </w:tc>
        <w:tc>
          <w:tcPr>
            <w:tcW w:type="dxa" w:w="3093"/>
          </w:tcPr>
          <w:p>
            <w:pPr>
              <w:pStyle w:val="Compact"/>
              <w:jc w:val="left"/>
            </w:pPr>
            <w:r>
              <w:rPr>
                <w:rFonts w:ascii="Arial" w:hAnsi="Arial"/>
                <w:sz w:val="18"/>
              </w:rPr>
              <w:t xml:space="preserve">ebd.</w:t>
            </w:r>
          </w:p>
        </w:tc>
      </w:tr>
      <w:tr>
        <w:trPr>
          <w:cantSplit w:val="true"/>
        </w:trPr>
        <w:tc>
          <w:tcPr>
            <w:tcW w:type="dxa" w:w="2829"/>
            <w:shd w:val="clear" w:color="auto" w:fill="EEF3F9"/>
          </w:tcPr>
          <w:p>
            <w:pPr>
              <w:pStyle w:val="Compact"/>
              <w:jc w:val="left"/>
            </w:pPr>
            <w:r>
              <w:rPr>
                <w:rFonts w:ascii="Arial" w:hAnsi="Arial"/>
                <w:sz w:val="18"/>
              </w:rPr>
              <w:t xml:space="preserve">Verbleib gegen Nutzung (Folgerung der Autoren)</w:t>
            </w:r>
          </w:p>
        </w:tc>
        <w:tc>
          <w:tcPr>
            <w:tcW w:type="dxa" w:w="8875"/>
            <w:shd w:val="clear" w:color="auto" w:fill="EEF3F9"/>
          </w:tcPr>
          <w:p>
            <w:pPr>
              <w:pStyle w:val="Compact"/>
              <w:jc w:val="left"/>
            </w:pPr>
            <w:r>
              <w:rPr>
                <w:rFonts w:ascii="Arial" w:hAnsi="Arial"/>
                <w:sz w:val="18"/>
              </w:rPr>
              <w:t xml:space="preserve">Abbruch rund 17 % gegen rund ein Drittel ohne vollständigen Abschluss und rund 45 % ungenutzte Bestandteile: „many adolescents remained nominally enrolled“, in der Diskussion „tend to remain nominally enrolled“, der Verbleib allein überschätze die Adhärenz. „Die meisten“ trägt nur der gepoolte Abbruch</w:t>
            </w:r>
          </w:p>
        </w:tc>
        <w:tc>
          <w:tcPr>
            <w:tcW w:type="dxa" w:w="3093"/>
            <w:shd w:val="clear" w:color="auto" w:fill="EEF3F9"/>
          </w:tcPr>
          <w:p>
            <w:pPr>
              <w:pStyle w:val="Compact"/>
              <w:jc w:val="left"/>
            </w:pPr>
            <w:r>
              <w:rPr>
                <w:rFonts w:ascii="Arial" w:hAnsi="Arial"/>
                <w:sz w:val="18"/>
              </w:rPr>
              <w:t xml:space="preserve">ebd., Abs. 3 · Discussion › Domain-Specific Adherence Patterns, Abs. 3</w:t>
            </w:r>
          </w:p>
        </w:tc>
      </w:tr>
    </w:tbl>
    <w:bookmarkEnd w:id="30"/>
    <w:bookmarkStart w:id="31" w:name="Xadae21edce47221c264ffb929283f83015dfcca"/>
    <w:p>
      <w:pPr>
        <w:pStyle w:val="Heading3"/>
      </w:pPr>
      <w:r>
        <w:rPr>
          <w:rFonts w:ascii="Arial" w:hAnsi="Arial"/>
        </w:rPr>
        <w:t xml:space="preserve">4.3 Förder- und Hemmfaktoren über die Domänen</w:t>
      </w:r>
    </w:p>
    <w:p>
      <w:pPr>
        <w:pStyle w:val="FirstParagraph"/>
      </w:pPr>
      <w:r>
        <w:rPr>
          <w:rFonts w:ascii="Arial" w:hAnsi="Arial"/>
        </w:rPr>
        <w:t xml:space="preserve">Zusammenfassung der Autoren (Abstract › Results, Discussion › Intervention-Related Determinants of Adherence, Abs. 1 bis 4): durchgängig förderlich Personalisierung, gut bedienbare Gestaltung, Erinnerungen, Zielsetzung, Gamification und menschliche Unterstützung (vor allem Gesundheitscoaching und Beteiligung der Eltern). Häufigste Hemmnisse: technische Schwierigkeiten und schlechte Bedienbarkeit. Uneinheitlich: Wirkung der Programmdauer und sozialer Funktionen. Nutzerbezogene Merkmale (Alter, Geschlecht, sozioökonomische Lage) wirkten je nach Domäne und Kontext verschieden (Discussion › User-Related Determinants of Adherence, Abs. 1 bis 4). Intrinsische Motivation und wahrgenommener Nutzen förderten, Motivations- und Interessenverlust hemmte, besonders bei Adipositas und Bewegung (ebd., Abs. 4).</w:t>
      </w:r>
    </w:p>
    <w:p>
      <w:pPr>
        <w:pStyle w:val="BodyText"/>
      </w:pPr>
      <w:r>
        <w:rPr>
          <w:rFonts w:ascii="Arial" w:hAnsi="Arial"/>
        </w:rPr>
        <w:t xml:space="preserve">Statistische Evidenz je Domäne (Auswahl, Einzelstudien, nicht gepoolt): Adipositas — Kommunikation mit einem Gesundheitscoach (zwei), Elternbeteiligung (zwei), Adhärenz in der ersten Hälfte höher als in der zweiten (zwei), Programm nur mit App schwächer als App mit Coach (eine) · Ernährung — zwei bis drei Nachrichten je Woche (eine) · Mehrkomponenten — Elternengagement, Selbstregulation und Erzählung, Erinnerungsnachrichten (je eine), Wettbewerbsaufforderungen hemmend · Tabak — ausgefallene Teilnahme am „quit day“ (eine), gut getaktete mehrfache Aufforderungen förderlich (Update, eine). Fundstellen: Results, je Domäne › Intervention-Related Factors, Abs. 1 bis 3, das Update steht jeweils im letzten Absatz (Ernährung, Tabak, Alkohol Abs. 2, Bewegung und Mehrkomponenten Abs. 3, Adipositas ohne Update-Absatz).</w:t>
      </w:r>
    </w:p>
    <w:bookmarkEnd w:id="31"/>
    <w:bookmarkStart w:id="32" w:name="bewegungsteil-vollständig-32-studien"/>
    <w:p>
      <w:pPr>
        <w:pStyle w:val="Heading3"/>
      </w:pPr>
      <w:r>
        <w:rPr>
          <w:rFonts w:ascii="Arial" w:hAnsi="Arial"/>
        </w:rPr>
        <w:t xml:space="preserve">4.4 Bewegungsteil vollständig (32 Studien)</w:t>
      </w:r>
    </w:p>
    <w:p>
      <w:pPr>
        <w:pStyle w:val="FirstParagraph"/>
      </w:pPr>
      <w:r>
        <w:rPr>
          <w:rFonts w:ascii="Arial" w:hAnsi="Arial"/>
        </w:rPr>
        <w:t xml:space="preserve">Results › Physical Activity › Intervention-Related Factors, Abs. 1 bis 3, und User-Related Factors, Abs. 1 und 2. „Belege“ = zitierte Studien im Absatz, an den Trennzeichen gezählt.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795"/>
        <w:gridCol w:w="1916"/>
        <w:gridCol w:w="2270"/>
        <w:gridCol w:w="1878"/>
        <w:gridCol w:w="2938"/>
      </w:tblGrid>
      <w:tr>
        <w:trPr>
          <w:tblHeader w:val="true"/>
          <w:tblHeader w:val="true"/>
          <w:cantSplit w:val="true"/>
        </w:trPr>
        <w:tc>
          <w:tcPr>
            <w:tcW w:type="dxa" w:w="5795"/>
            <w:shd w:val="clear" w:color="auto" w:fill="D6E4F0"/>
          </w:tcPr>
          <w:p>
            <w:pPr>
              <w:pStyle w:val="Compact"/>
              <w:jc w:val="left"/>
            </w:pPr>
            <w:r>
              <w:rPr>
                <w:rFonts w:ascii="Arial" w:hAnsi="Arial"/>
                <w:b/>
                <w:sz w:val="18"/>
              </w:rPr>
              <w:t xml:space="preserve">Faktor</w:t>
            </w:r>
          </w:p>
        </w:tc>
        <w:tc>
          <w:tcPr>
            <w:tcW w:type="dxa" w:w="1916"/>
            <w:shd w:val="clear" w:color="auto" w:fill="D6E4F0"/>
          </w:tcPr>
          <w:p>
            <w:pPr>
              <w:pStyle w:val="Compact"/>
              <w:jc w:val="left"/>
            </w:pPr>
            <w:r>
              <w:rPr>
                <w:rFonts w:ascii="Arial" w:hAnsi="Arial"/>
                <w:b/>
                <w:sz w:val="18"/>
              </w:rPr>
              <w:t xml:space="preserve">Richtung</w:t>
            </w:r>
          </w:p>
        </w:tc>
        <w:tc>
          <w:tcPr>
            <w:tcW w:type="dxa" w:w="2270"/>
            <w:shd w:val="clear" w:color="auto" w:fill="D6E4F0"/>
          </w:tcPr>
          <w:p>
            <w:pPr>
              <w:pStyle w:val="Compact"/>
              <w:jc w:val="left"/>
            </w:pPr>
            <w:r>
              <w:rPr>
                <w:rFonts w:ascii="Arial" w:hAnsi="Arial"/>
                <w:b/>
                <w:sz w:val="18"/>
              </w:rPr>
              <w:t xml:space="preserve">Evidenzart</w:t>
            </w:r>
          </w:p>
        </w:tc>
        <w:tc>
          <w:tcPr>
            <w:tcW w:type="dxa" w:w="1878"/>
            <w:shd w:val="clear" w:color="auto" w:fill="D6E4F0"/>
          </w:tcPr>
          <w:p>
            <w:pPr>
              <w:pStyle w:val="Compact"/>
              <w:jc w:val="left"/>
            </w:pPr>
            <w:r>
              <w:rPr>
                <w:rFonts w:ascii="Arial" w:hAnsi="Arial"/>
                <w:b/>
                <w:sz w:val="18"/>
              </w:rPr>
              <w:t xml:space="preserve">Belege</w:t>
            </w:r>
          </w:p>
        </w:tc>
        <w:tc>
          <w:tcPr>
            <w:tcW w:type="dxa" w:w="2938"/>
            <w:shd w:val="clear" w:color="auto" w:fill="D6E4F0"/>
          </w:tcPr>
          <w:p>
            <w:pPr>
              <w:pStyle w:val="Compact"/>
              <w:jc w:val="left"/>
            </w:pPr>
            <w:r>
              <w:rPr>
                <w:rFonts w:ascii="Arial" w:hAnsi="Arial"/>
                <w:b/>
                <w:sz w:val="18"/>
              </w:rPr>
              <w:t xml:space="preserve">Fundstelle</w:t>
            </w:r>
          </w:p>
        </w:tc>
      </w:tr>
      <w:tr>
        <w:trPr>
          <w:cantSplit w:val="true"/>
        </w:trPr>
        <w:tc>
          <w:tcPr>
            <w:tcW w:type="dxa" w:w="5795"/>
          </w:tcPr>
          <w:p>
            <w:pPr>
              <w:pStyle w:val="Compact"/>
              <w:jc w:val="left"/>
            </w:pPr>
            <w:r>
              <w:rPr>
                <w:rFonts w:ascii="Arial" w:hAnsi="Arial"/>
                <w:sz w:val="18"/>
              </w:rPr>
              <w:t xml:space="preserve">Nutzung tagsüber</w:t>
            </w:r>
          </w:p>
        </w:tc>
        <w:tc>
          <w:tcPr>
            <w:tcW w:type="dxa" w:w="1916"/>
          </w:tcPr>
          <w:p>
            <w:pPr>
              <w:pStyle w:val="Compact"/>
              <w:jc w:val="left"/>
            </w:pPr>
            <w:r>
              <w:rPr>
                <w:rFonts w:ascii="Arial" w:hAnsi="Arial"/>
                <w:sz w:val="18"/>
              </w:rPr>
              <w:t xml:space="preserve">förderlich</w:t>
            </w:r>
          </w:p>
        </w:tc>
        <w:tc>
          <w:tcPr>
            <w:tcW w:type="dxa" w:w="2270"/>
          </w:tcPr>
          <w:p>
            <w:pPr>
              <w:pStyle w:val="Compact"/>
              <w:jc w:val="left"/>
            </w:pPr>
            <w:r>
              <w:rPr>
                <w:rFonts w:ascii="Arial" w:hAnsi="Arial"/>
                <w:sz w:val="18"/>
              </w:rPr>
              <w:t xml:space="preserve">statistisch</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Intervention-Related, Abs. 1</w:t>
            </w:r>
          </w:p>
        </w:tc>
      </w:tr>
      <w:tr>
        <w:trPr>
          <w:cantSplit w:val="true"/>
        </w:trPr>
        <w:tc>
          <w:tcPr>
            <w:tcW w:type="dxa" w:w="5795"/>
            <w:shd w:val="clear" w:color="auto" w:fill="EEF3F9"/>
          </w:tcPr>
          <w:p>
            <w:pPr>
              <w:pStyle w:val="Compact"/>
              <w:jc w:val="left"/>
            </w:pPr>
            <w:r>
              <w:rPr>
                <w:rFonts w:ascii="Arial" w:hAnsi="Arial"/>
                <w:sz w:val="18"/>
              </w:rPr>
              <w:t xml:space="preserve">Werktage gegenüber Wochenende</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statistisch</w:t>
            </w:r>
          </w:p>
        </w:tc>
        <w:tc>
          <w:tcPr>
            <w:tcW w:type="dxa" w:w="1878"/>
            <w:shd w:val="clear" w:color="auto" w:fill="EEF3F9"/>
          </w:tcPr>
          <w:p>
            <w:pPr>
              <w:pStyle w:val="Compact"/>
              <w:jc w:val="left"/>
            </w:pPr>
            <w:r>
              <w:rPr>
                <w:rFonts w:ascii="Arial" w:hAnsi="Arial"/>
                <w:sz w:val="18"/>
              </w:rPr>
              <w:t xml:space="preserve">1</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längere Studiendauer („longer study duration was negatively associated with adherence“)</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statistisch</w:t>
            </w:r>
          </w:p>
        </w:tc>
        <w:tc>
          <w:tcPr>
            <w:tcW w:type="dxa" w:w="1878"/>
          </w:tcPr>
          <w:p>
            <w:pPr>
              <w:pStyle w:val="Compact"/>
              <w:jc w:val="left"/>
            </w:pPr>
            <w:r>
              <w:rPr>
                <w:rFonts w:ascii="Arial" w:hAnsi="Arial"/>
                <w:sz w:val="18"/>
              </w:rPr>
              <w:t xml:space="preserve">2</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Aktivitätstracker</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beschreibend</w:t>
            </w:r>
          </w:p>
        </w:tc>
        <w:tc>
          <w:tcPr>
            <w:tcW w:type="dxa" w:w="1878"/>
            <w:shd w:val="clear" w:color="auto" w:fill="EEF3F9"/>
          </w:tcPr>
          <w:p>
            <w:pPr>
              <w:pStyle w:val="Compact"/>
              <w:jc w:val="left"/>
            </w:pPr>
            <w:r>
              <w:rPr>
                <w:rFonts w:ascii="Arial" w:hAnsi="Arial"/>
                <w:sz w:val="18"/>
              </w:rPr>
              <w:t xml:space="preserve">Bereich, mindestens 2</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Nutzung draußen und allein</w:t>
            </w:r>
          </w:p>
        </w:tc>
        <w:tc>
          <w:tcPr>
            <w:tcW w:type="dxa" w:w="1916"/>
          </w:tcPr>
          <w:p>
            <w:pPr>
              <w:pStyle w:val="Compact"/>
              <w:jc w:val="left"/>
            </w:pPr>
            <w:r>
              <w:rPr>
                <w:rFonts w:ascii="Arial" w:hAnsi="Arial"/>
                <w:sz w:val="18"/>
              </w:rPr>
              <w:t xml:space="preserve">förderlich</w:t>
            </w:r>
          </w:p>
        </w:tc>
        <w:tc>
          <w:tcPr>
            <w:tcW w:type="dxa" w:w="2270"/>
          </w:tcPr>
          <w:p>
            <w:pPr>
              <w:pStyle w:val="Compact"/>
              <w:jc w:val="left"/>
            </w:pPr>
            <w:r>
              <w:rPr>
                <w:rFonts w:ascii="Arial" w:hAnsi="Arial"/>
                <w:sz w:val="18"/>
              </w:rPr>
              <w:t xml:space="preserve">beschreibend</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gezielte Bausteine (Trainingsmissionen, Geschichten, Eltern-Kind-Aktivitäten, Bewegungswissen, Lauf-Protokoll, Wochenläufe)</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beschreibend</w:t>
            </w:r>
          </w:p>
        </w:tc>
        <w:tc>
          <w:tcPr>
            <w:tcW w:type="dxa" w:w="1878"/>
            <w:shd w:val="clear" w:color="auto" w:fill="EEF3F9"/>
          </w:tcPr>
          <w:p>
            <w:pPr>
              <w:pStyle w:val="Compact"/>
              <w:jc w:val="left"/>
            </w:pPr>
            <w:r>
              <w:rPr>
                <w:rFonts w:ascii="Arial" w:hAnsi="Arial"/>
                <w:sz w:val="18"/>
              </w:rPr>
              <w:t xml:space="preserve">1</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kindgerechte Oberfläche</w:t>
            </w:r>
          </w:p>
        </w:tc>
        <w:tc>
          <w:tcPr>
            <w:tcW w:type="dxa" w:w="1916"/>
          </w:tcPr>
          <w:p>
            <w:pPr>
              <w:pStyle w:val="Compact"/>
              <w:jc w:val="left"/>
            </w:pPr>
            <w:r>
              <w:rPr>
                <w:rFonts w:ascii="Arial" w:hAnsi="Arial"/>
                <w:sz w:val="18"/>
              </w:rPr>
              <w:t xml:space="preserve">förderlich</w:t>
            </w:r>
          </w:p>
        </w:tc>
        <w:tc>
          <w:tcPr>
            <w:tcW w:type="dxa" w:w="2270"/>
          </w:tcPr>
          <w:p>
            <w:pPr>
              <w:pStyle w:val="Compact"/>
              <w:jc w:val="left"/>
            </w:pPr>
            <w:r>
              <w:rPr>
                <w:rFonts w:ascii="Arial" w:hAnsi="Arial"/>
                <w:sz w:val="18"/>
              </w:rPr>
              <w:t xml:space="preserve">beschreibend</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Coaching-Sitzungen</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beschreibend</w:t>
            </w:r>
          </w:p>
        </w:tc>
        <w:tc>
          <w:tcPr>
            <w:tcW w:type="dxa" w:w="1878"/>
            <w:shd w:val="clear" w:color="auto" w:fill="EEF3F9"/>
          </w:tcPr>
          <w:p>
            <w:pPr>
              <w:pStyle w:val="Compact"/>
              <w:jc w:val="left"/>
            </w:pPr>
            <w:r>
              <w:rPr>
                <w:rFonts w:ascii="Arial" w:hAnsi="Arial"/>
                <w:sz w:val="18"/>
              </w:rPr>
              <w:t xml:space="preserve">1</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Erinnerungsnachrichten des Coachs</w:t>
            </w:r>
          </w:p>
        </w:tc>
        <w:tc>
          <w:tcPr>
            <w:tcW w:type="dxa" w:w="1916"/>
          </w:tcPr>
          <w:p>
            <w:pPr>
              <w:pStyle w:val="Compact"/>
              <w:jc w:val="left"/>
            </w:pPr>
            <w:r>
              <w:rPr>
                <w:rFonts w:ascii="Arial" w:hAnsi="Arial"/>
                <w:sz w:val="18"/>
              </w:rPr>
              <w:t xml:space="preserve">förderlich</w:t>
            </w:r>
          </w:p>
        </w:tc>
        <w:tc>
          <w:tcPr>
            <w:tcW w:type="dxa" w:w="2270"/>
          </w:tcPr>
          <w:p>
            <w:pPr>
              <w:pStyle w:val="Compact"/>
              <w:jc w:val="left"/>
            </w:pPr>
            <w:r>
              <w:rPr>
                <w:rFonts w:ascii="Arial" w:hAnsi="Arial"/>
                <w:sz w:val="18"/>
              </w:rPr>
              <w:t xml:space="preserve">beschreibend</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technische Probleme, Unzufriedenheit mit Geräten</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beschreibend</w:t>
            </w:r>
          </w:p>
        </w:tc>
        <w:tc>
          <w:tcPr>
            <w:tcW w:type="dxa" w:w="1878"/>
            <w:shd w:val="clear" w:color="auto" w:fill="EEF3F9"/>
          </w:tcPr>
          <w:p>
            <w:pPr>
              <w:pStyle w:val="Compact"/>
              <w:jc w:val="left"/>
            </w:pPr>
            <w:r>
              <w:rPr>
                <w:rFonts w:ascii="Arial" w:hAnsi="Arial"/>
                <w:sz w:val="18"/>
              </w:rPr>
              <w:t xml:space="preserve">2</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soziale Funktionen</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beschreibend</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Wochenaufgaben und Facebook-Videos</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beschreibend</w:t>
            </w:r>
          </w:p>
        </w:tc>
        <w:tc>
          <w:tcPr>
            <w:tcW w:type="dxa" w:w="1878"/>
            <w:shd w:val="clear" w:color="auto" w:fill="EEF3F9"/>
          </w:tcPr>
          <w:p>
            <w:pPr>
              <w:pStyle w:val="Compact"/>
              <w:jc w:val="left"/>
            </w:pPr>
            <w:r>
              <w:rPr>
                <w:rFonts w:ascii="Arial" w:hAnsi="Arial"/>
                <w:sz w:val="18"/>
              </w:rPr>
              <w:t xml:space="preserve">1</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Textnachrichten zur Unterrichtszeit</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beschreibend</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Lernmodule</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beschreibend</w:t>
            </w:r>
          </w:p>
        </w:tc>
        <w:tc>
          <w:tcPr>
            <w:tcW w:type="dxa" w:w="1878"/>
            <w:shd w:val="clear" w:color="auto" w:fill="EEF3F9"/>
          </w:tcPr>
          <w:p>
            <w:pPr>
              <w:pStyle w:val="Compact"/>
              <w:jc w:val="left"/>
            </w:pPr>
            <w:r>
              <w:rPr>
                <w:rFonts w:ascii="Arial" w:hAnsi="Arial"/>
                <w:sz w:val="18"/>
              </w:rPr>
              <w:t xml:space="preserve">1</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übermäßige Videolänge („excessive video duration“)</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beschreibend</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Zielsetzung · Tracking und Monitoring · Spiel und Wettbewerb unter Gleichaltrigen</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qualitativ</w:t>
            </w:r>
          </w:p>
        </w:tc>
        <w:tc>
          <w:tcPr>
            <w:tcW w:type="dxa" w:w="1878"/>
            <w:shd w:val="clear" w:color="auto" w:fill="EEF3F9"/>
          </w:tcPr>
          <w:p>
            <w:pPr>
              <w:pStyle w:val="Compact"/>
              <w:jc w:val="left"/>
            </w:pPr>
            <w:r>
              <w:rPr>
                <w:rFonts w:ascii="Arial" w:hAnsi="Arial"/>
                <w:sz w:val="18"/>
              </w:rPr>
              <w:t xml:space="preserve">je 2</w:t>
            </w:r>
          </w:p>
        </w:tc>
        <w:tc>
          <w:tcPr>
            <w:tcW w:type="dxa" w:w="2938"/>
            <w:shd w:val="clear" w:color="auto" w:fill="EEF3F9"/>
          </w:tcPr>
          <w:p>
            <w:pPr>
              <w:pStyle w:val="Compact"/>
              <w:jc w:val="left"/>
            </w:pPr>
            <w:r>
              <w:rPr>
                <w:rFonts w:ascii="Arial" w:hAnsi="Arial"/>
                <w:sz w:val="18"/>
              </w:rPr>
              <w:t xml:space="preserve">Abs. 2</w:t>
            </w:r>
          </w:p>
        </w:tc>
      </w:tr>
      <w:tr>
        <w:trPr>
          <w:cantSplit w:val="true"/>
        </w:trPr>
        <w:tc>
          <w:tcPr>
            <w:tcW w:type="dxa" w:w="5795"/>
          </w:tcPr>
          <w:p>
            <w:pPr>
              <w:pStyle w:val="Compact"/>
              <w:jc w:val="left"/>
            </w:pPr>
            <w:r>
              <w:rPr>
                <w:rFonts w:ascii="Arial" w:hAnsi="Arial"/>
                <w:sz w:val="18"/>
              </w:rPr>
              <w:t xml:space="preserve">flexible Zielerinnerungen · klare Anleitung mit stufenweiser Schwierigkeit, Ermutigung, immersive Gestaltung · Tracker positiv gesehen · Aktivitätsprotokoll und lokale Angebote · Anreize</w:t>
            </w:r>
          </w:p>
        </w:tc>
        <w:tc>
          <w:tcPr>
            <w:tcW w:type="dxa" w:w="1916"/>
          </w:tcPr>
          <w:p>
            <w:pPr>
              <w:pStyle w:val="Compact"/>
              <w:jc w:val="left"/>
            </w:pPr>
            <w:r>
              <w:rPr>
                <w:rFonts w:ascii="Arial" w:hAnsi="Arial"/>
                <w:sz w:val="18"/>
              </w:rPr>
              <w:t xml:space="preserve">förderlich</w:t>
            </w:r>
          </w:p>
        </w:tc>
        <w:tc>
          <w:tcPr>
            <w:tcW w:type="dxa" w:w="2270"/>
          </w:tcPr>
          <w:p>
            <w:pPr>
              <w:pStyle w:val="Compact"/>
              <w:jc w:val="left"/>
            </w:pPr>
            <w:r>
              <w:rPr>
                <w:rFonts w:ascii="Arial" w:hAnsi="Arial"/>
                <w:sz w:val="18"/>
              </w:rPr>
              <w:t xml:space="preserve">qualitativ</w:t>
            </w:r>
          </w:p>
        </w:tc>
        <w:tc>
          <w:tcPr>
            <w:tcW w:type="dxa" w:w="1878"/>
          </w:tcPr>
          <w:p>
            <w:pPr>
              <w:pStyle w:val="Compact"/>
              <w:jc w:val="left"/>
            </w:pPr>
            <w:r>
              <w:rPr>
                <w:rFonts w:ascii="Arial" w:hAnsi="Arial"/>
                <w:sz w:val="18"/>
              </w:rPr>
              <w:t xml:space="preserve">je 1</w:t>
            </w:r>
          </w:p>
        </w:tc>
        <w:tc>
          <w:tcPr>
            <w:tcW w:type="dxa" w:w="2938"/>
          </w:tcPr>
          <w:p>
            <w:pPr>
              <w:pStyle w:val="Compact"/>
              <w:jc w:val="left"/>
            </w:pPr>
            <w:r>
              <w:rPr>
                <w:rFonts w:ascii="Arial" w:hAnsi="Arial"/>
                <w:sz w:val="18"/>
              </w:rPr>
              <w:t xml:space="preserve">Abs. 2</w:t>
            </w:r>
          </w:p>
        </w:tc>
      </w:tr>
      <w:tr>
        <w:trPr>
          <w:cantSplit w:val="true"/>
        </w:trPr>
        <w:tc>
          <w:tcPr>
            <w:tcW w:type="dxa" w:w="5795"/>
            <w:shd w:val="clear" w:color="auto" w:fill="EEF3F9"/>
          </w:tcPr>
          <w:p>
            <w:pPr>
              <w:pStyle w:val="Compact"/>
              <w:jc w:val="left"/>
            </w:pPr>
            <w:r>
              <w:rPr>
                <w:rFonts w:ascii="Arial" w:hAnsi="Arial"/>
                <w:sz w:val="18"/>
              </w:rPr>
              <w:t xml:space="preserve">abwechslungsreiche Inhalte mit verschiedenen Video- und Sportangeboten</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qualitativ</w:t>
            </w:r>
          </w:p>
        </w:tc>
        <w:tc>
          <w:tcPr>
            <w:tcW w:type="dxa" w:w="1878"/>
            <w:shd w:val="clear" w:color="auto" w:fill="EEF3F9"/>
          </w:tcPr>
          <w:p>
            <w:pPr>
              <w:pStyle w:val="Compact"/>
              <w:jc w:val="left"/>
            </w:pPr>
            <w:r>
              <w:rPr>
                <w:rFonts w:ascii="Arial" w:hAnsi="Arial"/>
                <w:sz w:val="18"/>
              </w:rPr>
              <w:t xml:space="preserve">2</w:t>
            </w:r>
          </w:p>
        </w:tc>
        <w:tc>
          <w:tcPr>
            <w:tcW w:type="dxa" w:w="2938"/>
            <w:shd w:val="clear" w:color="auto" w:fill="EEF3F9"/>
          </w:tcPr>
          <w:p>
            <w:pPr>
              <w:pStyle w:val="Compact"/>
              <w:jc w:val="left"/>
            </w:pPr>
            <w:r>
              <w:rPr>
                <w:rFonts w:ascii="Arial" w:hAnsi="Arial"/>
                <w:sz w:val="18"/>
              </w:rPr>
              <w:t xml:space="preserve">Abs. 2</w:t>
            </w:r>
          </w:p>
        </w:tc>
      </w:tr>
      <w:tr>
        <w:trPr>
          <w:cantSplit w:val="true"/>
        </w:trPr>
        <w:tc>
          <w:tcPr>
            <w:tcW w:type="dxa" w:w="5795"/>
          </w:tcPr>
          <w:p>
            <w:pPr>
              <w:pStyle w:val="Compact"/>
              <w:jc w:val="left"/>
            </w:pPr>
            <w:r>
              <w:rPr>
                <w:rFonts w:ascii="Arial" w:hAnsi="Arial"/>
                <w:sz w:val="18"/>
              </w:rPr>
              <w:t xml:space="preserve">Synchronisierung, Laden der Geräte, Anmeldung</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qualitativ</w:t>
            </w:r>
          </w:p>
        </w:tc>
        <w:tc>
          <w:tcPr>
            <w:tcW w:type="dxa" w:w="1878"/>
          </w:tcPr>
          <w:p>
            <w:pPr>
              <w:pStyle w:val="Compact"/>
              <w:jc w:val="left"/>
            </w:pPr>
            <w:r>
              <w:rPr>
                <w:rFonts w:ascii="Arial" w:hAnsi="Arial"/>
                <w:sz w:val="18"/>
              </w:rPr>
              <w:t xml:space="preserve">5</w:t>
            </w:r>
          </w:p>
        </w:tc>
        <w:tc>
          <w:tcPr>
            <w:tcW w:type="dxa" w:w="2938"/>
          </w:tcPr>
          <w:p>
            <w:pPr>
              <w:pStyle w:val="Compact"/>
              <w:jc w:val="left"/>
            </w:pPr>
            <w:r>
              <w:rPr>
                <w:rFonts w:ascii="Arial" w:hAnsi="Arial"/>
                <w:sz w:val="18"/>
              </w:rPr>
              <w:t xml:space="preserve">Abs. 2</w:t>
            </w:r>
          </w:p>
        </w:tc>
      </w:tr>
      <w:tr>
        <w:trPr>
          <w:cantSplit w:val="true"/>
        </w:trPr>
        <w:tc>
          <w:tcPr>
            <w:tcW w:type="dxa" w:w="5795"/>
            <w:shd w:val="clear" w:color="auto" w:fill="EEF3F9"/>
          </w:tcPr>
          <w:p>
            <w:pPr>
              <w:pStyle w:val="Compact"/>
              <w:jc w:val="left"/>
            </w:pPr>
            <w:r>
              <w:rPr>
                <w:rFonts w:ascii="Arial" w:hAnsi="Arial"/>
                <w:sz w:val="18"/>
              </w:rPr>
              <w:t xml:space="preserve">Geräte als ungenau empfunden</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qualitativ</w:t>
            </w:r>
          </w:p>
        </w:tc>
        <w:tc>
          <w:tcPr>
            <w:tcW w:type="dxa" w:w="1878"/>
            <w:shd w:val="clear" w:color="auto" w:fill="EEF3F9"/>
          </w:tcPr>
          <w:p>
            <w:pPr>
              <w:pStyle w:val="Compact"/>
              <w:jc w:val="left"/>
            </w:pPr>
            <w:r>
              <w:rPr>
                <w:rFonts w:ascii="Arial" w:hAnsi="Arial"/>
                <w:sz w:val="18"/>
              </w:rPr>
              <w:t xml:space="preserve">3</w:t>
            </w:r>
          </w:p>
        </w:tc>
        <w:tc>
          <w:tcPr>
            <w:tcW w:type="dxa" w:w="2938"/>
            <w:shd w:val="clear" w:color="auto" w:fill="EEF3F9"/>
          </w:tcPr>
          <w:p>
            <w:pPr>
              <w:pStyle w:val="Compact"/>
              <w:jc w:val="left"/>
            </w:pPr>
            <w:r>
              <w:rPr>
                <w:rFonts w:ascii="Arial" w:hAnsi="Arial"/>
                <w:sz w:val="18"/>
              </w:rPr>
              <w:t xml:space="preserve">Abs. 2</w:t>
            </w:r>
          </w:p>
        </w:tc>
      </w:tr>
      <w:tr>
        <w:trPr>
          <w:cantSplit w:val="true"/>
        </w:trPr>
        <w:tc>
          <w:tcPr>
            <w:tcW w:type="dxa" w:w="5795"/>
          </w:tcPr>
          <w:p>
            <w:pPr>
              <w:pStyle w:val="Compact"/>
              <w:jc w:val="left"/>
            </w:pPr>
            <w:r>
              <w:rPr>
                <w:rFonts w:ascii="Arial" w:hAnsi="Arial"/>
                <w:sz w:val="18"/>
              </w:rPr>
              <w:t xml:space="preserve">konkurrierende Systeme und Quellen · unattraktive, textlastige Website</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qualitativ</w:t>
            </w:r>
          </w:p>
        </w:tc>
        <w:tc>
          <w:tcPr>
            <w:tcW w:type="dxa" w:w="1878"/>
          </w:tcPr>
          <w:p>
            <w:pPr>
              <w:pStyle w:val="Compact"/>
              <w:jc w:val="left"/>
            </w:pPr>
            <w:r>
              <w:rPr>
                <w:rFonts w:ascii="Arial" w:hAnsi="Arial"/>
                <w:sz w:val="18"/>
              </w:rPr>
              <w:t xml:space="preserve">je 2</w:t>
            </w:r>
          </w:p>
        </w:tc>
        <w:tc>
          <w:tcPr>
            <w:tcW w:type="dxa" w:w="2938"/>
          </w:tcPr>
          <w:p>
            <w:pPr>
              <w:pStyle w:val="Compact"/>
              <w:jc w:val="left"/>
            </w:pPr>
            <w:r>
              <w:rPr>
                <w:rFonts w:ascii="Arial" w:hAnsi="Arial"/>
                <w:sz w:val="18"/>
              </w:rPr>
              <w:t xml:space="preserve">Abs. 2</w:t>
            </w:r>
          </w:p>
        </w:tc>
      </w:tr>
      <w:tr>
        <w:trPr>
          <w:cantSplit w:val="true"/>
        </w:trPr>
        <w:tc>
          <w:tcPr>
            <w:tcW w:type="dxa" w:w="5795"/>
            <w:shd w:val="clear" w:color="auto" w:fill="EEF3F9"/>
          </w:tcPr>
          <w:p>
            <w:pPr>
              <w:pStyle w:val="Compact"/>
              <w:jc w:val="left"/>
            </w:pPr>
            <w:r>
              <w:rPr>
                <w:rFonts w:ascii="Arial" w:hAnsi="Arial"/>
                <w:sz w:val="18"/>
              </w:rPr>
              <w:t xml:space="preserve">wenig soziale Funktionen · unzureichende Belohnung · Foren und Expertenforen</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qualitativ</w:t>
            </w:r>
          </w:p>
        </w:tc>
        <w:tc>
          <w:tcPr>
            <w:tcW w:type="dxa" w:w="1878"/>
            <w:shd w:val="clear" w:color="auto" w:fill="EEF3F9"/>
          </w:tcPr>
          <w:p>
            <w:pPr>
              <w:pStyle w:val="Compact"/>
              <w:jc w:val="left"/>
            </w:pPr>
            <w:r>
              <w:rPr>
                <w:rFonts w:ascii="Arial" w:hAnsi="Arial"/>
                <w:sz w:val="18"/>
              </w:rPr>
              <w:t xml:space="preserve">je 1</w:t>
            </w:r>
          </w:p>
        </w:tc>
        <w:tc>
          <w:tcPr>
            <w:tcW w:type="dxa" w:w="2938"/>
            <w:shd w:val="clear" w:color="auto" w:fill="EEF3F9"/>
          </w:tcPr>
          <w:p>
            <w:pPr>
              <w:pStyle w:val="Compact"/>
              <w:jc w:val="left"/>
            </w:pPr>
            <w:r>
              <w:rPr>
                <w:rFonts w:ascii="Arial" w:hAnsi="Arial"/>
                <w:sz w:val="18"/>
              </w:rPr>
              <w:t xml:space="preserve">Abs. 2</w:t>
            </w:r>
          </w:p>
        </w:tc>
      </w:tr>
      <w:tr>
        <w:trPr>
          <w:cantSplit w:val="true"/>
        </w:trPr>
        <w:tc>
          <w:tcPr>
            <w:tcW w:type="dxa" w:w="5795"/>
          </w:tcPr>
          <w:p>
            <w:pPr>
              <w:pStyle w:val="Compact"/>
              <w:jc w:val="left"/>
            </w:pPr>
            <w:r>
              <w:rPr>
                <w:rFonts w:ascii="Arial" w:hAnsi="Arial"/>
                <w:sz w:val="18"/>
              </w:rPr>
              <w:t xml:space="preserve">Textnachrichten statt E-Mails bevorzugt (E-Mails im Spam)</w:t>
            </w:r>
          </w:p>
        </w:tc>
        <w:tc>
          <w:tcPr>
            <w:tcW w:type="dxa" w:w="1916"/>
          </w:tcPr>
          <w:p>
            <w:pPr>
              <w:pStyle w:val="Compact"/>
              <w:jc w:val="left"/>
            </w:pPr>
            <w:r>
              <w:rPr>
                <w:rFonts w:ascii="Arial" w:hAnsi="Arial"/>
                <w:sz w:val="18"/>
              </w:rPr>
              <w:t xml:space="preserve">Hinweis</w:t>
            </w:r>
          </w:p>
        </w:tc>
        <w:tc>
          <w:tcPr>
            <w:tcW w:type="dxa" w:w="2270"/>
          </w:tcPr>
          <w:p>
            <w:pPr>
              <w:pStyle w:val="Compact"/>
              <w:jc w:val="left"/>
            </w:pPr>
            <w:r>
              <w:rPr>
                <w:rFonts w:ascii="Arial" w:hAnsi="Arial"/>
                <w:sz w:val="18"/>
              </w:rPr>
              <w:t xml:space="preserve">qualitativ</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Abs. 2</w:t>
            </w:r>
          </w:p>
        </w:tc>
      </w:tr>
      <w:tr>
        <w:trPr>
          <w:cantSplit w:val="true"/>
        </w:trPr>
        <w:tc>
          <w:tcPr>
            <w:tcW w:type="dxa" w:w="5795"/>
            <w:shd w:val="clear" w:color="auto" w:fill="EEF3F9"/>
          </w:tcPr>
          <w:p>
            <w:pPr>
              <w:pStyle w:val="Compact"/>
              <w:jc w:val="left"/>
            </w:pPr>
            <w:r>
              <w:rPr>
                <w:rFonts w:ascii="Arial" w:hAnsi="Arial"/>
                <w:sz w:val="18"/>
              </w:rPr>
              <w:t xml:space="preserve">Update (zehn Studien, Evidenzart nicht getrennt): Personalisierung (Rückmeldung durch Pflegekräfte, Inhalte nach Veränderungsbereitschaft) · menschliche Unterstützung (Monitoring durch Pflegekräfte, wöchentliche Coaching-Anrufe, Live-Betreuung aus der Ferne) · vertraute Plattform und Fernvermittlung</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nicht getrennt</w:t>
            </w:r>
          </w:p>
        </w:tc>
        <w:tc>
          <w:tcPr>
            <w:tcW w:type="dxa" w:w="1878"/>
            <w:shd w:val="clear" w:color="auto" w:fill="EEF3F9"/>
          </w:tcPr>
          <w:p>
            <w:pPr>
              <w:pStyle w:val="Compact"/>
              <w:jc w:val="left"/>
            </w:pPr>
            <w:r>
              <w:rPr>
                <w:rFonts w:ascii="Arial" w:hAnsi="Arial"/>
                <w:sz w:val="18"/>
              </w:rPr>
              <w:t xml:space="preserve">je 1, vertraute Plattform 2</w:t>
            </w:r>
          </w:p>
        </w:tc>
        <w:tc>
          <w:tcPr>
            <w:tcW w:type="dxa" w:w="2938"/>
            <w:shd w:val="clear" w:color="auto" w:fill="EEF3F9"/>
          </w:tcPr>
          <w:p>
            <w:pPr>
              <w:pStyle w:val="Compact"/>
              <w:jc w:val="left"/>
            </w:pPr>
            <w:r>
              <w:rPr>
                <w:rFonts w:ascii="Arial" w:hAnsi="Arial"/>
                <w:sz w:val="18"/>
              </w:rPr>
              <w:t xml:space="preserve">Abs. 3</w:t>
            </w:r>
          </w:p>
        </w:tc>
      </w:tr>
      <w:tr>
        <w:trPr>
          <w:cantSplit w:val="true"/>
        </w:trPr>
        <w:tc>
          <w:tcPr>
            <w:tcW w:type="dxa" w:w="5795"/>
          </w:tcPr>
          <w:p>
            <w:pPr>
              <w:pStyle w:val="Compact"/>
              <w:jc w:val="left"/>
            </w:pPr>
            <w:r>
              <w:rPr>
                <w:rFonts w:ascii="Arial" w:hAnsi="Arial"/>
                <w:sz w:val="18"/>
              </w:rPr>
              <w:t xml:space="preserve">Update: fehlende Anpassbarkeit · fehlende therapeutische Unterstützung · Ranglisten, die schlechter Platzierte entmutigten · Laden, Synchronisieren, vergessenes Tragen der Tracker</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nicht getrennt</w:t>
            </w:r>
          </w:p>
        </w:tc>
        <w:tc>
          <w:tcPr>
            <w:tcW w:type="dxa" w:w="1878"/>
          </w:tcPr>
          <w:p>
            <w:pPr>
              <w:pStyle w:val="Compact"/>
              <w:jc w:val="left"/>
            </w:pPr>
            <w:r>
              <w:rPr>
                <w:rFonts w:ascii="Arial" w:hAnsi="Arial"/>
                <w:sz w:val="18"/>
              </w:rPr>
              <w:t xml:space="preserve">je 1, Tracker 2</w:t>
            </w:r>
          </w:p>
        </w:tc>
        <w:tc>
          <w:tcPr>
            <w:tcW w:type="dxa" w:w="2938"/>
          </w:tcPr>
          <w:p>
            <w:pPr>
              <w:pStyle w:val="Compact"/>
              <w:jc w:val="left"/>
            </w:pPr>
            <w:r>
              <w:rPr>
                <w:rFonts w:ascii="Arial" w:hAnsi="Arial"/>
                <w:sz w:val="18"/>
              </w:rPr>
              <w:t xml:space="preserve">Abs. 3</w:t>
            </w:r>
          </w:p>
        </w:tc>
      </w:tr>
      <w:tr>
        <w:trPr>
          <w:cantSplit w:val="true"/>
        </w:trPr>
        <w:tc>
          <w:tcPr>
            <w:tcW w:type="dxa" w:w="5795"/>
            <w:shd w:val="clear" w:color="auto" w:fill="EEF3F9"/>
          </w:tcPr>
          <w:p>
            <w:pPr>
              <w:pStyle w:val="Compact"/>
              <w:jc w:val="left"/>
            </w:pPr>
            <w:r>
              <w:rPr>
                <w:rFonts w:ascii="Arial" w:hAnsi="Arial"/>
                <w:sz w:val="18"/>
              </w:rPr>
              <w:t xml:space="preserve">hispanische Herkunft</w:t>
            </w:r>
          </w:p>
        </w:tc>
        <w:tc>
          <w:tcPr>
            <w:tcW w:type="dxa" w:w="1916"/>
            <w:shd w:val="clear" w:color="auto" w:fill="EEF3F9"/>
          </w:tcPr>
          <w:p>
            <w:pPr>
              <w:pStyle w:val="Compact"/>
              <w:jc w:val="left"/>
            </w:pPr>
            <w:r>
              <w:rPr>
                <w:rFonts w:ascii="Arial" w:hAnsi="Arial"/>
                <w:sz w:val="18"/>
              </w:rPr>
              <w:t xml:space="preserve">förderlich</w:t>
            </w:r>
          </w:p>
        </w:tc>
        <w:tc>
          <w:tcPr>
            <w:tcW w:type="dxa" w:w="2270"/>
            <w:shd w:val="clear" w:color="auto" w:fill="EEF3F9"/>
          </w:tcPr>
          <w:p>
            <w:pPr>
              <w:pStyle w:val="Compact"/>
              <w:jc w:val="left"/>
            </w:pPr>
            <w:r>
              <w:rPr>
                <w:rFonts w:ascii="Arial" w:hAnsi="Arial"/>
                <w:sz w:val="18"/>
              </w:rPr>
              <w:t xml:space="preserve">statistisch</w:t>
            </w:r>
          </w:p>
        </w:tc>
        <w:tc>
          <w:tcPr>
            <w:tcW w:type="dxa" w:w="1878"/>
            <w:shd w:val="clear" w:color="auto" w:fill="EEF3F9"/>
          </w:tcPr>
          <w:p>
            <w:pPr>
              <w:pStyle w:val="Compact"/>
              <w:jc w:val="left"/>
            </w:pPr>
            <w:r>
              <w:rPr>
                <w:rFonts w:ascii="Arial" w:hAnsi="Arial"/>
                <w:sz w:val="18"/>
              </w:rPr>
              <w:t xml:space="preserve">1</w:t>
            </w:r>
          </w:p>
        </w:tc>
        <w:tc>
          <w:tcPr>
            <w:tcW w:type="dxa" w:w="2938"/>
            <w:shd w:val="clear" w:color="auto" w:fill="EEF3F9"/>
          </w:tcPr>
          <w:p>
            <w:pPr>
              <w:pStyle w:val="Compact"/>
              <w:jc w:val="left"/>
            </w:pPr>
            <w:r>
              <w:rPr>
                <w:rFonts w:ascii="Arial" w:hAnsi="Arial"/>
                <w:sz w:val="18"/>
              </w:rPr>
              <w:t xml:space="preserve">User-Related, Abs. 1</w:t>
            </w:r>
          </w:p>
        </w:tc>
      </w:tr>
      <w:tr>
        <w:trPr>
          <w:cantSplit w:val="true"/>
        </w:trPr>
        <w:tc>
          <w:tcPr>
            <w:tcW w:type="dxa" w:w="5795"/>
          </w:tcPr>
          <w:p>
            <w:pPr>
              <w:pStyle w:val="Compact"/>
              <w:jc w:val="left"/>
            </w:pPr>
            <w:r>
              <w:rPr>
                <w:rFonts w:ascii="Arial" w:hAnsi="Arial"/>
                <w:sz w:val="18"/>
              </w:rPr>
              <w:t xml:space="preserve">Motive nach Geschlecht (Jungen Spaß, Mädchen gegen Langeweile)</w:t>
            </w:r>
          </w:p>
        </w:tc>
        <w:tc>
          <w:tcPr>
            <w:tcW w:type="dxa" w:w="1916"/>
          </w:tcPr>
          <w:p>
            <w:pPr>
              <w:pStyle w:val="Compact"/>
              <w:jc w:val="left"/>
            </w:pPr>
            <w:r>
              <w:rPr>
                <w:rFonts w:ascii="Arial" w:hAnsi="Arial"/>
                <w:sz w:val="18"/>
              </w:rPr>
              <w:t xml:space="preserve">Hinweis</w:t>
            </w:r>
          </w:p>
        </w:tc>
        <w:tc>
          <w:tcPr>
            <w:tcW w:type="dxa" w:w="2270"/>
          </w:tcPr>
          <w:p>
            <w:pPr>
              <w:pStyle w:val="Compact"/>
              <w:jc w:val="left"/>
            </w:pPr>
            <w:r>
              <w:rPr>
                <w:rFonts w:ascii="Arial" w:hAnsi="Arial"/>
                <w:sz w:val="18"/>
              </w:rPr>
              <w:t xml:space="preserve">beschreibend</w:t>
            </w:r>
          </w:p>
        </w:tc>
        <w:tc>
          <w:tcPr>
            <w:tcW w:type="dxa" w:w="1878"/>
          </w:tcPr>
          <w:p>
            <w:pPr>
              <w:pStyle w:val="Compact"/>
              <w:jc w:val="left"/>
            </w:pPr>
            <w:r>
              <w:rPr>
                <w:rFonts w:ascii="Arial" w:hAnsi="Arial"/>
                <w:sz w:val="18"/>
              </w:rPr>
              <w:t xml:space="preserve">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Verletzung, Krankheit, Schmerzen</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beschreibend</w:t>
            </w:r>
          </w:p>
        </w:tc>
        <w:tc>
          <w:tcPr>
            <w:tcW w:type="dxa" w:w="1878"/>
            <w:shd w:val="clear" w:color="auto" w:fill="EEF3F9"/>
          </w:tcPr>
          <w:p>
            <w:pPr>
              <w:pStyle w:val="Compact"/>
              <w:jc w:val="left"/>
            </w:pPr>
            <w:r>
              <w:rPr>
                <w:rFonts w:ascii="Arial" w:hAnsi="Arial"/>
                <w:sz w:val="18"/>
              </w:rPr>
              <w:t xml:space="preserve">1</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Beteiligung der Familie · wahrgenommener persönlicher Nutzen</w:t>
            </w:r>
          </w:p>
        </w:tc>
        <w:tc>
          <w:tcPr>
            <w:tcW w:type="dxa" w:w="1916"/>
          </w:tcPr>
          <w:p>
            <w:pPr>
              <w:pStyle w:val="Compact"/>
              <w:jc w:val="left"/>
            </w:pPr>
            <w:r>
              <w:rPr>
                <w:rFonts w:ascii="Arial" w:hAnsi="Arial"/>
                <w:sz w:val="18"/>
              </w:rPr>
              <w:t xml:space="preserve">förderlich</w:t>
            </w:r>
          </w:p>
        </w:tc>
        <w:tc>
          <w:tcPr>
            <w:tcW w:type="dxa" w:w="2270"/>
          </w:tcPr>
          <w:p>
            <w:pPr>
              <w:pStyle w:val="Compact"/>
              <w:jc w:val="left"/>
            </w:pPr>
            <w:r>
              <w:rPr>
                <w:rFonts w:ascii="Arial" w:hAnsi="Arial"/>
                <w:sz w:val="18"/>
              </w:rPr>
              <w:t xml:space="preserve">qualitativ</w:t>
            </w:r>
          </w:p>
        </w:tc>
        <w:tc>
          <w:tcPr>
            <w:tcW w:type="dxa" w:w="1878"/>
          </w:tcPr>
          <w:p>
            <w:pPr>
              <w:pStyle w:val="Compact"/>
              <w:jc w:val="left"/>
            </w:pPr>
            <w:r>
              <w:rPr>
                <w:rFonts w:ascii="Arial" w:hAnsi="Arial"/>
                <w:sz w:val="18"/>
              </w:rPr>
              <w:t xml:space="preserve">je 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fehlendes Interesse · Zeitmangel</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qualitativ</w:t>
            </w:r>
          </w:p>
        </w:tc>
        <w:tc>
          <w:tcPr>
            <w:tcW w:type="dxa" w:w="1878"/>
            <w:shd w:val="clear" w:color="auto" w:fill="EEF3F9"/>
          </w:tcPr>
          <w:p>
            <w:pPr>
              <w:pStyle w:val="Compact"/>
              <w:jc w:val="left"/>
            </w:pPr>
            <w:r>
              <w:rPr>
                <w:rFonts w:ascii="Arial" w:hAnsi="Arial"/>
                <w:sz w:val="18"/>
              </w:rPr>
              <w:t xml:space="preserve">je 2</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kurzfristige Motivation · fehlendes WLAN oder Datenvolumen · zu wenig Speicher</w:t>
            </w:r>
          </w:p>
        </w:tc>
        <w:tc>
          <w:tcPr>
            <w:tcW w:type="dxa" w:w="1916"/>
          </w:tcPr>
          <w:p>
            <w:pPr>
              <w:pStyle w:val="Compact"/>
              <w:jc w:val="left"/>
            </w:pPr>
            <w:r>
              <w:rPr>
                <w:rFonts w:ascii="Arial" w:hAnsi="Arial"/>
                <w:sz w:val="18"/>
              </w:rPr>
              <w:t xml:space="preserve">hemmend</w:t>
            </w:r>
          </w:p>
        </w:tc>
        <w:tc>
          <w:tcPr>
            <w:tcW w:type="dxa" w:w="2270"/>
          </w:tcPr>
          <w:p>
            <w:pPr>
              <w:pStyle w:val="Compact"/>
              <w:jc w:val="left"/>
            </w:pPr>
            <w:r>
              <w:rPr>
                <w:rFonts w:ascii="Arial" w:hAnsi="Arial"/>
                <w:sz w:val="18"/>
              </w:rPr>
              <w:t xml:space="preserve">qualitativ</w:t>
            </w:r>
          </w:p>
        </w:tc>
        <w:tc>
          <w:tcPr>
            <w:tcW w:type="dxa" w:w="1878"/>
          </w:tcPr>
          <w:p>
            <w:pPr>
              <w:pStyle w:val="Compact"/>
              <w:jc w:val="left"/>
            </w:pPr>
            <w:r>
              <w:rPr>
                <w:rFonts w:ascii="Arial" w:hAnsi="Arial"/>
                <w:sz w:val="18"/>
              </w:rPr>
              <w:t xml:space="preserve">je 1</w:t>
            </w:r>
          </w:p>
        </w:tc>
        <w:tc>
          <w:tcPr>
            <w:tcW w:type="dxa" w:w="2938"/>
          </w:tcPr>
          <w:p>
            <w:pPr>
              <w:pStyle w:val="Compact"/>
              <w:jc w:val="left"/>
            </w:pPr>
            <w:r>
              <w:rPr>
                <w:rFonts w:ascii="Arial" w:hAnsi="Arial"/>
                <w:sz w:val="18"/>
              </w:rPr>
              <w:t xml:space="preserve">ebd.</w:t>
            </w:r>
          </w:p>
        </w:tc>
      </w:tr>
      <w:tr>
        <w:trPr>
          <w:cantSplit w:val="true"/>
        </w:trPr>
        <w:tc>
          <w:tcPr>
            <w:tcW w:type="dxa" w:w="5795"/>
            <w:shd w:val="clear" w:color="auto" w:fill="EEF3F9"/>
          </w:tcPr>
          <w:p>
            <w:pPr>
              <w:pStyle w:val="Compact"/>
              <w:jc w:val="left"/>
            </w:pPr>
            <w:r>
              <w:rPr>
                <w:rFonts w:ascii="Arial" w:hAnsi="Arial"/>
                <w:sz w:val="18"/>
              </w:rPr>
              <w:t xml:space="preserve">Vergessen</w:t>
            </w:r>
          </w:p>
        </w:tc>
        <w:tc>
          <w:tcPr>
            <w:tcW w:type="dxa" w:w="1916"/>
            <w:shd w:val="clear" w:color="auto" w:fill="EEF3F9"/>
          </w:tcPr>
          <w:p>
            <w:pPr>
              <w:pStyle w:val="Compact"/>
              <w:jc w:val="left"/>
            </w:pPr>
            <w:r>
              <w:rPr>
                <w:rFonts w:ascii="Arial" w:hAnsi="Arial"/>
                <w:sz w:val="18"/>
              </w:rPr>
              <w:t xml:space="preserve">hemmend</w:t>
            </w:r>
          </w:p>
        </w:tc>
        <w:tc>
          <w:tcPr>
            <w:tcW w:type="dxa" w:w="2270"/>
            <w:shd w:val="clear" w:color="auto" w:fill="EEF3F9"/>
          </w:tcPr>
          <w:p>
            <w:pPr>
              <w:pStyle w:val="Compact"/>
              <w:jc w:val="left"/>
            </w:pPr>
            <w:r>
              <w:rPr>
                <w:rFonts w:ascii="Arial" w:hAnsi="Arial"/>
                <w:sz w:val="18"/>
              </w:rPr>
              <w:t xml:space="preserve">qualitativ</w:t>
            </w:r>
          </w:p>
        </w:tc>
        <w:tc>
          <w:tcPr>
            <w:tcW w:type="dxa" w:w="1878"/>
            <w:shd w:val="clear" w:color="auto" w:fill="EEF3F9"/>
          </w:tcPr>
          <w:p>
            <w:pPr>
              <w:pStyle w:val="Compact"/>
              <w:jc w:val="left"/>
            </w:pPr>
            <w:r>
              <w:rPr>
                <w:rFonts w:ascii="Arial" w:hAnsi="Arial"/>
                <w:sz w:val="18"/>
              </w:rPr>
              <w:t xml:space="preserve">2</w:t>
            </w:r>
          </w:p>
        </w:tc>
        <w:tc>
          <w:tcPr>
            <w:tcW w:type="dxa" w:w="2938"/>
            <w:shd w:val="clear" w:color="auto" w:fill="EEF3F9"/>
          </w:tcPr>
          <w:p>
            <w:pPr>
              <w:pStyle w:val="Compact"/>
              <w:jc w:val="left"/>
            </w:pPr>
            <w:r>
              <w:rPr>
                <w:rFonts w:ascii="Arial" w:hAnsi="Arial"/>
                <w:sz w:val="18"/>
              </w:rPr>
              <w:t xml:space="preserve">ebd.</w:t>
            </w:r>
          </w:p>
        </w:tc>
      </w:tr>
      <w:tr>
        <w:trPr>
          <w:cantSplit w:val="true"/>
        </w:trPr>
        <w:tc>
          <w:tcPr>
            <w:tcW w:type="dxa" w:w="5795"/>
          </w:tcPr>
          <w:p>
            <w:pPr>
              <w:pStyle w:val="Compact"/>
              <w:jc w:val="left"/>
            </w:pPr>
            <w:r>
              <w:rPr>
                <w:rFonts w:ascii="Arial" w:hAnsi="Arial"/>
                <w:sz w:val="18"/>
              </w:rPr>
              <w:t xml:space="preserve">Update: Kompetenz- und Autonomieerleben (1), wahrgenommener Gesundheitsgewinn (2)</w:t>
            </w:r>
          </w:p>
        </w:tc>
        <w:tc>
          <w:tcPr>
            <w:tcW w:type="dxa" w:w="1916"/>
          </w:tcPr>
          <w:p>
            <w:pPr>
              <w:pStyle w:val="Compact"/>
              <w:jc w:val="left"/>
            </w:pPr>
            <w:r>
              <w:rPr>
                <w:rFonts w:ascii="Arial" w:hAnsi="Arial"/>
                <w:sz w:val="18"/>
              </w:rPr>
              <w:t xml:space="preserve">förderlich</w:t>
            </w:r>
          </w:p>
        </w:tc>
        <w:tc>
          <w:tcPr>
            <w:tcW w:type="dxa" w:w="2270"/>
          </w:tcPr>
          <w:p>
            <w:pPr>
              <w:pStyle w:val="Compact"/>
              <w:jc w:val="left"/>
            </w:pPr>
            <w:r>
              <w:rPr>
                <w:rFonts w:ascii="Arial" w:hAnsi="Arial"/>
                <w:sz w:val="18"/>
              </w:rPr>
              <w:t xml:space="preserve">nicht getrennt</w:t>
            </w:r>
          </w:p>
        </w:tc>
        <w:tc>
          <w:tcPr>
            <w:tcW w:type="dxa" w:w="1878"/>
          </w:tcPr>
          <w:p>
            <w:pPr>
              <w:pStyle w:val="Compact"/>
              <w:jc w:val="left"/>
            </w:pPr>
            <w:r>
              <w:rPr>
                <w:rFonts w:ascii="Arial" w:hAnsi="Arial"/>
                <w:sz w:val="18"/>
              </w:rPr>
              <w:t xml:space="preserve">1 und 2</w:t>
            </w:r>
          </w:p>
        </w:tc>
        <w:tc>
          <w:tcPr>
            <w:tcW w:type="dxa" w:w="2938"/>
          </w:tcPr>
          <w:p>
            <w:pPr>
              <w:pStyle w:val="Compact"/>
              <w:jc w:val="left"/>
            </w:pPr>
            <w:r>
              <w:rPr>
                <w:rFonts w:ascii="Arial" w:hAnsi="Arial"/>
                <w:sz w:val="18"/>
              </w:rPr>
              <w:t xml:space="preserve">User-Related, Abs. 2</w:t>
            </w:r>
          </w:p>
        </w:tc>
      </w:tr>
      <w:tr>
        <w:trPr>
          <w:cantSplit w:val="true"/>
        </w:trPr>
        <w:tc>
          <w:tcPr>
            <w:tcW w:type="dxa" w:w="5795"/>
            <w:shd w:val="clear" w:color="auto" w:fill="EEF3F9"/>
          </w:tcPr>
          <w:p>
            <w:pPr>
              <w:pStyle w:val="Compact"/>
              <w:jc w:val="left"/>
            </w:pPr>
            <w:r>
              <w:rPr>
                <w:rFonts w:ascii="Arial" w:hAnsi="Arial"/>
                <w:sz w:val="18"/>
              </w:rPr>
              <w:t xml:space="preserve">Update: nachlassende Motivation und Interessenverlust (3) · Krankheitslast in klinischen Gruppen (Bereich) · Zeitmangel durch Schule und Laden der Geräte (3) · Richtung des Alters uneinheitlich (1)</w:t>
            </w:r>
          </w:p>
        </w:tc>
        <w:tc>
          <w:tcPr>
            <w:tcW w:type="dxa" w:w="1916"/>
            <w:shd w:val="clear" w:color="auto" w:fill="EEF3F9"/>
          </w:tcPr>
          <w:p>
            <w:pPr>
              <w:pStyle w:val="Compact"/>
              <w:jc w:val="left"/>
            </w:pPr>
            <w:r>
              <w:rPr>
                <w:rFonts w:ascii="Arial" w:hAnsi="Arial"/>
                <w:sz w:val="18"/>
              </w:rPr>
              <w:t xml:space="preserve">hemmend bzw. offen</w:t>
            </w:r>
          </w:p>
        </w:tc>
        <w:tc>
          <w:tcPr>
            <w:tcW w:type="dxa" w:w="2270"/>
            <w:shd w:val="clear" w:color="auto" w:fill="EEF3F9"/>
          </w:tcPr>
          <w:p>
            <w:pPr>
              <w:pStyle w:val="Compact"/>
              <w:jc w:val="left"/>
            </w:pPr>
            <w:r>
              <w:rPr>
                <w:rFonts w:ascii="Arial" w:hAnsi="Arial"/>
                <w:sz w:val="18"/>
              </w:rPr>
              <w:t xml:space="preserve">nicht getrennt</w:t>
            </w:r>
          </w:p>
        </w:tc>
        <w:tc>
          <w:tcPr>
            <w:tcW w:type="dxa" w:w="1878"/>
            <w:shd w:val="clear" w:color="auto" w:fill="EEF3F9"/>
          </w:tcPr>
          <w:p>
            <w:pPr>
              <w:pStyle w:val="Compact"/>
              <w:jc w:val="left"/>
            </w:pPr>
            <w:r>
              <w:rPr>
                <w:rFonts w:ascii="Arial" w:hAnsi="Arial"/>
                <w:sz w:val="18"/>
              </w:rPr>
              <w:t xml:space="preserve">wie angegeben</w:t>
            </w:r>
          </w:p>
        </w:tc>
        <w:tc>
          <w:tcPr>
            <w:tcW w:type="dxa" w:w="2938"/>
            <w:shd w:val="clear" w:color="auto" w:fill="EEF3F9"/>
          </w:tcPr>
          <w:p>
            <w:pPr>
              <w:pStyle w:val="Compact"/>
              <w:jc w:val="left"/>
            </w:pPr>
            <w:r>
              <w:rPr>
                <w:rFonts w:ascii="Arial" w:hAnsi="Arial"/>
                <w:sz w:val="18"/>
              </w:rPr>
              <w:t xml:space="preserve">ebd.</w:t>
            </w:r>
          </w:p>
        </w:tc>
      </w:tr>
    </w:tbl>
    <w:p>
      <w:pPr>
        <w:pStyle w:val="BodyText"/>
      </w:pPr>
      <w:r>
        <w:rPr>
          <w:rFonts w:ascii="Arial" w:hAnsi="Arial"/>
        </w:rPr>
        <w:t xml:space="preserve">Werte im Bewegungsteil: Bestandteil-Adhärenz 62,8 % (§ 4.1), Studienabbruch 14,1 % (§ 4.2). Eine Abschlussrate für Bewegung nennt der Haupttext nicht.</w:t>
      </w:r>
    </w:p>
    <w:bookmarkEnd w:id="32"/>
    <w:bookmarkStart w:id="33" w:name="X0152a461686a62858eaf7338975f0e94db0d30d"/>
    <w:p>
      <w:pPr>
        <w:pStyle w:val="Heading3"/>
      </w:pPr>
      <w:r>
        <w:rPr>
          <w:rFonts w:ascii="Arial" w:hAnsi="Arial"/>
        </w:rPr>
        <w:t xml:space="preserve">4.5 Querschnitt zu den Punkten, die die eigene Umsetzung berühren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876"/>
        <w:gridCol w:w="4827"/>
        <w:gridCol w:w="3843"/>
        <w:gridCol w:w="3251"/>
      </w:tblGrid>
      <w:tr>
        <w:trPr>
          <w:tblHeader w:val="true"/>
          <w:tblHeader w:val="true"/>
          <w:cantSplit w:val="true"/>
        </w:trPr>
        <w:tc>
          <w:tcPr>
            <w:tcW w:type="dxa" w:w="2876"/>
            <w:shd w:val="clear" w:color="auto" w:fill="D6E4F0"/>
          </w:tcPr>
          <w:p>
            <w:pPr>
              <w:pStyle w:val="Compact"/>
              <w:jc w:val="left"/>
            </w:pPr>
            <w:r>
              <w:rPr>
                <w:rFonts w:ascii="Arial" w:hAnsi="Arial"/>
                <w:b/>
                <w:sz w:val="18"/>
              </w:rPr>
              <w:t xml:space="preserve">Thema</w:t>
            </w:r>
          </w:p>
        </w:tc>
        <w:tc>
          <w:tcPr>
            <w:tcW w:type="dxa" w:w="4827"/>
            <w:shd w:val="clear" w:color="auto" w:fill="D6E4F0"/>
          </w:tcPr>
          <w:p>
            <w:pPr>
              <w:pStyle w:val="Compact"/>
              <w:jc w:val="left"/>
            </w:pPr>
            <w:r>
              <w:rPr>
                <w:rFonts w:ascii="Arial" w:hAnsi="Arial"/>
                <w:b/>
                <w:sz w:val="18"/>
              </w:rPr>
              <w:t xml:space="preserve">Befund der Übersicht</w:t>
            </w:r>
          </w:p>
        </w:tc>
        <w:tc>
          <w:tcPr>
            <w:tcW w:type="dxa" w:w="3843"/>
            <w:shd w:val="clear" w:color="auto" w:fill="D6E4F0"/>
          </w:tcPr>
          <w:p>
            <w:pPr>
              <w:pStyle w:val="Compact"/>
              <w:jc w:val="left"/>
            </w:pPr>
            <w:r>
              <w:rPr>
                <w:rFonts w:ascii="Arial" w:hAnsi="Arial"/>
                <w:b/>
                <w:sz w:val="18"/>
              </w:rPr>
              <w:t xml:space="preserve">Fundstelle</w:t>
            </w:r>
          </w:p>
        </w:tc>
        <w:tc>
          <w:tcPr>
            <w:tcW w:type="dxa" w:w="3251"/>
            <w:shd w:val="clear" w:color="auto" w:fill="D6E4F0"/>
          </w:tcPr>
          <w:p>
            <w:pPr>
              <w:pStyle w:val="Compact"/>
              <w:jc w:val="left"/>
            </w:pPr>
            <w:r>
              <w:rPr>
                <w:rFonts w:ascii="Arial" w:hAnsi="Arial"/>
                <w:b/>
                <w:sz w:val="18"/>
              </w:rPr>
              <w:t xml:space="preserve">Gilt für die Arbeit</w:t>
            </w:r>
          </w:p>
        </w:tc>
      </w:tr>
      <w:tr>
        <w:trPr>
          <w:cantSplit w:val="true"/>
        </w:trPr>
        <w:tc>
          <w:tcPr>
            <w:tcW w:type="dxa" w:w="2876"/>
          </w:tcPr>
          <w:p>
            <w:pPr>
              <w:pStyle w:val="Compact"/>
              <w:jc w:val="left"/>
            </w:pPr>
            <w:r>
              <w:rPr>
                <w:rFonts w:ascii="Arial" w:hAnsi="Arial"/>
                <w:sz w:val="18"/>
              </w:rPr>
              <w:t xml:space="preserve">Programmdauer als Studienmerkmal</w:t>
            </w:r>
          </w:p>
        </w:tc>
        <w:tc>
          <w:tcPr>
            <w:tcW w:type="dxa" w:w="4827"/>
          </w:tcPr>
          <w:p>
            <w:pPr>
              <w:pStyle w:val="Compact"/>
              <w:jc w:val="left"/>
            </w:pPr>
            <w:r>
              <w:rPr>
                <w:rFonts w:ascii="Arial" w:hAnsi="Arial"/>
                <w:sz w:val="18"/>
              </w:rPr>
              <w:t xml:space="preserve">Bewegung: länger mit geringerer Adhärenz (statistisch, zwei Studien) · Mehrkomponenten: vier Monate förderlich (beschreibend, zwei), abnehmende Teilnahme über lange Dauer hemmend (beschreibend, drei), kürzere Dauer mit weniger Abbruch (Update, eine) · Metaregression Abbruch: nicht signifikant · Zusammenfassung: „Evidence regarding the effects of intervention duration … was inconsistent“</w:t>
            </w:r>
          </w:p>
        </w:tc>
        <w:tc>
          <w:tcPr>
            <w:tcW w:type="dxa" w:w="3843"/>
          </w:tcPr>
          <w:p>
            <w:pPr>
              <w:pStyle w:val="Compact"/>
              <w:jc w:val="left"/>
            </w:pPr>
            <w:r>
              <w:rPr>
                <w:rFonts w:ascii="Arial" w:hAnsi="Arial"/>
                <w:sz w:val="18"/>
              </w:rPr>
              <w:t xml:space="preserve">Results › Physical Activity › Intervention-Related Factors, Abs. 1 · Results › Multicomponent › Intervention-Related Factors, Abs. 1 und 3 · Results › Quantitative Synthesis of Attrition, Abs. 2 · Abstract › Results</w:t>
            </w:r>
          </w:p>
        </w:tc>
        <w:tc>
          <w:tcPr>
            <w:tcW w:type="dxa" w:w="3251"/>
          </w:tcPr>
          <w:p>
            <w:pPr>
              <w:pStyle w:val="Compact"/>
              <w:jc w:val="left"/>
            </w:pPr>
            <w:r>
              <w:rPr>
                <w:rFonts w:ascii="Arial" w:hAnsi="Arial"/>
                <w:sz w:val="18"/>
              </w:rPr>
              <w:t xml:space="preserve">nur als offene Forschungsfrage, nicht als Erklärung</w:t>
            </w:r>
          </w:p>
        </w:tc>
      </w:tr>
      <w:tr>
        <w:trPr>
          <w:cantSplit w:val="true"/>
        </w:trPr>
        <w:tc>
          <w:tcPr>
            <w:tcW w:type="dxa" w:w="2876"/>
            <w:shd w:val="clear" w:color="auto" w:fill="EEF3F9"/>
          </w:tcPr>
          <w:p>
            <w:pPr>
              <w:pStyle w:val="Compact"/>
              <w:jc w:val="left"/>
            </w:pPr>
            <w:r>
              <w:rPr>
                <w:rFonts w:ascii="Arial" w:hAnsi="Arial"/>
                <w:sz w:val="18"/>
              </w:rPr>
              <w:t xml:space="preserve">Rückgang im Programmverlauf</w:t>
            </w:r>
          </w:p>
        </w:tc>
        <w:tc>
          <w:tcPr>
            <w:tcW w:type="dxa" w:w="4827"/>
            <w:shd w:val="clear" w:color="auto" w:fill="EEF3F9"/>
          </w:tcPr>
          <w:p>
            <w:pPr>
              <w:pStyle w:val="Compact"/>
              <w:jc w:val="left"/>
            </w:pPr>
            <w:r>
              <w:rPr>
                <w:rFonts w:ascii="Arial" w:hAnsi="Arial"/>
                <w:sz w:val="18"/>
              </w:rPr>
              <w:t xml:space="preserve">Diskussion: durchgängiger Befund abnehmender Adhärenz über die Laufzeit, vor allem bei Ernährung und Mehrkomponenten (ein Beleg) · Adipositas statistisch erste gegen zweite Hälfte (zwei) · Ernährung beschreibend abnehmende Teilnahme (eine)</w:t>
            </w:r>
          </w:p>
        </w:tc>
        <w:tc>
          <w:tcPr>
            <w:tcW w:type="dxa" w:w="3843"/>
            <w:shd w:val="clear" w:color="auto" w:fill="EEF3F9"/>
          </w:tcPr>
          <w:p>
            <w:pPr>
              <w:pStyle w:val="Compact"/>
              <w:jc w:val="left"/>
            </w:pPr>
            <w:r>
              <w:rPr>
                <w:rFonts w:ascii="Arial" w:hAnsi="Arial"/>
                <w:sz w:val="18"/>
              </w:rPr>
              <w:t xml:space="preserve">Discussion › Intervention-Related Determinants of Adherence, Abs. 4 · Results › Obesity Management › Intervention-Related Factors, Abs. 1 · Results › Dietary Habits › Intervention-Related Factors, Abs. 1</w:t>
            </w:r>
          </w:p>
        </w:tc>
        <w:tc>
          <w:tcPr>
            <w:tcW w:type="dxa" w:w="3251"/>
            <w:shd w:val="clear" w:color="auto" w:fill="EEF3F9"/>
          </w:tcPr>
          <w:p>
            <w:pPr>
              <w:pStyle w:val="Compact"/>
              <w:jc w:val="left"/>
            </w:pPr>
            <w:r>
              <w:rPr>
                <w:rFonts w:ascii="Arial" w:hAnsi="Arial"/>
                <w:sz w:val="18"/>
              </w:rPr>
              <w:t xml:space="preserve">Kontext zum eigenen Wochenverlauf (K-10.16), keine Erklärung</w:t>
            </w:r>
          </w:p>
        </w:tc>
      </w:tr>
      <w:tr>
        <w:trPr>
          <w:cantSplit w:val="true"/>
        </w:trPr>
        <w:tc>
          <w:tcPr>
            <w:tcW w:type="dxa" w:w="2876"/>
          </w:tcPr>
          <w:p>
            <w:pPr>
              <w:pStyle w:val="Compact"/>
              <w:jc w:val="left"/>
            </w:pPr>
            <w:r>
              <w:rPr>
                <w:rFonts w:ascii="Arial" w:hAnsi="Arial"/>
                <w:sz w:val="18"/>
              </w:rPr>
              <w:t xml:space="preserve">Videolänge</w:t>
            </w:r>
          </w:p>
        </w:tc>
        <w:tc>
          <w:tcPr>
            <w:tcW w:type="dxa" w:w="4827"/>
          </w:tcPr>
          <w:p>
            <w:pPr>
              <w:pStyle w:val="Compact"/>
              <w:jc w:val="left"/>
            </w:pPr>
            <w:r>
              <w:rPr>
                <w:rFonts w:ascii="Arial" w:hAnsi="Arial"/>
                <w:sz w:val="18"/>
              </w:rPr>
              <w:t xml:space="preserve">übermäßige Videolänge als beschreibendes Hemmnis (Bewegung, eine Studie) · Ernährung qualitativ: Videos nicht pausierbar, zu lange Sitzungen (eine)</w:t>
            </w:r>
          </w:p>
        </w:tc>
        <w:tc>
          <w:tcPr>
            <w:tcW w:type="dxa" w:w="3843"/>
          </w:tcPr>
          <w:p>
            <w:pPr>
              <w:pStyle w:val="Compact"/>
              <w:jc w:val="left"/>
            </w:pPr>
            <w:r>
              <w:rPr>
                <w:rFonts w:ascii="Arial" w:hAnsi="Arial"/>
                <w:sz w:val="18"/>
              </w:rPr>
              <w:t xml:space="preserve">Results › Physical Activity › Intervention-Related Factors, Abs. 1 · Results › Dietary Habits › Intervention-Related Factors, Abs. 1</w:t>
            </w:r>
          </w:p>
        </w:tc>
        <w:tc>
          <w:tcPr>
            <w:tcW w:type="dxa" w:w="3251"/>
          </w:tcPr>
          <w:p>
            <w:pPr>
              <w:pStyle w:val="Compact"/>
              <w:jc w:val="left"/>
            </w:pPr>
            <w:r>
              <w:rPr>
                <w:rFonts w:ascii="Arial" w:hAnsi="Arial"/>
                <w:sz w:val="18"/>
              </w:rPr>
              <w:t xml:space="preserve">Forschungsfrage für Kapitel 7, kein Schluss auf die eigenen Einheiten von 33:10 bis 40:07 min (P-10)</w:t>
            </w:r>
          </w:p>
        </w:tc>
      </w:tr>
      <w:tr>
        <w:trPr>
          <w:cantSplit w:val="true"/>
        </w:trPr>
        <w:tc>
          <w:tcPr>
            <w:tcW w:type="dxa" w:w="2876"/>
            <w:shd w:val="clear" w:color="auto" w:fill="EEF3F9"/>
          </w:tcPr>
          <w:p>
            <w:pPr>
              <w:pStyle w:val="Compact"/>
              <w:jc w:val="left"/>
            </w:pPr>
            <w:r>
              <w:rPr>
                <w:rFonts w:ascii="Arial" w:hAnsi="Arial"/>
                <w:sz w:val="18"/>
              </w:rPr>
              <w:t xml:space="preserve">Erinnerungen</w:t>
            </w:r>
          </w:p>
        </w:tc>
        <w:tc>
          <w:tcPr>
            <w:tcW w:type="dxa" w:w="4827"/>
            <w:shd w:val="clear" w:color="auto" w:fill="EEF3F9"/>
          </w:tcPr>
          <w:p>
            <w:pPr>
              <w:pStyle w:val="Compact"/>
              <w:jc w:val="left"/>
            </w:pPr>
            <w:r>
              <w:rPr>
                <w:rFonts w:ascii="Arial" w:hAnsi="Arial"/>
                <w:sz w:val="18"/>
              </w:rPr>
              <w:t xml:space="preserve">Bewegung: Erinnerungen des Coachs (beschreibend), flexible Zielerinnerungen (qualitativ), schlecht getaktete Nachrichten hemmend · Mehrkomponenten und Adipositas: Erinnerungs- und Verstärkungsnachrichten (statistisch, je eine) · Ernährung: zwei bis drei Nachrichten je Woche (statistisch, eine) · Alkohol: ein bis drei Nachrichten je Woche (beschreibend, eine) · Tabak: gut getaktete Aufforderungen (Update, eine) · Diskussion: zeitlich gut gesetzte Erinnerungen unter den einflussreichsten Gestaltungsmerkmalen</w:t>
            </w:r>
          </w:p>
        </w:tc>
        <w:tc>
          <w:tcPr>
            <w:tcW w:type="dxa" w:w="3843"/>
            <w:shd w:val="clear" w:color="auto" w:fill="EEF3F9"/>
          </w:tcPr>
          <w:p>
            <w:pPr>
              <w:pStyle w:val="Compact"/>
              <w:jc w:val="left"/>
            </w:pPr>
            <w:r>
              <w:rPr>
                <w:rFonts w:ascii="Arial" w:hAnsi="Arial"/>
                <w:sz w:val="18"/>
              </w:rPr>
              <w:t xml:space="preserve">Results, je Domäne › Intervention-Related Factors · Discussion › Intervention-Related Determinants of Adherence, Abs. 1</w:t>
            </w:r>
          </w:p>
        </w:tc>
        <w:tc>
          <w:tcPr>
            <w:tcW w:type="dxa" w:w="3251"/>
            <w:shd w:val="clear" w:color="auto" w:fill="EEF3F9"/>
          </w:tcPr>
          <w:p>
            <w:pPr>
              <w:pStyle w:val="Compact"/>
              <w:jc w:val="left"/>
            </w:pPr>
            <w:r>
              <w:rPr>
                <w:rFonts w:ascii="Arial" w:hAnsi="Arial"/>
                <w:sz w:val="18"/>
              </w:rPr>
              <w:t xml:space="preserve">Forschungsfrage, kein Schluss auf die eigenen WhatsApp-Erinnerungen (Häufigkeit nicht protokolliert, 4.6)</w:t>
            </w:r>
          </w:p>
        </w:tc>
      </w:tr>
      <w:tr>
        <w:trPr>
          <w:cantSplit w:val="true"/>
        </w:trPr>
        <w:tc>
          <w:tcPr>
            <w:tcW w:type="dxa" w:w="2876"/>
          </w:tcPr>
          <w:p>
            <w:pPr>
              <w:pStyle w:val="Compact"/>
              <w:jc w:val="left"/>
            </w:pPr>
            <w:r>
              <w:rPr>
                <w:rFonts w:ascii="Arial" w:hAnsi="Arial"/>
                <w:sz w:val="18"/>
              </w:rPr>
              <w:t xml:space="preserve">Coaching und menschliche Unterstützung</w:t>
            </w:r>
          </w:p>
        </w:tc>
        <w:tc>
          <w:tcPr>
            <w:tcW w:type="dxa" w:w="4827"/>
          </w:tcPr>
          <w:p>
            <w:pPr>
              <w:pStyle w:val="Compact"/>
              <w:jc w:val="left"/>
            </w:pPr>
            <w:r>
              <w:rPr>
                <w:rFonts w:ascii="Arial" w:hAnsi="Arial"/>
                <w:sz w:val="18"/>
              </w:rPr>
              <w:t xml:space="preserve">Bewegung: Coaching-Sitzungen (beschreibend), Update: Pflege-Monitoring, wöchentliche Coaching-Anrufe, Live-Betreuung geschätzt, fehlende therapeutische Unterstützung hemmend · Adipositas: Coach-Kommunikation (statistisch, zwei) · Metaregression Abbruch: persönliche Unterstützung nicht signifikant · Diskussion: Skalierbarkeit begrenzt</w:t>
            </w:r>
          </w:p>
        </w:tc>
        <w:tc>
          <w:tcPr>
            <w:tcW w:type="dxa" w:w="3843"/>
          </w:tcPr>
          <w:p>
            <w:pPr>
              <w:pStyle w:val="Compact"/>
              <w:jc w:val="left"/>
            </w:pPr>
            <w:r>
              <w:rPr>
                <w:rFonts w:ascii="Arial" w:hAnsi="Arial"/>
                <w:sz w:val="18"/>
              </w:rPr>
              <w:t xml:space="preserve">Results › Physical Activity › Intervention-Related Factors, Abs. 1 und 3 · Results › Obesity Management › Intervention-Related Factors, Abs. 1 · Discussion › Intervention-Related Determinants of Adherence, Abs. 2 und 3</w:t>
            </w:r>
          </w:p>
        </w:tc>
        <w:tc>
          <w:tcPr>
            <w:tcW w:type="dxa" w:w="3251"/>
          </w:tcPr>
          <w:p>
            <w:pPr>
              <w:pStyle w:val="Compact"/>
              <w:jc w:val="left"/>
            </w:pPr>
            <w:r>
              <w:rPr>
                <w:rFonts w:ascii="Arial" w:hAnsi="Arial"/>
                <w:sz w:val="18"/>
              </w:rPr>
              <w:t xml:space="preserve">Kontext für 6.3 G3 (Aufsicht), kein Beleg für Aufsicht gegen keine Aufsicht im Nachwuchssport</w:t>
            </w:r>
          </w:p>
        </w:tc>
      </w:tr>
      <w:tr>
        <w:trPr>
          <w:cantSplit w:val="true"/>
        </w:trPr>
        <w:tc>
          <w:tcPr>
            <w:tcW w:type="dxa" w:w="2876"/>
            <w:shd w:val="clear" w:color="auto" w:fill="EEF3F9"/>
          </w:tcPr>
          <w:p>
            <w:pPr>
              <w:pStyle w:val="Compact"/>
              <w:jc w:val="left"/>
            </w:pPr>
            <w:r>
              <w:rPr>
                <w:rFonts w:ascii="Arial" w:hAnsi="Arial"/>
                <w:sz w:val="18"/>
              </w:rPr>
              <w:t xml:space="preserve">Fortschrittsrückmeldung</w:t>
            </w:r>
          </w:p>
        </w:tc>
        <w:tc>
          <w:tcPr>
            <w:tcW w:type="dxa" w:w="4827"/>
            <w:shd w:val="clear" w:color="auto" w:fill="EEF3F9"/>
          </w:tcPr>
          <w:p>
            <w:pPr>
              <w:pStyle w:val="Compact"/>
              <w:jc w:val="left"/>
            </w:pPr>
            <w:r>
              <w:rPr>
                <w:rFonts w:ascii="Arial" w:hAnsi="Arial"/>
                <w:sz w:val="18"/>
              </w:rPr>
              <w:t xml:space="preserve">Mehrkomponenten: Rückmeldung zum Fortschritt beschreibend förderlich, Selbstmonitoring teils belastend</w:t>
            </w:r>
          </w:p>
        </w:tc>
        <w:tc>
          <w:tcPr>
            <w:tcW w:type="dxa" w:w="3843"/>
            <w:shd w:val="clear" w:color="auto" w:fill="EEF3F9"/>
          </w:tcPr>
          <w:p>
            <w:pPr>
              <w:pStyle w:val="Compact"/>
              <w:jc w:val="left"/>
            </w:pPr>
            <w:r>
              <w:rPr>
                <w:rFonts w:ascii="Arial" w:hAnsi="Arial"/>
                <w:sz w:val="18"/>
              </w:rPr>
              <w:t xml:space="preserve">Results › Multicomponent › Intervention-Related Factors, Abs. 1 und 3</w:t>
            </w:r>
          </w:p>
        </w:tc>
        <w:tc>
          <w:tcPr>
            <w:tcW w:type="dxa" w:w="3251"/>
            <w:shd w:val="clear" w:color="auto" w:fill="EEF3F9"/>
          </w:tcPr>
          <w:p>
            <w:pPr>
              <w:pStyle w:val="Compact"/>
              <w:jc w:val="left"/>
            </w:pPr>
            <w:r>
              <w:rPr>
                <w:rFonts w:ascii="Arial" w:hAnsi="Arial"/>
                <w:sz w:val="18"/>
              </w:rPr>
              <w:t xml:space="preserve">kein Schluss auf die eigene Fortschrittskarte</w:t>
            </w:r>
          </w:p>
        </w:tc>
      </w:tr>
    </w:tbl>
    <w:bookmarkEnd w:id="33"/>
    <w:bookmarkStart w:id="34" w:name="empfehlung-zur-berichterstattung"/>
    <w:p>
      <w:pPr>
        <w:pStyle w:val="Heading3"/>
      </w:pPr>
      <w:r>
        <w:rPr>
          <w:rFonts w:ascii="Arial" w:hAnsi="Arial"/>
        </w:rPr>
        <w:t xml:space="preserve">4.6 Empfehlung zur Berichterstattung</w:t>
      </w:r>
    </w:p>
    <w:p>
      <w:pPr>
        <w:pStyle w:val="FirstParagraph"/>
      </w:pPr>
      <w:r>
        <w:rPr>
          <w:rFonts w:ascii="Arial" w:hAnsi="Arial"/>
        </w:rPr>
        <w:t xml:space="preserve">Erste Empfehlung für die Forschung: standardisierte Adhärenzmaße, mindestens Abschlussrate und Bestandteil-Adhärenz getrennt, und beide „alongside their operationalization“ berichten (Discussion › Implications for Future Research, Abs. 1). Ebenso die zentrale Empfehlung in Discussion › Domain-Specific Adherence Patterns, Abs. 3, und der Schluss: einheitliche Berichtsrahmen mit validierten Maßen und klar definierten Nutzungsparametern (Discussion › Conclusion, Abs. 1). Weitere Empfehlungen: Gestaltungsmerkmale als Kernbestandteile, experimentelle Prüfung sozialer Funktionen, Bedienbarkeitstests, Dosis-Wirkungs-Analysen der Adhärenz (Implications, Abs. 1).</w:t>
      </w:r>
    </w:p>
    <w:p>
      <w:pPr>
        <w:pStyle w:val="BodyText"/>
      </w:pPr>
      <w:r>
        <w:rPr>
          <w:bCs/>
          <w:rFonts w:ascii="Arial" w:hAnsi="Arial"/>
          <w:b/>
        </w:rPr>
        <w:t xml:space="preserve">Abgleich mit der Arbeit.</w:t>
      </w:r>
      <w:r>
        <w:rPr>
          <w:rFonts w:ascii="Arial" w:hAnsi="Arial"/>
        </w:rPr>
        <w:t xml:space="preserve"> </w:t>
      </w:r>
      <w:r>
        <w:rPr>
          <w:rFonts w:ascii="Arial" w:hAnsi="Arial"/>
        </w:rPr>
        <w:t xml:space="preserve">4.6 definiert die Adhärenz (Meldungen „ganz“ je Spieler bei zwölf angebotenen Einheiten, „teilweise“ gesondert, Zählregel, Antragskriterium 75 %), Kapitel 5 berichtet die Umsetzungsrate mit Rechenweg, den Median, die Zahl der Spieler mit mindestens sechs und neun Einheiten und zwei Untergrenzen, Tab. H2 die Werte je Spieler. Damit sind das Bestandteilmaß mit Operationalisierung und die Verteilung je Spieler berichtet, aus der sich die Abschlussrate nach beiden Lesarten ergibt (Lesart ii steht im Text). Das entspricht der Empfehlung (Stärke für 6.3). Es fehlen: objektive Nutzungsdaten der Videos (nicht erhoben), der Zeitpunkt der Einheiten (nur „Heute“, F17 § 3.2), Gründe nicht durchgeführter Einheiten (nicht erfasst), eine Prüfung der Selbstauskunft. Details im Nachtrag K2 § 3.2.</w:t>
      </w:r>
    </w:p>
    <w:bookmarkEnd w:id="34"/>
    <w:bookmarkEnd w:id="35"/>
    <w:bookmarkStart w:id="36" w:name="güte-und-grenzen"/>
    <w:p>
      <w:pPr>
        <w:pStyle w:val="Heading2"/>
      </w:pPr>
      <w:r>
        <w:rPr>
          <w:rFonts w:ascii="Arial" w:hAnsi="Arial"/>
        </w:rPr>
        <w:t xml:space="preserve">5 Güte und Grenzen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096"/>
        <w:gridCol w:w="4377"/>
        <w:gridCol w:w="4324"/>
      </w:tblGrid>
      <w:tr>
        <w:trPr>
          <w:tblHeader w:val="true"/>
          <w:tblHeader w:val="true"/>
          <w:cantSplit w:val="true"/>
        </w:trPr>
        <w:tc>
          <w:tcPr>
            <w:tcW w:type="dxa" w:w="6096"/>
            <w:shd w:val="clear" w:color="auto" w:fill="D6E4F0"/>
          </w:tcPr>
          <w:p>
            <w:pPr>
              <w:pStyle w:val="Compact"/>
              <w:jc w:val="left"/>
            </w:pPr>
            <w:r>
              <w:rPr>
                <w:rFonts w:ascii="Arial" w:hAnsi="Arial"/>
                <w:b/>
                <w:sz w:val="18"/>
              </w:rPr>
              <w:t xml:space="preserve">Grenze</w:t>
            </w:r>
          </w:p>
        </w:tc>
        <w:tc>
          <w:tcPr>
            <w:tcW w:type="dxa" w:w="4377"/>
            <w:shd w:val="clear" w:color="auto" w:fill="D6E4F0"/>
          </w:tcPr>
          <w:p>
            <w:pPr>
              <w:pStyle w:val="Compact"/>
              <w:jc w:val="left"/>
            </w:pPr>
            <w:r>
              <w:rPr>
                <w:rFonts w:ascii="Arial" w:hAnsi="Arial"/>
                <w:b/>
                <w:sz w:val="18"/>
              </w:rPr>
              <w:t xml:space="preserve">Folge für die Verwendung</w:t>
            </w:r>
          </w:p>
        </w:tc>
        <w:tc>
          <w:tcPr>
            <w:tcW w:type="dxa" w:w="4324"/>
            <w:shd w:val="clear" w:color="auto" w:fill="D6E4F0"/>
          </w:tcPr>
          <w:p>
            <w:pPr>
              <w:pStyle w:val="Compact"/>
              <w:jc w:val="left"/>
            </w:pPr>
            <w:r>
              <w:rPr>
                <w:rFonts w:ascii="Arial" w:hAnsi="Arial"/>
                <w:b/>
                <w:sz w:val="18"/>
              </w:rPr>
              <w:t xml:space="preserve">Fundstelle</w:t>
            </w:r>
          </w:p>
        </w:tc>
      </w:tr>
      <w:tr>
        <w:trPr>
          <w:cantSplit w:val="true"/>
        </w:trPr>
        <w:tc>
          <w:tcPr>
            <w:tcW w:type="dxa" w:w="6096"/>
          </w:tcPr>
          <w:p>
            <w:pPr>
              <w:pStyle w:val="Compact"/>
              <w:jc w:val="left"/>
            </w:pPr>
            <w:r>
              <w:rPr>
                <w:rFonts w:ascii="Arial" w:hAnsi="Arial"/>
                <w:sz w:val="18"/>
              </w:rPr>
              <w:t xml:space="preserve">kein Verzerrungsrisiko der Einzelstudien bewertet, Studien ungeachtet ihrer methodischen Güte gleich behandelt, auch die gepoolten Abbruchschätzer nennen die Autoren beschreibend</w:t>
            </w:r>
          </w:p>
        </w:tc>
        <w:tc>
          <w:tcPr>
            <w:tcW w:type="dxa" w:w="4377"/>
          </w:tcPr>
          <w:p>
            <w:pPr>
              <w:pStyle w:val="Compact"/>
              <w:jc w:val="left"/>
            </w:pPr>
            <w:r>
              <w:rPr>
                <w:rFonts w:ascii="Arial" w:hAnsi="Arial"/>
                <w:sz w:val="18"/>
              </w:rPr>
              <w:t xml:space="preserve">Werte als Beschreibung, nicht als belastbare Schätzer</w:t>
            </w:r>
          </w:p>
        </w:tc>
        <w:tc>
          <w:tcPr>
            <w:tcW w:type="dxa" w:w="4324"/>
          </w:tcPr>
          <w:p>
            <w:pPr>
              <w:pStyle w:val="Compact"/>
              <w:jc w:val="left"/>
            </w:pPr>
            <w:r>
              <w:rPr>
                <w:rFonts w:ascii="Arial" w:hAnsi="Arial"/>
                <w:sz w:val="18"/>
              </w:rPr>
              <w:t xml:space="preserve">Discussion › Limitations, Abs. 1</w:t>
            </w:r>
          </w:p>
        </w:tc>
      </w:tr>
      <w:tr>
        <w:trPr>
          <w:cantSplit w:val="true"/>
        </w:trPr>
        <w:tc>
          <w:tcPr>
            <w:tcW w:type="dxa" w:w="6096"/>
            <w:shd w:val="clear" w:color="auto" w:fill="EEF3F9"/>
          </w:tcPr>
          <w:p>
            <w:pPr>
              <w:pStyle w:val="Compact"/>
              <w:jc w:val="left"/>
            </w:pPr>
            <w:r>
              <w:rPr>
                <w:rFonts w:ascii="Arial" w:hAnsi="Arial"/>
                <w:sz w:val="18"/>
              </w:rPr>
              <w:t xml:space="preserve">Adhärenzwerte beschreibend, ohne genannte Gewichtung, auf 66 und 68 von 143 Vergleichen</w:t>
            </w:r>
          </w:p>
        </w:tc>
        <w:tc>
          <w:tcPr>
            <w:tcW w:type="dxa" w:w="4377"/>
            <w:shd w:val="clear" w:color="auto" w:fill="EEF3F9"/>
          </w:tcPr>
          <w:p>
            <w:pPr>
              <w:pStyle w:val="Compact"/>
              <w:jc w:val="left"/>
            </w:pPr>
            <w:r>
              <w:rPr>
                <w:rFonts w:ascii="Arial" w:hAnsi="Arial"/>
                <w:sz w:val="18"/>
              </w:rPr>
              <w:t xml:space="preserve">„im Mittel“, Quellenart „systematische Übersicht“</w:t>
            </w:r>
          </w:p>
        </w:tc>
        <w:tc>
          <w:tcPr>
            <w:tcW w:type="dxa" w:w="4324"/>
            <w:shd w:val="clear" w:color="auto" w:fill="EEF3F9"/>
          </w:tcPr>
          <w:p>
            <w:pPr>
              <w:pStyle w:val="Compact"/>
              <w:jc w:val="left"/>
            </w:pPr>
            <w:r>
              <w:rPr>
                <w:rFonts w:ascii="Arial" w:hAnsi="Arial"/>
                <w:sz w:val="18"/>
              </w:rPr>
              <w:t xml:space="preserve">ebd. · Results › Characteristics of Digital Interventions, Abs. 4</w:t>
            </w:r>
          </w:p>
        </w:tc>
      </w:tr>
      <w:tr>
        <w:trPr>
          <w:cantSplit w:val="true"/>
        </w:trPr>
        <w:tc>
          <w:tcPr>
            <w:tcW w:type="dxa" w:w="6096"/>
          </w:tcPr>
          <w:p>
            <w:pPr>
              <w:pStyle w:val="Compact"/>
              <w:jc w:val="left"/>
            </w:pPr>
            <w:r>
              <w:rPr>
                <w:rFonts w:ascii="Arial" w:hAnsi="Arial"/>
                <w:sz w:val="18"/>
              </w:rPr>
              <w:t xml:space="preserve">Definitionen uneinheitlich, Bestandteile je Studie verschieden</w:t>
            </w:r>
          </w:p>
        </w:tc>
        <w:tc>
          <w:tcPr>
            <w:tcW w:type="dxa" w:w="4377"/>
          </w:tcPr>
          <w:p>
            <w:pPr>
              <w:pStyle w:val="Compact"/>
              <w:jc w:val="left"/>
            </w:pPr>
            <w:r>
              <w:rPr>
                <w:rFonts w:ascii="Arial" w:hAnsi="Arial"/>
                <w:sz w:val="18"/>
              </w:rPr>
              <w:t xml:space="preserve">kein Vergleich von Zahl zu Zahl, nur Größenordnung in Worten</w:t>
            </w:r>
          </w:p>
        </w:tc>
        <w:tc>
          <w:tcPr>
            <w:tcW w:type="dxa" w:w="4324"/>
          </w:tcPr>
          <w:p>
            <w:pPr>
              <w:pStyle w:val="Compact"/>
              <w:jc w:val="left"/>
            </w:pPr>
            <w:r>
              <w:rPr>
                <w:rFonts w:ascii="Arial" w:hAnsi="Arial"/>
                <w:sz w:val="18"/>
              </w:rPr>
              <w:t xml:space="preserve">Discussion › Limitations, Abs. 1 · Implications, Abs. 1</w:t>
            </w:r>
          </w:p>
        </w:tc>
      </w:tr>
      <w:tr>
        <w:trPr>
          <w:cantSplit w:val="true"/>
        </w:trPr>
        <w:tc>
          <w:tcPr>
            <w:tcW w:type="dxa" w:w="6096"/>
            <w:shd w:val="clear" w:color="auto" w:fill="EEF3F9"/>
          </w:tcPr>
          <w:p>
            <w:pPr>
              <w:pStyle w:val="Compact"/>
              <w:jc w:val="left"/>
            </w:pPr>
            <w:r>
              <w:rPr>
                <w:rFonts w:ascii="Arial" w:hAnsi="Arial"/>
                <w:sz w:val="18"/>
              </w:rPr>
              <w:t xml:space="preserve">sehr hohe Heterogenität (I² 98,3 %, Prognoseintervall 1,7 bis 70,3 %), kein Moderator erklärt sie</w:t>
            </w:r>
          </w:p>
        </w:tc>
        <w:tc>
          <w:tcPr>
            <w:tcW w:type="dxa" w:w="4377"/>
            <w:shd w:val="clear" w:color="auto" w:fill="EEF3F9"/>
          </w:tcPr>
          <w:p>
            <w:pPr>
              <w:pStyle w:val="Compact"/>
              <w:jc w:val="left"/>
            </w:pPr>
            <w:r>
              <w:rPr>
                <w:rFonts w:ascii="Arial" w:hAnsi="Arial"/>
                <w:sz w:val="18"/>
              </w:rPr>
              <w:t xml:space="preserve">keine Erwartung für ein bestimmtes Setting</w:t>
            </w:r>
          </w:p>
        </w:tc>
        <w:tc>
          <w:tcPr>
            <w:tcW w:type="dxa" w:w="4324"/>
            <w:shd w:val="clear" w:color="auto" w:fill="EEF3F9"/>
          </w:tcPr>
          <w:p>
            <w:pPr>
              <w:pStyle w:val="Compact"/>
              <w:jc w:val="left"/>
            </w:pPr>
            <w:r>
              <w:rPr>
                <w:rFonts w:ascii="Arial" w:hAnsi="Arial"/>
                <w:sz w:val="18"/>
              </w:rPr>
              <w:t xml:space="preserve">Results › Quantitative Synthesis of Attrition, Abs. 1 und 2</w:t>
            </w:r>
          </w:p>
        </w:tc>
      </w:tr>
      <w:tr>
        <w:trPr>
          <w:cantSplit w:val="true"/>
        </w:trPr>
        <w:tc>
          <w:tcPr>
            <w:tcW w:type="dxa" w:w="6096"/>
          </w:tcPr>
          <w:p>
            <w:pPr>
              <w:pStyle w:val="Compact"/>
              <w:jc w:val="left"/>
            </w:pPr>
            <w:r>
              <w:rPr>
                <w:rFonts w:ascii="Arial" w:hAnsi="Arial"/>
                <w:sz w:val="18"/>
              </w:rPr>
              <w:t xml:space="preserve">Domänenwerte auf 4 bis 24 Vergleichen, nur hinweisend, Bewegung ohne SD und Vergleichszahl</w:t>
            </w:r>
          </w:p>
        </w:tc>
        <w:tc>
          <w:tcPr>
            <w:tcW w:type="dxa" w:w="4377"/>
          </w:tcPr>
          <w:p>
            <w:pPr>
              <w:pStyle w:val="Compact"/>
              <w:jc w:val="left"/>
            </w:pPr>
            <w:r>
              <w:rPr>
                <w:rFonts w:ascii="Arial" w:hAnsi="Arial"/>
                <w:sz w:val="18"/>
              </w:rPr>
              <w:t xml:space="preserve">Bewegungswert höchstens mit Vorbehalt</w:t>
            </w:r>
          </w:p>
        </w:tc>
        <w:tc>
          <w:tcPr>
            <w:tcW w:type="dxa" w:w="4324"/>
          </w:tcPr>
          <w:p>
            <w:pPr>
              <w:pStyle w:val="Compact"/>
              <w:jc w:val="left"/>
            </w:pPr>
            <w:r>
              <w:rPr>
                <w:rFonts w:ascii="Arial" w:hAnsi="Arial"/>
                <w:sz w:val="18"/>
              </w:rPr>
              <w:t xml:space="preserve">Results › Characteristics of Health Domains, Abs. 3</w:t>
            </w:r>
          </w:p>
        </w:tc>
      </w:tr>
      <w:tr>
        <w:trPr>
          <w:cantSplit w:val="true"/>
        </w:trPr>
        <w:tc>
          <w:tcPr>
            <w:tcW w:type="dxa" w:w="6096"/>
            <w:shd w:val="clear" w:color="auto" w:fill="EEF3F9"/>
          </w:tcPr>
          <w:p>
            <w:pPr>
              <w:pStyle w:val="Compact"/>
              <w:jc w:val="left"/>
            </w:pPr>
            <w:r>
              <w:rPr>
                <w:rFonts w:ascii="Arial" w:hAnsi="Arial"/>
                <w:sz w:val="18"/>
              </w:rPr>
              <w:t xml:space="preserve">keine Sportauswahl, überwiegend weiblich, Lebensstil statt Training, Domänen nach Krebsprävention gewählt</w:t>
            </w:r>
          </w:p>
        </w:tc>
        <w:tc>
          <w:tcPr>
            <w:tcW w:type="dxa" w:w="4377"/>
            <w:shd w:val="clear" w:color="auto" w:fill="EEF3F9"/>
          </w:tcPr>
          <w:p>
            <w:pPr>
              <w:pStyle w:val="Compact"/>
              <w:jc w:val="left"/>
            </w:pPr>
            <w:r>
              <w:rPr>
                <w:rFonts w:ascii="Arial" w:hAnsi="Arial"/>
                <w:sz w:val="18"/>
              </w:rPr>
              <w:t xml:space="preserve">Population 2, keine Norm für Nachwuchsspieler</w:t>
            </w:r>
          </w:p>
        </w:tc>
        <w:tc>
          <w:tcPr>
            <w:tcW w:type="dxa" w:w="4324"/>
            <w:shd w:val="clear" w:color="auto" w:fill="EEF3F9"/>
          </w:tcPr>
          <w:p>
            <w:pPr>
              <w:pStyle w:val="Compact"/>
              <w:jc w:val="left"/>
            </w:pPr>
            <w:r>
              <w:rPr>
                <w:rFonts w:ascii="Arial" w:hAnsi="Arial"/>
                <w:sz w:val="18"/>
              </w:rPr>
              <w:t xml:space="preserve">Methods › Data Extraction, Abs. 2 · Results › Characteristics of Study Populations, Abs. 1</w:t>
            </w:r>
          </w:p>
        </w:tc>
      </w:tr>
      <w:tr>
        <w:trPr>
          <w:cantSplit w:val="true"/>
        </w:trPr>
        <w:tc>
          <w:tcPr>
            <w:tcW w:type="dxa" w:w="6096"/>
          </w:tcPr>
          <w:p>
            <w:pPr>
              <w:pStyle w:val="Compact"/>
              <w:jc w:val="left"/>
            </w:pPr>
            <w:r>
              <w:rPr>
                <w:rFonts w:ascii="Arial" w:hAnsi="Arial"/>
                <w:sz w:val="18"/>
              </w:rPr>
              <w:t xml:space="preserve">Video nicht getrennt ausgewertet, Videosprechstunden ausgeschlossen</w:t>
            </w:r>
          </w:p>
        </w:tc>
        <w:tc>
          <w:tcPr>
            <w:tcW w:type="dxa" w:w="4377"/>
          </w:tcPr>
          <w:p>
            <w:pPr>
              <w:pStyle w:val="Compact"/>
              <w:jc w:val="left"/>
            </w:pPr>
            <w:r>
              <w:rPr>
                <w:rFonts w:ascii="Arial" w:hAnsi="Arial"/>
                <w:sz w:val="18"/>
              </w:rPr>
              <w:t xml:space="preserve">keine Aussage über Videoprogramme</w:t>
            </w:r>
          </w:p>
        </w:tc>
        <w:tc>
          <w:tcPr>
            <w:tcW w:type="dxa" w:w="4324"/>
          </w:tcPr>
          <w:p>
            <w:pPr>
              <w:pStyle w:val="Compact"/>
              <w:jc w:val="left"/>
            </w:pPr>
            <w:r>
              <w:rPr>
                <w:rFonts w:ascii="Arial" w:hAnsi="Arial"/>
                <w:sz w:val="18"/>
              </w:rPr>
              <w:t xml:space="preserve">Results › Characteristics of Digital Interventions, Abs. 2 · Methods › Eligibility Criteria, Abs. 4</w:t>
            </w:r>
          </w:p>
        </w:tc>
      </w:tr>
      <w:tr>
        <w:trPr>
          <w:cantSplit w:val="true"/>
        </w:trPr>
        <w:tc>
          <w:tcPr>
            <w:tcW w:type="dxa" w:w="6096"/>
            <w:shd w:val="clear" w:color="auto" w:fill="EEF3F9"/>
          </w:tcPr>
          <w:p>
            <w:pPr>
              <w:pStyle w:val="Compact"/>
              <w:jc w:val="left"/>
            </w:pPr>
            <w:r>
              <w:rPr>
                <w:rFonts w:ascii="Arial" w:hAnsi="Arial"/>
                <w:sz w:val="18"/>
              </w:rPr>
              <w:t xml:space="preserve">Einflussfaktoren aus Einzelstudien, oft ein oder zwei Belege, nicht gepoolt</w:t>
            </w:r>
          </w:p>
        </w:tc>
        <w:tc>
          <w:tcPr>
            <w:tcW w:type="dxa" w:w="4377"/>
            <w:shd w:val="clear" w:color="auto" w:fill="EEF3F9"/>
          </w:tcPr>
          <w:p>
            <w:pPr>
              <w:pStyle w:val="Compact"/>
              <w:jc w:val="left"/>
            </w:pPr>
            <w:r>
              <w:rPr>
                <w:rFonts w:ascii="Arial" w:hAnsi="Arial"/>
                <w:sz w:val="18"/>
              </w:rPr>
              <w:t xml:space="preserve">Faktoren nur als Hypothesen und Forschungsfragen</w:t>
            </w:r>
          </w:p>
        </w:tc>
        <w:tc>
          <w:tcPr>
            <w:tcW w:type="dxa" w:w="4324"/>
            <w:shd w:val="clear" w:color="auto" w:fill="EEF3F9"/>
          </w:tcPr>
          <w:p>
            <w:pPr>
              <w:pStyle w:val="Compact"/>
              <w:jc w:val="left"/>
            </w:pPr>
            <w:r>
              <w:rPr>
                <w:rFonts w:ascii="Arial" w:hAnsi="Arial"/>
                <w:sz w:val="18"/>
              </w:rPr>
              <w:t xml:space="preserve">Methods › Data Synthesis, Abs. 3</w:t>
            </w:r>
          </w:p>
        </w:tc>
      </w:tr>
      <w:tr>
        <w:trPr>
          <w:cantSplit w:val="true"/>
        </w:trPr>
        <w:tc>
          <w:tcPr>
            <w:tcW w:type="dxa" w:w="6096"/>
          </w:tcPr>
          <w:p>
            <w:pPr>
              <w:pStyle w:val="Compact"/>
              <w:jc w:val="left"/>
            </w:pPr>
            <w:r>
              <w:rPr>
                <w:rFonts w:ascii="Arial" w:hAnsi="Arial"/>
                <w:sz w:val="18"/>
              </w:rPr>
              <w:t xml:space="preserve">Protokoll nicht registriert, keine Zitationssuche</w:t>
            </w:r>
          </w:p>
        </w:tc>
        <w:tc>
          <w:tcPr>
            <w:tcW w:type="dxa" w:w="4377"/>
          </w:tcPr>
          <w:p>
            <w:pPr>
              <w:pStyle w:val="Compact"/>
              <w:jc w:val="left"/>
            </w:pPr>
            <w:r>
              <w:rPr>
                <w:rFonts w:ascii="Arial" w:hAnsi="Arial"/>
                <w:sz w:val="18"/>
              </w:rPr>
              <w:t xml:space="preserve">mögliche Lücken im Korpus</w:t>
            </w:r>
          </w:p>
        </w:tc>
        <w:tc>
          <w:tcPr>
            <w:tcW w:type="dxa" w:w="4324"/>
          </w:tcPr>
          <w:p>
            <w:pPr>
              <w:pStyle w:val="Compact"/>
              <w:jc w:val="left"/>
            </w:pPr>
            <w:r>
              <w:rPr>
                <w:rFonts w:ascii="Arial" w:hAnsi="Arial"/>
                <w:sz w:val="18"/>
              </w:rPr>
              <w:t xml:space="preserve">Discussion › Limitations, Abs. 1</w:t>
            </w:r>
          </w:p>
        </w:tc>
      </w:tr>
      <w:tr>
        <w:trPr>
          <w:cantSplit w:val="true"/>
        </w:trPr>
        <w:tc>
          <w:tcPr>
            <w:tcW w:type="dxa" w:w="6096"/>
            <w:shd w:val="clear" w:color="auto" w:fill="EEF3F9"/>
          </w:tcPr>
          <w:p>
            <w:pPr>
              <w:pStyle w:val="Compact"/>
              <w:jc w:val="left"/>
            </w:pPr>
            <w:r>
              <w:rPr>
                <w:rFonts w:ascii="Arial" w:hAnsi="Arial"/>
                <w:sz w:val="18"/>
              </w:rPr>
              <w:t xml:space="preserve">Mittel abhängig von der Studienauswahl (das Deckblatt des Preprints mit dem Stand der Erstsuche wies andere Werte aus)</w:t>
            </w:r>
          </w:p>
        </w:tc>
        <w:tc>
          <w:tcPr>
            <w:tcW w:type="dxa" w:w="4377"/>
            <w:shd w:val="clear" w:color="auto" w:fill="EEF3F9"/>
          </w:tcPr>
          <w:p>
            <w:pPr>
              <w:pStyle w:val="Compact"/>
              <w:jc w:val="left"/>
            </w:pPr>
            <w:r>
              <w:rPr>
                <w:rFonts w:ascii="Arial" w:hAnsi="Arial"/>
                <w:sz w:val="18"/>
              </w:rPr>
              <w:t xml:space="preserve">Werte nicht als feste Größen behandeln</w:t>
            </w:r>
          </w:p>
        </w:tc>
        <w:tc>
          <w:tcPr>
            <w:tcW w:type="dxa" w:w="4324"/>
            <w:shd w:val="clear" w:color="auto" w:fill="EEF3F9"/>
          </w:tcPr>
          <w:p>
            <w:pPr>
              <w:pStyle w:val="Compact"/>
              <w:jc w:val="left"/>
            </w:pPr>
            <w:r>
              <w:rPr>
                <w:rFonts w:ascii="Arial" w:hAnsi="Arial"/>
                <w:sz w:val="18"/>
              </w:rPr>
              <w:t xml:space="preserve">§ 1.1</w:t>
            </w:r>
          </w:p>
        </w:tc>
      </w:tr>
      <w:tr>
        <w:trPr>
          <w:cantSplit w:val="true"/>
        </w:trPr>
        <w:tc>
          <w:tcPr>
            <w:tcW w:type="dxa" w:w="6096"/>
          </w:tcPr>
          <w:p>
            <w:pPr>
              <w:pStyle w:val="Compact"/>
              <w:jc w:val="left"/>
            </w:pPr>
            <w:r>
              <w:rPr>
                <w:rFonts w:ascii="Arial" w:hAnsi="Arial"/>
                <w:sz w:val="18"/>
              </w:rPr>
              <w:t xml:space="preserve">Anhang (Tab. S1 bis S18) und PDF nicht eingesehen</w:t>
            </w:r>
          </w:p>
        </w:tc>
        <w:tc>
          <w:tcPr>
            <w:tcW w:type="dxa" w:w="4377"/>
          </w:tcPr>
          <w:p>
            <w:pPr>
              <w:pStyle w:val="Compact"/>
              <w:jc w:val="left"/>
            </w:pPr>
            <w:r>
              <w:rPr>
                <w:rFonts w:ascii="Arial" w:hAnsi="Arial"/>
                <w:sz w:val="18"/>
              </w:rPr>
              <w:t xml:space="preserve">Einzelstudien, Bewegungswerte und Seitenzahlen offen, vor Task 15 nachholen</w:t>
            </w:r>
          </w:p>
        </w:tc>
        <w:tc>
          <w:tcPr>
            <w:tcW w:type="dxa" w:w="4324"/>
          </w:tcPr>
          <w:p>
            <w:pPr>
              <w:pStyle w:val="Compact"/>
              <w:jc w:val="left"/>
            </w:pPr>
            <w:r>
              <w:rPr>
                <w:rFonts w:ascii="Arial" w:hAnsi="Arial"/>
                <w:sz w:val="18"/>
              </w:rPr>
              <w:t xml:space="preserve">Lesart oben</w:t>
            </w:r>
          </w:p>
        </w:tc>
      </w:tr>
    </w:tbl>
    <w:bookmarkEnd w:id="36"/>
    <w:bookmarkStart w:id="40" w:name="übertragbarkeit"/>
    <w:p>
      <w:pPr>
        <w:pStyle w:val="Heading2"/>
      </w:pPr>
      <w:r>
        <w:rPr>
          <w:rFonts w:ascii="Arial" w:hAnsi="Arial"/>
        </w:rPr>
        <w:t xml:space="preserve">6 Übertragbarkeit</w:t>
      </w:r>
    </w:p>
    <w:bookmarkStart w:id="37" w:name="Xd75aad62d10c1ae3a8e8cda832d5fdeac957bab"/>
    <w:p>
      <w:pPr>
        <w:pStyle w:val="Heading3"/>
      </w:pPr>
      <w:r>
        <w:rPr>
          <w:rFonts w:ascii="Arial" w:hAnsi="Arial"/>
        </w:rPr>
        <w:t xml:space="preserve">6.1 Distanz nach der Regel für Umsetzungsvergleiche (Anpassung von F17 § 6.4)</w:t>
      </w:r>
    </w:p>
    <w:p>
      <w:pPr>
        <w:pStyle w:val="FirstParagraph"/>
      </w:pPr>
      <w:r>
        <w:rPr>
          <w:bCs/>
          <w:rFonts w:ascii="Arial" w:hAnsi="Arial"/>
          <w:b/>
        </w:rPr>
        <w:t xml:space="preserve">Regel</w:t>
      </w:r>
      <w:r>
        <w:rPr>
          <w:rFonts w:ascii="Arial" w:hAnsi="Arial"/>
        </w:rPr>
        <w:t xml:space="preserve"> </w:t>
      </w:r>
      <w:r>
        <w:rPr>
          <w:rFonts w:ascii="Arial" w:hAnsi="Arial"/>
        </w:rPr>
        <w:t xml:space="preserve">(Verfasser, Klick „Anpassung wie vorgeschlagen“, 02.10.2026, Haltepunkt 1 dieses Tasks): F17 § 6.4 bemisst die Distanz für Wirksamkeitsevidenz nach Population, Dosis und Zielgröße. Für Aussagen über die Umsetzung eines Programms treten an die Stelle von Dosis und Zielgröße Programmform und Umsetzungsmaß. Population wie F17 § 6.4. Programmform: 0 unbeaufsichtigt mit aufgezeichneten Videos, bis acht Wochen, eine bis zwei Einheiten je Woche · 1 andere Dauer, Häufigkeit oder digitale Vermittlung · 2 betreut oder deutlich abweichend. Umsetzungsmaß: 0 Anteil der angebotenen Einheiten, die als vollständig erfasst wurden · 1 verwandtes Maß (Bestandteil-Adhärenz, Abschlussrate, Einheiten je Woche) · 2 anderes Maß (Studienabbruch, Teamebene, Plattformdaten ohne Teilnehmerbezug). Summen und Folgen wie F17 § 6.4: 0 bis 1 tragend · 2 bis 3 nur mit Nennung der Abweichung im Satz · ab 4 nur Kontext oder Gegenbefund. Abweichend von F17 § 6.4 geht die Aufsicht über die Programmform ein, weil sie für die Umsetzung den Unterschied macht. Für Wirksamkeitsaussagen bleibt F17 § 6.4 unverändert. Fortschreibung in Fassung 18 vorgemerkt (Steuerdokumente-Task, G37).</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840"/>
        <w:gridCol w:w="2874"/>
        <w:gridCol w:w="2832"/>
        <w:gridCol w:w="2897"/>
        <w:gridCol w:w="992"/>
        <w:gridCol w:w="2363"/>
      </w:tblGrid>
      <w:tr>
        <w:trPr>
          <w:tblHeader w:val="true"/>
          <w:tblHeader w:val="true"/>
          <w:cantSplit w:val="true"/>
        </w:trPr>
        <w:tc>
          <w:tcPr>
            <w:tcW w:type="dxa" w:w="2840"/>
            <w:shd w:val="clear" w:color="auto" w:fill="D6E4F0"/>
          </w:tcPr>
          <w:p>
            <w:pPr>
              <w:pStyle w:val="Compact"/>
              <w:jc w:val="left"/>
            </w:pPr>
            <w:r>
              <w:rPr>
                <w:rFonts w:ascii="Arial" w:hAnsi="Arial"/>
                <w:b/>
                <w:sz w:val="18"/>
              </w:rPr>
              <w:t xml:space="preserve">Quelle</w:t>
            </w:r>
          </w:p>
        </w:tc>
        <w:tc>
          <w:tcPr>
            <w:tcW w:type="dxa" w:w="2874"/>
            <w:shd w:val="clear" w:color="auto" w:fill="D6E4F0"/>
          </w:tcPr>
          <w:p>
            <w:pPr>
              <w:pStyle w:val="Compact"/>
              <w:jc w:val="left"/>
            </w:pPr>
            <w:r>
              <w:rPr>
                <w:rFonts w:ascii="Arial" w:hAnsi="Arial"/>
                <w:b/>
                <w:sz w:val="18"/>
              </w:rPr>
              <w:t xml:space="preserve">Population</w:t>
            </w:r>
          </w:p>
        </w:tc>
        <w:tc>
          <w:tcPr>
            <w:tcW w:type="dxa" w:w="2832"/>
            <w:shd w:val="clear" w:color="auto" w:fill="D6E4F0"/>
          </w:tcPr>
          <w:p>
            <w:pPr>
              <w:pStyle w:val="Compact"/>
              <w:jc w:val="left"/>
            </w:pPr>
            <w:r>
              <w:rPr>
                <w:rFonts w:ascii="Arial" w:hAnsi="Arial"/>
                <w:b/>
                <w:sz w:val="18"/>
              </w:rPr>
              <w:t xml:space="preserve">Programmform</w:t>
            </w:r>
          </w:p>
        </w:tc>
        <w:tc>
          <w:tcPr>
            <w:tcW w:type="dxa" w:w="2897"/>
            <w:shd w:val="clear" w:color="auto" w:fill="D6E4F0"/>
          </w:tcPr>
          <w:p>
            <w:pPr>
              <w:pStyle w:val="Compact"/>
              <w:jc w:val="left"/>
            </w:pPr>
            <w:r>
              <w:rPr>
                <w:rFonts w:ascii="Arial" w:hAnsi="Arial"/>
                <w:b/>
                <w:sz w:val="18"/>
              </w:rPr>
              <w:t xml:space="preserve">Umsetzungsmaß</w:t>
            </w:r>
          </w:p>
        </w:tc>
        <w:tc>
          <w:tcPr>
            <w:tcW w:type="dxa" w:w="992"/>
            <w:shd w:val="clear" w:color="auto" w:fill="D6E4F0"/>
          </w:tcPr>
          <w:p>
            <w:pPr>
              <w:pStyle w:val="Compact"/>
              <w:jc w:val="left"/>
            </w:pPr>
            <w:r>
              <w:rPr>
                <w:rFonts w:ascii="Arial" w:hAnsi="Arial"/>
                <w:b/>
                <w:sz w:val="18"/>
              </w:rPr>
              <w:t xml:space="preserve">Summe</w:t>
            </w:r>
          </w:p>
        </w:tc>
        <w:tc>
          <w:tcPr>
            <w:tcW w:type="dxa" w:w="2363"/>
            <w:shd w:val="clear" w:color="auto" w:fill="D6E4F0"/>
          </w:tcPr>
          <w:p>
            <w:pPr>
              <w:pStyle w:val="Compact"/>
              <w:jc w:val="left"/>
            </w:pPr>
            <w:r>
              <w:rPr>
                <w:rFonts w:ascii="Arial" w:hAnsi="Arial"/>
                <w:b/>
                <w:sz w:val="18"/>
              </w:rPr>
              <w:t xml:space="preserve">Folge</w:t>
            </w:r>
          </w:p>
        </w:tc>
      </w:tr>
      <w:tr>
        <w:trPr>
          <w:cantSplit w:val="true"/>
        </w:trPr>
        <w:tc>
          <w:tcPr>
            <w:tcW w:type="dxa" w:w="2840"/>
          </w:tcPr>
          <w:p>
            <w:pPr>
              <w:pStyle w:val="Compact"/>
              <w:jc w:val="left"/>
            </w:pPr>
            <w:r>
              <w:rPr>
                <w:rFonts w:ascii="Arial" w:hAnsi="Arial"/>
                <w:sz w:val="18"/>
              </w:rPr>
              <w:t xml:space="preserve">Boumparis et al. (2026), Bestandteil-Adhärenz</w:t>
            </w:r>
          </w:p>
        </w:tc>
        <w:tc>
          <w:tcPr>
            <w:tcW w:type="dxa" w:w="2874"/>
          </w:tcPr>
          <w:p>
            <w:pPr>
              <w:pStyle w:val="Compact"/>
              <w:jc w:val="left"/>
            </w:pPr>
            <w:r>
              <w:rPr>
                <w:rFonts w:ascii="Arial" w:hAnsi="Arial"/>
                <w:sz w:val="18"/>
              </w:rPr>
              <w:t xml:space="preserve">2 (Jugendliche ohne Sportauswahl, überwiegend weiblich)</w:t>
            </w:r>
          </w:p>
        </w:tc>
        <w:tc>
          <w:tcPr>
            <w:tcW w:type="dxa" w:w="2832"/>
          </w:tcPr>
          <w:p>
            <w:pPr>
              <w:pStyle w:val="Compact"/>
              <w:jc w:val="left"/>
            </w:pPr>
            <w:r>
              <w:rPr>
                <w:rFonts w:ascii="Arial" w:hAnsi="Arial"/>
                <w:sz w:val="18"/>
              </w:rPr>
              <w:t xml:space="preserve">1, strenger gelesen 2 (digitale Vermittlung über App, Web, SMS, Dauer meist länger, in der Hälfte der Vergleiche mit persönlicher Unterstützung, Lebensstil statt Training)</w:t>
            </w:r>
          </w:p>
        </w:tc>
        <w:tc>
          <w:tcPr>
            <w:tcW w:type="dxa" w:w="2897"/>
          </w:tcPr>
          <w:p>
            <w:pPr>
              <w:pStyle w:val="Compact"/>
              <w:jc w:val="left"/>
            </w:pPr>
            <w:r>
              <w:rPr>
                <w:rFonts w:ascii="Arial" w:hAnsi="Arial"/>
                <w:sz w:val="18"/>
              </w:rPr>
              <w:t xml:space="preserve">1 (Bestandteil-Adhärenz)</w:t>
            </w:r>
          </w:p>
        </w:tc>
        <w:tc>
          <w:tcPr>
            <w:tcW w:type="dxa" w:w="992"/>
          </w:tcPr>
          <w:p>
            <w:pPr>
              <w:pStyle w:val="Compact"/>
              <w:jc w:val="left"/>
            </w:pPr>
            <w:r>
              <w:rPr>
                <w:rFonts w:ascii="Arial" w:hAnsi="Arial"/>
                <w:sz w:val="18"/>
              </w:rPr>
              <w:t xml:space="preserve">4 bis 5</w:t>
            </w:r>
          </w:p>
        </w:tc>
        <w:tc>
          <w:tcPr>
            <w:tcW w:type="dxa" w:w="2363"/>
          </w:tcPr>
          <w:p>
            <w:pPr>
              <w:pStyle w:val="Compact"/>
              <w:jc w:val="left"/>
            </w:pPr>
            <w:r>
              <w:rPr>
                <w:rFonts w:ascii="Arial" w:hAnsi="Arial"/>
                <w:sz w:val="18"/>
              </w:rPr>
              <w:t xml:space="preserve">nur Kontext, Quellenart und Population im Satz</w:t>
            </w:r>
          </w:p>
        </w:tc>
      </w:tr>
      <w:tr>
        <w:trPr>
          <w:cantSplit w:val="true"/>
        </w:trPr>
        <w:tc>
          <w:tcPr>
            <w:tcW w:type="dxa" w:w="2840"/>
            <w:shd w:val="clear" w:color="auto" w:fill="EEF3F9"/>
          </w:tcPr>
          <w:p>
            <w:pPr>
              <w:pStyle w:val="Compact"/>
              <w:jc w:val="left"/>
            </w:pPr>
            <w:r>
              <w:rPr>
                <w:rFonts w:ascii="Arial" w:hAnsi="Arial"/>
                <w:sz w:val="18"/>
              </w:rPr>
              <w:t xml:space="preserve">Boumparis et al. (2026), Studienabbruch</w:t>
            </w:r>
          </w:p>
        </w:tc>
        <w:tc>
          <w:tcPr>
            <w:tcW w:type="dxa" w:w="2874"/>
            <w:shd w:val="clear" w:color="auto" w:fill="EEF3F9"/>
          </w:tcPr>
          <w:p>
            <w:pPr>
              <w:pStyle w:val="Compact"/>
              <w:jc w:val="left"/>
            </w:pPr>
            <w:r>
              <w:rPr>
                <w:rFonts w:ascii="Arial" w:hAnsi="Arial"/>
                <w:sz w:val="18"/>
              </w:rPr>
              <w:t xml:space="preserve">2</w:t>
            </w:r>
          </w:p>
        </w:tc>
        <w:tc>
          <w:tcPr>
            <w:tcW w:type="dxa" w:w="2832"/>
            <w:shd w:val="clear" w:color="auto" w:fill="EEF3F9"/>
          </w:tcPr>
          <w:p>
            <w:pPr>
              <w:pStyle w:val="Compact"/>
              <w:jc w:val="left"/>
            </w:pPr>
            <w:r>
              <w:rPr>
                <w:rFonts w:ascii="Arial" w:hAnsi="Arial"/>
                <w:sz w:val="18"/>
              </w:rPr>
              <w:t xml:space="preserve">1 bis 2</w:t>
            </w:r>
          </w:p>
        </w:tc>
        <w:tc>
          <w:tcPr>
            <w:tcW w:type="dxa" w:w="2897"/>
            <w:shd w:val="clear" w:color="auto" w:fill="EEF3F9"/>
          </w:tcPr>
          <w:p>
            <w:pPr>
              <w:pStyle w:val="Compact"/>
              <w:jc w:val="left"/>
            </w:pPr>
            <w:r>
              <w:rPr>
                <w:rFonts w:ascii="Arial" w:hAnsi="Arial"/>
                <w:sz w:val="18"/>
              </w:rPr>
              <w:t xml:space="preserve">2</w:t>
            </w:r>
          </w:p>
        </w:tc>
        <w:tc>
          <w:tcPr>
            <w:tcW w:type="dxa" w:w="992"/>
            <w:shd w:val="clear" w:color="auto" w:fill="EEF3F9"/>
          </w:tcPr>
          <w:p>
            <w:pPr>
              <w:pStyle w:val="Compact"/>
              <w:jc w:val="left"/>
            </w:pPr>
            <w:r>
              <w:rPr>
                <w:rFonts w:ascii="Arial" w:hAnsi="Arial"/>
                <w:sz w:val="18"/>
              </w:rPr>
              <w:t xml:space="preserve">5 bis 6</w:t>
            </w:r>
          </w:p>
        </w:tc>
        <w:tc>
          <w:tcPr>
            <w:tcW w:type="dxa" w:w="2363"/>
            <w:shd w:val="clear" w:color="auto" w:fill="EEF3F9"/>
          </w:tcPr>
          <w:p>
            <w:pPr>
              <w:pStyle w:val="Compact"/>
              <w:jc w:val="left"/>
            </w:pPr>
            <w:r>
              <w:rPr>
                <w:rFonts w:ascii="Arial" w:hAnsi="Arial"/>
                <w:sz w:val="18"/>
              </w:rPr>
              <w:t xml:space="preserve">nur Kontext</w:t>
            </w:r>
          </w:p>
        </w:tc>
      </w:tr>
      <w:tr>
        <w:trPr>
          <w:cantSplit w:val="true"/>
        </w:trPr>
        <w:tc>
          <w:tcPr>
            <w:tcW w:type="dxa" w:w="2840"/>
          </w:tcPr>
          <w:p>
            <w:pPr>
              <w:pStyle w:val="Compact"/>
              <w:jc w:val="left"/>
            </w:pPr>
            <w:r>
              <w:rPr>
                <w:rFonts w:ascii="Arial" w:hAnsi="Arial"/>
                <w:sz w:val="18"/>
              </w:rPr>
              <w:t xml:space="preserve">Klusemann et al. (2012)</w:t>
            </w:r>
          </w:p>
        </w:tc>
        <w:tc>
          <w:tcPr>
            <w:tcW w:type="dxa" w:w="2874"/>
          </w:tcPr>
          <w:p>
            <w:pPr>
              <w:pStyle w:val="Compact"/>
              <w:jc w:val="left"/>
            </w:pPr>
            <w:r>
              <w:rPr>
                <w:rFonts w:ascii="Arial" w:hAnsi="Arial"/>
                <w:sz w:val="18"/>
              </w:rPr>
              <w:t xml:space="preserve">2 (Nachwuchsbasketball, gemischt)</w:t>
            </w:r>
          </w:p>
        </w:tc>
        <w:tc>
          <w:tcPr>
            <w:tcW w:type="dxa" w:w="2832"/>
          </w:tcPr>
          <w:p>
            <w:pPr>
              <w:pStyle w:val="Compact"/>
              <w:jc w:val="left"/>
            </w:pPr>
            <w:r>
              <w:rPr>
                <w:rFonts w:ascii="Arial" w:hAnsi="Arial"/>
                <w:sz w:val="18"/>
              </w:rPr>
              <w:t xml:space="preserve">0 (sechs Wochen, zwei Einheiten je Woche, Online-Videos ohne Aufsicht)</w:t>
            </w:r>
          </w:p>
        </w:tc>
        <w:tc>
          <w:tcPr>
            <w:tcW w:type="dxa" w:w="2897"/>
          </w:tcPr>
          <w:p>
            <w:pPr>
              <w:pStyle w:val="Compact"/>
              <w:jc w:val="left"/>
            </w:pPr>
            <w:r>
              <w:rPr>
                <w:rFonts w:ascii="Arial" w:hAnsi="Arial"/>
                <w:sz w:val="18"/>
              </w:rPr>
              <w:t xml:space="preserve">0 (Anteil der Einheiten nach Online-Tagebuch)</w:t>
            </w:r>
          </w:p>
        </w:tc>
        <w:tc>
          <w:tcPr>
            <w:tcW w:type="dxa" w:w="992"/>
          </w:tcPr>
          <w:p>
            <w:pPr>
              <w:pStyle w:val="Compact"/>
              <w:jc w:val="left"/>
            </w:pPr>
            <w:r>
              <w:rPr>
                <w:rFonts w:ascii="Arial" w:hAnsi="Arial"/>
                <w:sz w:val="18"/>
              </w:rPr>
              <w:t xml:space="preserve">2</w:t>
            </w:r>
          </w:p>
        </w:tc>
        <w:tc>
          <w:tcPr>
            <w:tcW w:type="dxa" w:w="2363"/>
          </w:tcPr>
          <w:p>
            <w:pPr>
              <w:pStyle w:val="Compact"/>
              <w:jc w:val="left"/>
            </w:pPr>
            <w:r>
              <w:rPr>
                <w:rFonts w:ascii="Arial" w:hAnsi="Arial"/>
                <w:sz w:val="18"/>
              </w:rPr>
              <w:t xml:space="preserve">nur mit Nennung der Abweichung im Satz (Sportart, Krafttraining, Erfassung)</w:t>
            </w:r>
          </w:p>
        </w:tc>
      </w:tr>
    </w:tbl>
    <w:p>
      <w:pPr>
        <w:pStyle w:val="BodyText"/>
      </w:pPr>
      <w:r>
        <w:rPr>
          <w:rFonts w:ascii="Arial" w:hAnsi="Arial"/>
        </w:rPr>
        <w:t xml:space="preserve">Strenger gelesen ist die Programmform bei Boumparis et al. 2: Lebensstil statt Training, dazu Ernährung, Alkohol und Tabak, und die Hälfte der Vergleiche mit persönlicher Unterstützung (Zweitprüfung Nr. 15). Die Folge bleibt dieselbe (nur Kontext).</w:t>
      </w:r>
    </w:p>
    <w:p>
      <w:pPr>
        <w:pStyle w:val="BodyText"/>
      </w:pPr>
      <w:r>
        <w:rPr>
          <w:bCs/>
          <w:rFonts w:ascii="Arial" w:hAnsi="Arial"/>
          <w:b/>
        </w:rPr>
        <w:t xml:space="preserve">Nachrichtlich, nicht Teil des Auftrags (T1 unverändert):</w:t>
      </w:r>
      <w:r>
        <w:rPr>
          <w:rFonts w:ascii="Arial" w:hAnsi="Arial"/>
        </w:rPr>
        <w:t xml:space="preserve"> </w:t>
      </w:r>
      <w:r>
        <w:rPr>
          <w:rFonts w:ascii="Arial" w:hAnsi="Arial"/>
        </w:rPr>
        <w:t xml:space="preserve">Rogers et al. (2020) 2 (Schulsportler verschiedener Sportarten, gemischt) · 1 (16 Wochen) · 0 (protokollierte von 32 Einheiten, Bezugsmenge 8 von 21) = 3 · Veith et al. (2021) 1 (Akademiespieler U13 bis U16) · 2 (dreimal je Woche über eine Saison) · 1 (Einheiten je Woche) = 4. Für Task 12b, falls diese Quellen in 6.3 G3 als Kontext dienen.</w:t>
      </w:r>
    </w:p>
    <w:bookmarkEnd w:id="37"/>
    <w:bookmarkStart w:id="38" w:name="formulierungsstufe-f17-6.4"/>
    <w:p>
      <w:pPr>
        <w:pStyle w:val="Heading3"/>
      </w:pPr>
      <w:r>
        <w:rPr>
          <w:rFonts w:ascii="Arial" w:hAnsi="Arial"/>
        </w:rPr>
        <w:t xml:space="preserve">6.2 Formulierungsstufe (F17 § 6.4)</w:t>
      </w:r>
    </w:p>
    <w:p>
      <w:pPr>
        <w:pStyle w:val="FirstParagraph"/>
      </w:pPr>
      <w:r>
        <w:rPr>
          <w:rFonts w:ascii="Arial" w:hAnsi="Arial"/>
        </w:rPr>
        <w:t xml:space="preserve">Eine systematische Übersicht mit beschreibenden Adhärenzwerten, Distanz 4: Quellenart im Satz („nach einer systematischen Übersicht“), Population im Satz („digitale Lebensstilprogramme für Jugendliche“), nur Kontext. Zahlen in 6.1 nach Klick K3 nur in Worten.</w:t>
      </w:r>
    </w:p>
    <w:p>
      <w:pPr>
        <w:pStyle w:val="BodyText"/>
      </w:pPr>
      <w:r>
        <w:rPr>
          <w:bCs/>
          <w:rFonts w:ascii="Arial" w:hAnsi="Arial"/>
          <w:b/>
        </w:rPr>
        <w:t xml:space="preserve">Eigener Wert gegen die Übersicht.</w:t>
      </w:r>
      <w:r>
        <w:rPr>
          <w:rFonts w:ascii="Arial" w:hAnsi="Arial"/>
        </w:rPr>
        <w:t xml:space="preserve"> </w:t>
      </w:r>
      <w:r>
        <w:rPr>
          <w:rFonts w:ascii="Arial" w:hAnsi="Arial"/>
        </w:rPr>
        <w:t xml:space="preserve">Die Umsetzungsrate (K-10.5) liegt unter dem Mittel der Bestandteil-Adhärenz (55,2 %) und unter dem Bewegungswert (62,8 %), aber innerhalb einer Standardabweichung (25,5 Prozentpunkte) unter dem Mittel. Das trägt „teilweise Nutzung“ und „auch dort im Mittel nur gut die Hälfte“. Es trägt nicht „typisch“ (die Streuung ist dafür zu groß, eine typische Umsetzung gibt es nicht), nicht „gering“ als Wertung gegen die Übersicht und nicht „deutlich darunter“.</w:t>
      </w:r>
    </w:p>
    <w:bookmarkEnd w:id="38"/>
    <w:bookmarkStart w:id="39" w:name="X9542b259087449f9617f83376508045caef55f9"/>
    <w:p>
      <w:pPr>
        <w:pStyle w:val="Heading3"/>
      </w:pPr>
      <w:r>
        <w:rPr>
          <w:rFonts w:ascii="Arial" w:hAnsi="Arial"/>
        </w:rPr>
        <w:t xml:space="preserve">6.3 Was die Quelle für die Arbeit trägt und was nicht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961"/>
        <w:gridCol w:w="4836"/>
      </w:tblGrid>
      <w:tr>
        <w:trPr>
          <w:tblHeader w:val="true"/>
          <w:tblHeader w:val="true"/>
          <w:cantSplit w:val="true"/>
        </w:trPr>
        <w:tc>
          <w:tcPr>
            <w:tcW w:type="dxa" w:w="9961"/>
            <w:shd w:val="clear" w:color="auto" w:fill="D6E4F0"/>
          </w:tcPr>
          <w:p>
            <w:pPr>
              <w:pStyle w:val="Compact"/>
              <w:jc w:val="left"/>
            </w:pPr>
            <w:r>
              <w:rPr>
                <w:rFonts w:ascii="Arial" w:hAnsi="Arial"/>
                <w:b/>
                <w:sz w:val="18"/>
              </w:rPr>
              <w:t xml:space="preserve">trägt</w:t>
            </w:r>
          </w:p>
        </w:tc>
        <w:tc>
          <w:tcPr>
            <w:tcW w:type="dxa" w:w="4836"/>
            <w:shd w:val="clear" w:color="auto" w:fill="D6E4F0"/>
          </w:tcPr>
          <w:p>
            <w:pPr>
              <w:pStyle w:val="Compact"/>
              <w:jc w:val="left"/>
            </w:pPr>
            <w:r>
              <w:rPr>
                <w:rFonts w:ascii="Arial" w:hAnsi="Arial"/>
                <w:b/>
                <w:sz w:val="18"/>
              </w:rPr>
              <w:t xml:space="preserve">Ort</w:t>
            </w:r>
          </w:p>
        </w:tc>
      </w:tr>
      <w:tr>
        <w:trPr>
          <w:cantSplit w:val="true"/>
        </w:trPr>
        <w:tc>
          <w:tcPr>
            <w:tcW w:type="dxa" w:w="9961"/>
          </w:tcPr>
          <w:p>
            <w:pPr>
              <w:pStyle w:val="Compact"/>
              <w:jc w:val="left"/>
            </w:pPr>
            <w:r>
              <w:rPr>
                <w:rFonts w:ascii="Arial" w:hAnsi="Arial"/>
                <w:sz w:val="18"/>
              </w:rPr>
              <w:t xml:space="preserve">Jugendliche nutzen digitale Lebensstilprogramme im Mittel nur teilweise, bei großer Streuung</w:t>
            </w:r>
          </w:p>
        </w:tc>
        <w:tc>
          <w:tcPr>
            <w:tcW w:type="dxa" w:w="4836"/>
          </w:tcPr>
          <w:p>
            <w:pPr>
              <w:pStyle w:val="Compact"/>
              <w:jc w:val="left"/>
            </w:pPr>
            <w:r>
              <w:rPr>
                <w:rFonts w:ascii="Arial" w:hAnsi="Arial"/>
                <w:sz w:val="18"/>
              </w:rPr>
              <w:t xml:space="preserve">6.1 Modul A2-M, Einleitung Abs. 3 (Vormerkung)</w:t>
            </w:r>
          </w:p>
        </w:tc>
      </w:tr>
      <w:tr>
        <w:trPr>
          <w:cantSplit w:val="true"/>
        </w:trPr>
        <w:tc>
          <w:tcPr>
            <w:tcW w:type="dxa" w:w="9961"/>
            <w:shd w:val="clear" w:color="auto" w:fill="EEF3F9"/>
          </w:tcPr>
          <w:p>
            <w:pPr>
              <w:pStyle w:val="Compact"/>
              <w:jc w:val="left"/>
            </w:pPr>
            <w:r>
              <w:rPr>
                <w:rFonts w:ascii="Arial" w:hAnsi="Arial"/>
                <w:sz w:val="18"/>
              </w:rPr>
              <w:t xml:space="preserve">Verbleib in der Studie und Nutzung des Programms fallen auseinander, der Verbleib überschätzt die Nutzung</w:t>
            </w:r>
          </w:p>
        </w:tc>
        <w:tc>
          <w:tcPr>
            <w:tcW w:type="dxa" w:w="4836"/>
            <w:shd w:val="clear" w:color="auto" w:fill="EEF3F9"/>
          </w:tcPr>
          <w:p>
            <w:pPr>
              <w:pStyle w:val="Compact"/>
              <w:jc w:val="left"/>
            </w:pPr>
            <w:r>
              <w:rPr>
                <w:rFonts w:ascii="Arial" w:hAnsi="Arial"/>
                <w:sz w:val="18"/>
              </w:rPr>
              <w:t xml:space="preserve">6.1 Modul A2-M (Variante B) oder 6.3 G3</w:t>
            </w:r>
          </w:p>
        </w:tc>
      </w:tr>
      <w:tr>
        <w:trPr>
          <w:cantSplit w:val="true"/>
        </w:trPr>
        <w:tc>
          <w:tcPr>
            <w:tcW w:type="dxa" w:w="9961"/>
          </w:tcPr>
          <w:p>
            <w:pPr>
              <w:pStyle w:val="Compact"/>
              <w:jc w:val="left"/>
            </w:pPr>
            <w:r>
              <w:rPr>
                <w:rFonts w:ascii="Arial" w:hAnsi="Arial"/>
                <w:sz w:val="18"/>
              </w:rPr>
              <w:t xml:space="preserve">Abschlussrate und Bestandteil-Adhärenz getrennt und mit Operationalisierung berichten</w:t>
            </w:r>
          </w:p>
        </w:tc>
        <w:tc>
          <w:tcPr>
            <w:tcW w:type="dxa" w:w="4836"/>
          </w:tcPr>
          <w:p>
            <w:pPr>
              <w:pStyle w:val="Compact"/>
              <w:jc w:val="left"/>
            </w:pPr>
            <w:r>
              <w:rPr>
                <w:rFonts w:ascii="Arial" w:hAnsi="Arial"/>
                <w:sz w:val="18"/>
              </w:rPr>
              <w:t xml:space="preserve">6.3 G6 (Stärke), Kapitel 7 ohne Quelle</w:t>
            </w:r>
          </w:p>
        </w:tc>
      </w:tr>
      <w:tr>
        <w:trPr>
          <w:cantSplit w:val="true"/>
        </w:trPr>
        <w:tc>
          <w:tcPr>
            <w:tcW w:type="dxa" w:w="9961"/>
            <w:shd w:val="clear" w:color="auto" w:fill="EEF3F9"/>
          </w:tcPr>
          <w:p>
            <w:pPr>
              <w:pStyle w:val="Compact"/>
              <w:jc w:val="left"/>
            </w:pPr>
            <w:r>
              <w:rPr>
                <w:rFonts w:ascii="Arial" w:hAnsi="Arial"/>
                <w:sz w:val="18"/>
              </w:rPr>
              <w:t xml:space="preserve">Förder- und Hemmfaktoren (Erinnerungen, menschliche Unterstützung, Personalisierung, technische Robustheit, Programmdauer, Videolänge) als offene Fragen</w:t>
            </w:r>
          </w:p>
        </w:tc>
        <w:tc>
          <w:tcPr>
            <w:tcW w:type="dxa" w:w="4836"/>
            <w:shd w:val="clear" w:color="auto" w:fill="EEF3F9"/>
          </w:tcPr>
          <w:p>
            <w:pPr>
              <w:pStyle w:val="Compact"/>
              <w:jc w:val="left"/>
            </w:pPr>
            <w:r>
              <w:rPr>
                <w:rFonts w:ascii="Arial" w:hAnsi="Arial"/>
                <w:sz w:val="18"/>
              </w:rPr>
              <w:t xml:space="preserve">Kapitel 7 ohne Quelle</w:t>
            </w:r>
          </w:p>
        </w:tc>
      </w:tr>
    </w:tbl>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031"/>
        <w:gridCol w:w="7766"/>
      </w:tblGrid>
      <w:tr>
        <w:trPr>
          <w:tblHeader w:val="true"/>
          <w:tblHeader w:val="true"/>
          <w:cantSplit w:val="true"/>
        </w:trPr>
        <w:tc>
          <w:tcPr>
            <w:tcW w:type="dxa" w:w="7031"/>
            <w:shd w:val="clear" w:color="auto" w:fill="D6E4F0"/>
          </w:tcPr>
          <w:p>
            <w:pPr>
              <w:pStyle w:val="Compact"/>
              <w:jc w:val="left"/>
            </w:pPr>
            <w:r>
              <w:rPr>
                <w:rFonts w:ascii="Arial" w:hAnsi="Arial"/>
                <w:b/>
                <w:sz w:val="18"/>
              </w:rPr>
              <w:t xml:space="preserve">trägt nicht</w:t>
            </w:r>
          </w:p>
        </w:tc>
        <w:tc>
          <w:tcPr>
            <w:tcW w:type="dxa" w:w="7766"/>
            <w:shd w:val="clear" w:color="auto" w:fill="D6E4F0"/>
          </w:tcPr>
          <w:p>
            <w:pPr>
              <w:pStyle w:val="Compact"/>
              <w:jc w:val="left"/>
            </w:pPr>
            <w:r>
              <w:rPr>
                <w:rFonts w:ascii="Arial" w:hAnsi="Arial"/>
                <w:b/>
                <w:sz w:val="18"/>
              </w:rPr>
              <w:t xml:space="preserve">Grund</w:t>
            </w:r>
          </w:p>
        </w:tc>
      </w:tr>
      <w:tr>
        <w:trPr>
          <w:cantSplit w:val="true"/>
        </w:trPr>
        <w:tc>
          <w:tcPr>
            <w:tcW w:type="dxa" w:w="7031"/>
          </w:tcPr>
          <w:p>
            <w:pPr>
              <w:pStyle w:val="Compact"/>
              <w:jc w:val="left"/>
            </w:pPr>
            <w:r>
              <w:rPr>
                <w:rFonts w:ascii="Arial" w:hAnsi="Arial"/>
                <w:sz w:val="18"/>
              </w:rPr>
              <w:t xml:space="preserve">Norm oder Zielmarke der Umsetzung für Nachwuchsspieler</w:t>
            </w:r>
          </w:p>
        </w:tc>
        <w:tc>
          <w:tcPr>
            <w:tcW w:type="dxa" w:w="7766"/>
          </w:tcPr>
          <w:p>
            <w:pPr>
              <w:pStyle w:val="Compact"/>
              <w:jc w:val="left"/>
            </w:pPr>
            <w:r>
              <w:rPr>
                <w:rFonts w:ascii="Arial" w:hAnsi="Arial"/>
                <w:sz w:val="18"/>
              </w:rPr>
              <w:t xml:space="preserve">Population 2, beschreibende Mittel, sehr hohe Streuung</w:t>
            </w:r>
          </w:p>
        </w:tc>
      </w:tr>
      <w:tr>
        <w:trPr>
          <w:cantSplit w:val="true"/>
        </w:trPr>
        <w:tc>
          <w:tcPr>
            <w:tcW w:type="dxa" w:w="7031"/>
            <w:shd w:val="clear" w:color="auto" w:fill="EEF3F9"/>
          </w:tcPr>
          <w:p>
            <w:pPr>
              <w:pStyle w:val="Compact"/>
              <w:jc w:val="left"/>
            </w:pPr>
            <w:r>
              <w:rPr>
                <w:rFonts w:ascii="Arial" w:hAnsi="Arial"/>
                <w:sz w:val="18"/>
              </w:rPr>
              <w:t xml:space="preserve">Ursachen der eigenen Umsetzung (Erinnerungen in den WhatsApp-Gruppen, Fortschrittskarte, Videolänge, Programmdauer)</w:t>
            </w:r>
          </w:p>
        </w:tc>
        <w:tc>
          <w:tcPr>
            <w:tcW w:type="dxa" w:w="7766"/>
            <w:shd w:val="clear" w:color="auto" w:fill="EEF3F9"/>
          </w:tcPr>
          <w:p>
            <w:pPr>
              <w:pStyle w:val="Compact"/>
              <w:jc w:val="left"/>
            </w:pPr>
            <w:r>
              <w:rPr>
                <w:rFonts w:ascii="Arial" w:hAnsi="Arial"/>
                <w:sz w:val="18"/>
              </w:rPr>
              <w:t xml:space="preserve">Faktoren aus Einzelstudien anderer Populationen, eigene Ursachen nicht erhoben (F17 § 10, § 11.2b)</w:t>
            </w:r>
          </w:p>
        </w:tc>
      </w:tr>
      <w:tr>
        <w:trPr>
          <w:cantSplit w:val="true"/>
        </w:trPr>
        <w:tc>
          <w:tcPr>
            <w:tcW w:type="dxa" w:w="7031"/>
          </w:tcPr>
          <w:p>
            <w:pPr>
              <w:pStyle w:val="Compact"/>
              <w:jc w:val="left"/>
            </w:pPr>
            <w:r>
              <w:rPr>
                <w:rFonts w:ascii="Arial" w:hAnsi="Arial"/>
                <w:sz w:val="18"/>
              </w:rPr>
              <w:t xml:space="preserve">Dosis-Wirkung oder Wirkung der Adhärenz</w:t>
            </w:r>
          </w:p>
        </w:tc>
        <w:tc>
          <w:tcPr>
            <w:tcW w:type="dxa" w:w="7766"/>
          </w:tcPr>
          <w:p>
            <w:pPr>
              <w:pStyle w:val="Compact"/>
              <w:jc w:val="left"/>
            </w:pPr>
            <w:r>
              <w:rPr>
                <w:rFonts w:ascii="Arial" w:hAnsi="Arial"/>
                <w:sz w:val="18"/>
              </w:rPr>
              <w:t xml:space="preserve">nicht geprüft, von den Autoren als Forschungsfrage genannt</w:t>
            </w:r>
          </w:p>
        </w:tc>
      </w:tr>
      <w:tr>
        <w:trPr>
          <w:cantSplit w:val="true"/>
        </w:trPr>
        <w:tc>
          <w:tcPr>
            <w:tcW w:type="dxa" w:w="7031"/>
            <w:shd w:val="clear" w:color="auto" w:fill="EEF3F9"/>
          </w:tcPr>
          <w:p>
            <w:pPr>
              <w:pStyle w:val="Compact"/>
              <w:jc w:val="left"/>
            </w:pPr>
            <w:r>
              <w:rPr>
                <w:rFonts w:ascii="Arial" w:hAnsi="Arial"/>
                <w:sz w:val="18"/>
              </w:rPr>
              <w:t xml:space="preserve">Aussagen über Videoprogramme</w:t>
            </w:r>
          </w:p>
        </w:tc>
        <w:tc>
          <w:tcPr>
            <w:tcW w:type="dxa" w:w="7766"/>
            <w:shd w:val="clear" w:color="auto" w:fill="EEF3F9"/>
          </w:tcPr>
          <w:p>
            <w:pPr>
              <w:pStyle w:val="Compact"/>
              <w:jc w:val="left"/>
            </w:pPr>
            <w:r>
              <w:rPr>
                <w:rFonts w:ascii="Arial" w:hAnsi="Arial"/>
                <w:sz w:val="18"/>
              </w:rPr>
              <w:t xml:space="preserve">Video nicht getrennt ausgewertet</w:t>
            </w:r>
          </w:p>
        </w:tc>
      </w:tr>
      <w:tr>
        <w:trPr>
          <w:cantSplit w:val="true"/>
        </w:trPr>
        <w:tc>
          <w:tcPr>
            <w:tcW w:type="dxa" w:w="7031"/>
          </w:tcPr>
          <w:p>
            <w:pPr>
              <w:pStyle w:val="Compact"/>
              <w:jc w:val="left"/>
            </w:pPr>
            <w:r>
              <w:rPr>
                <w:rFonts w:ascii="Arial" w:hAnsi="Arial"/>
                <w:sz w:val="18"/>
              </w:rPr>
              <w:t xml:space="preserve">Vorteil beaufsichtigter Programme im Nachwuchssport</w:t>
            </w:r>
          </w:p>
        </w:tc>
        <w:tc>
          <w:tcPr>
            <w:tcW w:type="dxa" w:w="7766"/>
          </w:tcPr>
          <w:p>
            <w:pPr>
              <w:pStyle w:val="Compact"/>
              <w:jc w:val="left"/>
            </w:pPr>
            <w:r>
              <w:rPr>
                <w:rFonts w:ascii="Arial" w:hAnsi="Arial"/>
                <w:sz w:val="18"/>
              </w:rPr>
              <w:t xml:space="preserve">persönliche Unterstützung in der Metaregression ohne Effekt auf den Abbruch, Coaching-Befunde aus Einzelstudien anderer Domänen. Dafür Klusemann et al. (2012) in 6.3 G3</w:t>
            </w:r>
          </w:p>
        </w:tc>
      </w:tr>
      <w:tr>
        <w:trPr>
          <w:cantSplit w:val="true"/>
        </w:trPr>
        <w:tc>
          <w:tcPr>
            <w:tcW w:type="dxa" w:w="7031"/>
            <w:shd w:val="clear" w:color="auto" w:fill="EEF3F9"/>
          </w:tcPr>
          <w:p>
            <w:pPr>
              <w:pStyle w:val="Compact"/>
              <w:jc w:val="left"/>
            </w:pPr>
            <w:r>
              <w:rPr>
                <w:rFonts w:ascii="Arial" w:hAnsi="Arial"/>
                <w:sz w:val="18"/>
              </w:rPr>
              <w:t xml:space="preserve">Wirkung der Programmdauer</w:t>
            </w:r>
          </w:p>
        </w:tc>
        <w:tc>
          <w:tcPr>
            <w:tcW w:type="dxa" w:w="7766"/>
            <w:shd w:val="clear" w:color="auto" w:fill="EEF3F9"/>
          </w:tcPr>
          <w:p>
            <w:pPr>
              <w:pStyle w:val="Compact"/>
              <w:jc w:val="left"/>
            </w:pPr>
            <w:r>
              <w:rPr>
                <w:rFonts w:ascii="Arial" w:hAnsi="Arial"/>
                <w:sz w:val="18"/>
              </w:rPr>
              <w:t xml:space="preserve">Evidenz uneinheitlich</w:t>
            </w:r>
          </w:p>
        </w:tc>
      </w:tr>
      <w:tr>
        <w:trPr>
          <w:cantSplit w:val="true"/>
        </w:trPr>
        <w:tc>
          <w:tcPr>
            <w:tcW w:type="dxa" w:w="7031"/>
          </w:tcPr>
          <w:p>
            <w:pPr>
              <w:pStyle w:val="Compact"/>
              <w:jc w:val="left"/>
            </w:pPr>
            <w:r>
              <w:rPr>
                <w:rFonts w:ascii="Arial" w:hAnsi="Arial"/>
                <w:sz w:val="18"/>
              </w:rPr>
              <w:t xml:space="preserve">Wertungen „typisch“, „gering“</w:t>
            </w:r>
          </w:p>
        </w:tc>
        <w:tc>
          <w:tcPr>
            <w:tcW w:type="dxa" w:w="7766"/>
          </w:tcPr>
          <w:p>
            <w:pPr>
              <w:pStyle w:val="Compact"/>
              <w:jc w:val="left"/>
            </w:pPr>
            <w:r>
              <w:rPr>
                <w:rFonts w:ascii="Arial" w:hAnsi="Arial"/>
                <w:sz w:val="18"/>
              </w:rPr>
              <w:t xml:space="preserve">§ 6.2</w:t>
            </w:r>
          </w:p>
        </w:tc>
      </w:tr>
    </w:tbl>
    <w:bookmarkEnd w:id="39"/>
    <w:bookmarkEnd w:id="40"/>
    <w:bookmarkStart w:id="41" w:name="t1-und-t4"/>
    <w:p>
      <w:pPr>
        <w:pStyle w:val="Heading2"/>
      </w:pPr>
      <w:r>
        <w:rPr>
          <w:rFonts w:ascii="Arial" w:hAnsi="Arial"/>
        </w:rPr>
        <w:t xml:space="preserve">7 T1 und T4</w:t>
      </w:r>
    </w:p>
    <w:p>
      <w:pPr>
        <w:pStyle w:val="FirstParagraph"/>
      </w:pPr>
      <w:r>
        <w:rPr>
          <w:rFonts w:ascii="Arial" w:hAnsi="Arial"/>
        </w:rPr>
        <w:t xml:space="preserve">Skript</w:t>
      </w:r>
      <w:r>
        <w:rPr>
          <w:rFonts w:ascii="Arial" w:hAnsi="Arial"/>
        </w:rPr>
        <w:t xml:space="preserve"> </w:t>
      </w:r>
      <w:r>
        <w:rPr>
          <w:rStyle w:val="VerbatimChar"/>
          <w:rFonts w:ascii="Arial" w:hAnsi="Arial"/>
          <w:sz w:val="16"/>
        </w:rPr>
        <w:t xml:space="preserve">03_Skripte\T1_T4_Nachtrag_Boumparis_2026-10-02.py</w:t>
      </w:r>
      <w:r>
        <w:rPr>
          <w:rFonts w:ascii="Arial" w:hAnsi="Arial"/>
        </w:rPr>
        <w:t xml:space="preserve">, Lauf 1 am 02.10.2026 nach der Zweitprüfung (Protokoll</w:t>
      </w:r>
      <w:r>
        <w:rPr>
          <w:rFonts w:ascii="Arial" w:hAnsi="Arial"/>
        </w:rPr>
        <w:t xml:space="preserve"> </w:t>
      </w:r>
      <w:r>
        <w:rPr>
          <w:rStyle w:val="VerbatimChar"/>
          <w:rFonts w:ascii="Arial" w:hAnsi="Arial"/>
          <w:sz w:val="16"/>
        </w:rPr>
        <w:t xml:space="preserve">.txt</w:t>
      </w:r>
      <w:r>
        <w:rPr>
          <w:rFonts w:ascii="Arial" w:hAnsi="Arial"/>
        </w:rPr>
        <w:t xml:space="preserve"> </w:t>
      </w:r>
      <w:r>
        <w:rPr>
          <w:rFonts w:ascii="Arial" w:hAnsi="Arial"/>
        </w:rPr>
        <w:t xml:space="preserve">daneben): T1 75 → 76 Steckbriefe (</w:t>
      </w:r>
      <w:r>
        <w:rPr>
          <w:rStyle w:val="VerbatimChar"/>
          <w:rFonts w:ascii="Arial" w:hAnsi="Arial"/>
          <w:sz w:val="16"/>
        </w:rPr>
        <w:t xml:space="preserve">Boumparis2026</w:t>
      </w:r>
      <w:r>
        <w:rPr>
          <w:rFonts w:ascii="Arial" w:hAnsi="Arial"/>
        </w:rPr>
        <w:t xml:space="preserve"> </w:t>
      </w:r>
      <w:r>
        <w:rPr>
          <w:rFonts w:ascii="Arial" w:hAnsi="Arial"/>
        </w:rPr>
        <w:t xml:space="preserve">neu, Distanzfelder nach F17 § 6.4: Population 2, Dosis und Zielgröße „—“),</w:t>
      </w:r>
      <w:r>
        <w:rPr>
          <w:rFonts w:ascii="Arial" w:hAnsi="Arial"/>
        </w:rPr>
        <w:t xml:space="preserve"> </w:t>
      </w:r>
      <w:r>
        <w:rPr>
          <w:rStyle w:val="VerbatimChar"/>
          <w:rFonts w:ascii="Arial" w:hAnsi="Arial"/>
          <w:sz w:val="16"/>
        </w:rPr>
        <w:t xml:space="preserve">Klusemann2012</w:t>
      </w:r>
      <w:r>
        <w:rPr>
          <w:rFonts w:ascii="Arial" w:hAnsi="Arial"/>
        </w:rPr>
        <w:t xml:space="preserve"> </w:t>
      </w:r>
      <w:r>
        <w:rPr>
          <w:rFonts w:ascii="Arial" w:hAnsi="Arial"/>
        </w:rPr>
        <w:t xml:space="preserve">mit einem Vermerk zur Distanzregel für Umsetzungsvergleiche, Felder unverändert (2 · 2 · 1, Wirksamkeit). T4 158 → 170 Zitierfallen (elf zu Boumparis et al., eine zu Klusemann et al.). Lauf 2 nach der Klickfreigabe des Moduls setzt das Feld</w:t>
      </w:r>
      <w:r>
        <w:rPr>
          <w:rFonts w:ascii="Arial" w:hAnsi="Arial"/>
        </w:rPr>
        <w:t xml:space="preserve"> </w:t>
      </w:r>
      <w:r>
        <w:rPr>
          <w:rStyle w:val="VerbatimChar"/>
          <w:rFonts w:ascii="Arial" w:hAnsi="Arial"/>
          <w:sz w:val="16"/>
        </w:rPr>
        <w:t xml:space="preserve">kapitel</w:t>
      </w:r>
      <w:r>
        <w:rPr>
          <w:rFonts w:ascii="Arial" w:hAnsi="Arial"/>
        </w:rPr>
        <w:t xml:space="preserve"> </w:t>
      </w:r>
      <w:r>
        <w:rPr>
          <w:rFonts w:ascii="Arial" w:hAnsi="Arial"/>
        </w:rPr>
        <w:t xml:space="preserve">beider Steckbriefe.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362"/>
        <w:gridCol w:w="9435"/>
      </w:tblGrid>
      <w:tr>
        <w:trPr>
          <w:tblHeader w:val="true"/>
          <w:tblHeader w:val="true"/>
          <w:cantSplit w:val="true"/>
        </w:trPr>
        <w:tc>
          <w:tcPr>
            <w:tcW w:type="dxa" w:w="5362"/>
            <w:shd w:val="clear" w:color="auto" w:fill="D6E4F0"/>
          </w:tcPr>
          <w:p>
            <w:pPr>
              <w:pStyle w:val="Compact"/>
              <w:jc w:val="left"/>
            </w:pPr>
            <w:r>
              <w:rPr>
                <w:rFonts w:ascii="Arial" w:hAnsi="Arial"/>
                <w:b/>
                <w:sz w:val="18"/>
              </w:rPr>
              <w:t xml:space="preserve">Art (T4,</w:t>
            </w:r>
            <w:r>
              <w:rPr>
                <w:rFonts w:ascii="Arial" w:hAnsi="Arial"/>
                <w:b/>
                <w:sz w:val="18"/>
              </w:rPr>
              <w:t xml:space="preserve"> </w:t>
            </w:r>
            <w:r>
              <w:rPr>
                <w:rStyle w:val="VerbatimChar"/>
                <w:rFonts w:ascii="Arial" w:hAnsi="Arial"/>
                <w:b/>
                <w:sz w:val="16"/>
              </w:rPr>
              <w:t xml:space="preserve">Boumparis2026</w:t>
            </w:r>
            <w:r>
              <w:rPr>
                <w:rFonts w:ascii="Arial" w:hAnsi="Arial"/>
                <w:b/>
                <w:sz w:val="18"/>
              </w:rPr>
              <w:t xml:space="preserve">)</w:t>
            </w:r>
          </w:p>
        </w:tc>
        <w:tc>
          <w:tcPr>
            <w:tcW w:type="dxa" w:w="9435"/>
            <w:shd w:val="clear" w:color="auto" w:fill="D6E4F0"/>
          </w:tcPr>
          <w:p>
            <w:pPr>
              <w:pStyle w:val="Compact"/>
              <w:jc w:val="left"/>
            </w:pPr>
            <w:r>
              <w:rPr>
                <w:rFonts w:ascii="Arial" w:hAnsi="Arial"/>
                <w:b/>
                <w:sz w:val="18"/>
              </w:rPr>
              <w:t xml:space="preserve">Kern</w:t>
            </w:r>
          </w:p>
        </w:tc>
      </w:tr>
      <w:tr>
        <w:trPr>
          <w:cantSplit w:val="true"/>
        </w:trPr>
        <w:tc>
          <w:tcPr>
            <w:tcW w:type="dxa" w:w="5362"/>
          </w:tcPr>
          <w:p>
            <w:pPr>
              <w:pStyle w:val="Compact"/>
              <w:jc w:val="left"/>
            </w:pPr>
            <w:r>
              <w:rPr>
                <w:rFonts w:ascii="Arial" w:hAnsi="Arial"/>
                <w:sz w:val="18"/>
              </w:rPr>
              <w:t xml:space="preserve">Fassung: Preprint gegen Version of Record</w:t>
            </w:r>
          </w:p>
        </w:tc>
        <w:tc>
          <w:tcPr>
            <w:tcW w:type="dxa" w:w="9435"/>
          </w:tcPr>
          <w:p>
            <w:pPr>
              <w:pStyle w:val="Compact"/>
              <w:jc w:val="left"/>
            </w:pPr>
            <w:r>
              <w:rPr>
                <w:rFonts w:ascii="Arial" w:hAnsi="Arial"/>
                <w:sz w:val="18"/>
              </w:rPr>
              <w:t xml:space="preserve">Preprint im Ordner (Deckblatt mit Werten der Erstsuche, Manuskript mit Update und 119 Studien) nicht zitierfähig, Version of Record 2026 zitieren, PDF vor dem Einbau in 6.1, Belegzahlen an der PDF prüfen</w:t>
            </w:r>
          </w:p>
        </w:tc>
      </w:tr>
      <w:tr>
        <w:trPr>
          <w:cantSplit w:val="true"/>
        </w:trPr>
        <w:tc>
          <w:tcPr>
            <w:tcW w:type="dxa" w:w="5362"/>
            <w:shd w:val="clear" w:color="auto" w:fill="EEF3F9"/>
          </w:tcPr>
          <w:p>
            <w:pPr>
              <w:pStyle w:val="Compact"/>
              <w:jc w:val="left"/>
            </w:pPr>
            <w:r>
              <w:rPr>
                <w:rFonts w:ascii="Arial" w:hAnsi="Arial"/>
                <w:sz w:val="18"/>
              </w:rPr>
              <w:t xml:space="preserve">Metaanalyse nur für den Studienabbruch</w:t>
            </w:r>
          </w:p>
        </w:tc>
        <w:tc>
          <w:tcPr>
            <w:tcW w:type="dxa" w:w="9435"/>
            <w:shd w:val="clear" w:color="auto" w:fill="EEF3F9"/>
          </w:tcPr>
          <w:p>
            <w:pPr>
              <w:pStyle w:val="Compact"/>
              <w:jc w:val="left"/>
            </w:pPr>
            <w:r>
              <w:rPr>
                <w:rFonts w:ascii="Arial" w:hAnsi="Arial"/>
                <w:sz w:val="18"/>
              </w:rPr>
              <w:t xml:space="preserve">Adhärenzwerte beschreibend, ohne genannte Gewichtung, im Text „systematische Übersicht“ und „im Mittel“</w:t>
            </w:r>
          </w:p>
        </w:tc>
      </w:tr>
      <w:tr>
        <w:trPr>
          <w:cantSplit w:val="true"/>
        </w:trPr>
        <w:tc>
          <w:tcPr>
            <w:tcW w:type="dxa" w:w="5362"/>
          </w:tcPr>
          <w:p>
            <w:pPr>
              <w:pStyle w:val="Compact"/>
              <w:jc w:val="left"/>
            </w:pPr>
            <w:r>
              <w:rPr>
                <w:rFonts w:ascii="Arial" w:hAnsi="Arial"/>
                <w:sz w:val="18"/>
              </w:rPr>
              <w:t xml:space="preserve">Hintergrundsätze sind keine Ergebnisse</w:t>
            </w:r>
          </w:p>
        </w:tc>
        <w:tc>
          <w:tcPr>
            <w:tcW w:type="dxa" w:w="9435"/>
          </w:tcPr>
          <w:p>
            <w:pPr>
              <w:pStyle w:val="Compact"/>
              <w:jc w:val="left"/>
            </w:pPr>
            <w:r>
              <w:rPr>
                <w:rFonts w:ascii="Arial" w:hAnsi="Arial"/>
                <w:sz w:val="18"/>
              </w:rPr>
              <w:t xml:space="preserve">Erster Satz der Zusammenfassung („fewer than half of adolescent participants complete“) und Introduction, Abs. 5 („around 50%“) referieren andere Studien</w:t>
            </w:r>
          </w:p>
        </w:tc>
      </w:tr>
      <w:tr>
        <w:trPr>
          <w:cantSplit w:val="true"/>
        </w:trPr>
        <w:tc>
          <w:tcPr>
            <w:tcW w:type="dxa" w:w="5362"/>
            <w:shd w:val="clear" w:color="auto" w:fill="EEF3F9"/>
          </w:tcPr>
          <w:p>
            <w:pPr>
              <w:pStyle w:val="Compact"/>
              <w:jc w:val="left"/>
            </w:pPr>
            <w:r>
              <w:rPr>
                <w:rFonts w:ascii="Arial" w:hAnsi="Arial"/>
                <w:sz w:val="18"/>
              </w:rPr>
              <w:t xml:space="preserve">Bezugsmengen: Teilnehmende, Vergleiche, doppelte 55,2 %</w:t>
            </w:r>
          </w:p>
        </w:tc>
        <w:tc>
          <w:tcPr>
            <w:tcW w:type="dxa" w:w="9435"/>
            <w:shd w:val="clear" w:color="auto" w:fill="EEF3F9"/>
          </w:tcPr>
          <w:p>
            <w:pPr>
              <w:pStyle w:val="Compact"/>
              <w:jc w:val="left"/>
            </w:pPr>
            <w:r>
              <w:rPr>
                <w:rFonts w:ascii="Arial" w:hAnsi="Arial"/>
                <w:sz w:val="18"/>
              </w:rPr>
              <w:t xml:space="preserve">46.029 mit Kontrollarmen, Abbruch auf 30.956, Anteile meist je Vergleich, 55,2 % zweimal (Bestandteil-Adhärenz und Anteil ohne Anreize)</w:t>
            </w:r>
          </w:p>
        </w:tc>
      </w:tr>
      <w:tr>
        <w:trPr>
          <w:cantSplit w:val="true"/>
        </w:trPr>
        <w:tc>
          <w:tcPr>
            <w:tcW w:type="dxa" w:w="5362"/>
          </w:tcPr>
          <w:p>
            <w:pPr>
              <w:pStyle w:val="Compact"/>
              <w:jc w:val="left"/>
            </w:pPr>
            <w:r>
              <w:rPr>
                <w:rFonts w:ascii="Arial" w:hAnsi="Arial"/>
                <w:sz w:val="18"/>
              </w:rPr>
              <w:t xml:space="preserve">Dauer und Zeitverlauf: nur Bewegungsteil, insgesamt uneinheitlich</w:t>
            </w:r>
          </w:p>
        </w:tc>
        <w:tc>
          <w:tcPr>
            <w:tcW w:type="dxa" w:w="9435"/>
          </w:tcPr>
          <w:p>
            <w:pPr>
              <w:pStyle w:val="Compact"/>
              <w:jc w:val="left"/>
            </w:pPr>
            <w:r>
              <w:rPr>
                <w:rFonts w:ascii="Arial" w:hAnsi="Arial"/>
                <w:sz w:val="18"/>
              </w:rPr>
              <w:t xml:space="preserve">zwei Studien, Metaregression nicht signifikant, Rückgang im Verlauf ist eine andere Aussage</w:t>
            </w:r>
          </w:p>
        </w:tc>
      </w:tr>
      <w:tr>
        <w:trPr>
          <w:cantSplit w:val="true"/>
        </w:trPr>
        <w:tc>
          <w:tcPr>
            <w:tcW w:type="dxa" w:w="5362"/>
            <w:shd w:val="clear" w:color="auto" w:fill="EEF3F9"/>
          </w:tcPr>
          <w:p>
            <w:pPr>
              <w:pStyle w:val="Compact"/>
              <w:jc w:val="left"/>
            </w:pPr>
            <w:r>
              <w:rPr>
                <w:rFonts w:ascii="Arial" w:hAnsi="Arial"/>
                <w:sz w:val="18"/>
              </w:rPr>
              <w:t xml:space="preserve">Population: keine Sportauswahl, überwiegend weiblich</w:t>
            </w:r>
          </w:p>
        </w:tc>
        <w:tc>
          <w:tcPr>
            <w:tcW w:type="dxa" w:w="9435"/>
            <w:shd w:val="clear" w:color="auto" w:fill="EEF3F9"/>
          </w:tcPr>
          <w:p>
            <w:pPr>
              <w:pStyle w:val="Compact"/>
              <w:jc w:val="left"/>
            </w:pPr>
            <w:r>
              <w:rPr>
                <w:rFonts w:ascii="Arial" w:hAnsi="Arial"/>
                <w:sz w:val="18"/>
              </w:rPr>
              <w:t xml:space="preserve">keine Norm für Nachwuchsspieler</w:t>
            </w:r>
          </w:p>
        </w:tc>
      </w:tr>
      <w:tr>
        <w:trPr>
          <w:cantSplit w:val="true"/>
        </w:trPr>
        <w:tc>
          <w:tcPr>
            <w:tcW w:type="dxa" w:w="5362"/>
          </w:tcPr>
          <w:p>
            <w:pPr>
              <w:pStyle w:val="Compact"/>
              <w:jc w:val="left"/>
            </w:pPr>
            <w:r>
              <w:rPr>
                <w:rFonts w:ascii="Arial" w:hAnsi="Arial"/>
                <w:sz w:val="18"/>
              </w:rPr>
              <w:t xml:space="preserve">Video nicht getrennt ausgewertet</w:t>
            </w:r>
          </w:p>
        </w:tc>
        <w:tc>
          <w:tcPr>
            <w:tcW w:type="dxa" w:w="9435"/>
          </w:tcPr>
          <w:p>
            <w:pPr>
              <w:pStyle w:val="Compact"/>
              <w:jc w:val="left"/>
            </w:pPr>
            <w:r>
              <w:rPr>
                <w:rFonts w:ascii="Arial" w:hAnsi="Arial"/>
                <w:sz w:val="18"/>
              </w:rPr>
              <w:t xml:space="preserve">keine Aussage über Videoprogramme</w:t>
            </w:r>
          </w:p>
        </w:tc>
      </w:tr>
      <w:tr>
        <w:trPr>
          <w:cantSplit w:val="true"/>
        </w:trPr>
        <w:tc>
          <w:tcPr>
            <w:tcW w:type="dxa" w:w="5362"/>
            <w:shd w:val="clear" w:color="auto" w:fill="EEF3F9"/>
          </w:tcPr>
          <w:p>
            <w:pPr>
              <w:pStyle w:val="Compact"/>
              <w:jc w:val="left"/>
            </w:pPr>
            <w:r>
              <w:rPr>
                <w:rFonts w:ascii="Arial" w:hAnsi="Arial"/>
                <w:sz w:val="18"/>
              </w:rPr>
              <w:t xml:space="preserve">Bewegungswerte auf wenigen Vergleichen</w:t>
            </w:r>
          </w:p>
        </w:tc>
        <w:tc>
          <w:tcPr>
            <w:tcW w:type="dxa" w:w="9435"/>
            <w:shd w:val="clear" w:color="auto" w:fill="EEF3F9"/>
          </w:tcPr>
          <w:p>
            <w:pPr>
              <w:pStyle w:val="Compact"/>
              <w:jc w:val="left"/>
            </w:pPr>
            <w:r>
              <w:rPr>
                <w:rFonts w:ascii="Arial" w:hAnsi="Arial"/>
                <w:sz w:val="18"/>
              </w:rPr>
              <w:t xml:space="preserve">62,8 % ohne SD und Vergleichszahl, Abschlussrate fehlt im Haupttext</w:t>
            </w:r>
          </w:p>
        </w:tc>
      </w:tr>
      <w:tr>
        <w:trPr>
          <w:cantSplit w:val="true"/>
        </w:trPr>
        <w:tc>
          <w:tcPr>
            <w:tcW w:type="dxa" w:w="5362"/>
          </w:tcPr>
          <w:p>
            <w:pPr>
              <w:pStyle w:val="Compact"/>
              <w:jc w:val="left"/>
            </w:pPr>
            <w:r>
              <w:rPr>
                <w:rFonts w:ascii="Arial" w:hAnsi="Arial"/>
                <w:sz w:val="18"/>
              </w:rPr>
              <w:t xml:space="preserve">Einflussfaktoren gezählt, nicht gepoolt</w:t>
            </w:r>
          </w:p>
        </w:tc>
        <w:tc>
          <w:tcPr>
            <w:tcW w:type="dxa" w:w="9435"/>
          </w:tcPr>
          <w:p>
            <w:pPr>
              <w:pStyle w:val="Compact"/>
              <w:jc w:val="left"/>
            </w:pPr>
            <w:r>
              <w:rPr>
                <w:rFonts w:ascii="Arial" w:hAnsi="Arial"/>
                <w:sz w:val="18"/>
              </w:rPr>
              <w:t xml:space="preserve">kein Faktor als gesicherter Prädiktor, kein Schluss auf eigene Ursachen</w:t>
            </w:r>
          </w:p>
        </w:tc>
      </w:tr>
      <w:tr>
        <w:trPr>
          <w:cantSplit w:val="true"/>
        </w:trPr>
        <w:tc>
          <w:tcPr>
            <w:tcW w:type="dxa" w:w="5362"/>
            <w:shd w:val="clear" w:color="auto" w:fill="EEF3F9"/>
          </w:tcPr>
          <w:p>
            <w:pPr>
              <w:pStyle w:val="Compact"/>
              <w:jc w:val="left"/>
            </w:pPr>
            <w:r>
              <w:rPr>
                <w:rFonts w:ascii="Arial" w:hAnsi="Arial"/>
                <w:sz w:val="18"/>
              </w:rPr>
              <w:t xml:space="preserve">Keine Dosis-Wirkung</w:t>
            </w:r>
          </w:p>
        </w:tc>
        <w:tc>
          <w:tcPr>
            <w:tcW w:type="dxa" w:w="9435"/>
            <w:shd w:val="clear" w:color="auto" w:fill="EEF3F9"/>
          </w:tcPr>
          <w:p>
            <w:pPr>
              <w:pStyle w:val="Compact"/>
              <w:jc w:val="left"/>
            </w:pPr>
            <w:r>
              <w:rPr>
                <w:rFonts w:ascii="Arial" w:hAnsi="Arial"/>
                <w:sz w:val="18"/>
              </w:rPr>
              <w:t xml:space="preserve">Zusammenhang Adhärenz und Wirksamkeit nicht geprüft</w:t>
            </w:r>
          </w:p>
        </w:tc>
      </w:tr>
      <w:tr>
        <w:trPr>
          <w:cantSplit w:val="true"/>
        </w:trPr>
        <w:tc>
          <w:tcPr>
            <w:tcW w:type="dxa" w:w="5362"/>
          </w:tcPr>
          <w:p>
            <w:pPr>
              <w:pStyle w:val="Compact"/>
              <w:jc w:val="left"/>
            </w:pPr>
            <w:r>
              <w:rPr>
                <w:rFonts w:ascii="Arial" w:hAnsi="Arial"/>
                <w:sz w:val="18"/>
              </w:rPr>
              <w:t xml:space="preserve">Verbleib und Nutzung: zwei Maße</w:t>
            </w:r>
          </w:p>
        </w:tc>
        <w:tc>
          <w:tcPr>
            <w:tcW w:type="dxa" w:w="9435"/>
          </w:tcPr>
          <w:p>
            <w:pPr>
              <w:pStyle w:val="Compact"/>
              <w:jc w:val="left"/>
            </w:pPr>
            <w:r>
              <w:rPr>
                <w:rFonts w:ascii="Arial" w:hAnsi="Arial"/>
                <w:sz w:val="18"/>
              </w:rPr>
              <w:t xml:space="preserve">Folgerung der Autoren („many“, „tend to“), gepoolter Abbruch und beschreibende Nutzung mit verschiedenen Bezugsmengen, beide benennen, ohne gemeinsames Subjekt, „die meisten“ nur über den gepoolten Abbruch</w:t>
            </w:r>
          </w:p>
        </w:tc>
      </w:tr>
      <w:tr>
        <w:trPr>
          <w:cantSplit w:val="true"/>
        </w:trPr>
        <w:tc>
          <w:tcPr>
            <w:tcW w:type="dxa" w:w="5362"/>
            <w:shd w:val="clear" w:color="auto" w:fill="EEF3F9"/>
          </w:tcPr>
          <w:p>
            <w:pPr>
              <w:pStyle w:val="Compact"/>
              <w:jc w:val="left"/>
            </w:pPr>
            <w:r>
              <w:rPr>
                <w:rFonts w:ascii="Arial" w:hAnsi="Arial"/>
                <w:sz w:val="18"/>
              </w:rPr>
              <w:t xml:space="preserve">Bezugsmenge der 77 % (</w:t>
            </w:r>
            <w:r>
              <w:rPr>
                <w:rStyle w:val="VerbatimChar"/>
                <w:rFonts w:ascii="Arial" w:hAnsi="Arial"/>
                <w:sz w:val="16"/>
              </w:rPr>
              <w:t xml:space="preserve">Klusemann2012</w:t>
            </w:r>
            <w:r>
              <w:rPr>
                <w:rFonts w:ascii="Arial" w:hAnsi="Arial"/>
                <w:sz w:val="18"/>
              </w:rPr>
              <w:t xml:space="preserve">)</w:t>
            </w:r>
          </w:p>
        </w:tc>
        <w:tc>
          <w:tcPr>
            <w:tcW w:type="dxa" w:w="9435"/>
            <w:shd w:val="clear" w:color="auto" w:fill="EEF3F9"/>
          </w:tcPr>
          <w:p>
            <w:pPr>
              <w:pStyle w:val="Compact"/>
              <w:jc w:val="left"/>
            </w:pPr>
            <w:r>
              <w:rPr>
                <w:rFonts w:ascii="Arial" w:hAnsi="Arial"/>
                <w:sz w:val="18"/>
              </w:rPr>
              <w:t xml:space="preserve">die 77 % gelten rechnerisch für alle 13 der Videogruppe, nicht für die 11 nach Ausschluss, Textvorschlag 6.1 § 5 entsprechend berichtigen</w:t>
            </w:r>
          </w:p>
        </w:tc>
      </w:tr>
    </w:tbl>
    <w:bookmarkEnd w:id="41"/>
    <w:bookmarkStart w:id="42" w:name="offene-punkte"/>
    <w:p>
      <w:pPr>
        <w:pStyle w:val="Heading2"/>
      </w:pPr>
      <w:r>
        <w:rPr>
          <w:rFonts w:ascii="Arial" w:hAnsi="Arial"/>
        </w:rPr>
        <w:t xml:space="preserve">8 Offene Punkte</w:t>
      </w:r>
    </w:p>
    <w:p>
      <w:pPr>
        <w:numPr>
          <w:ilvl w:val="0"/>
          <w:numId w:val="1002"/>
        </w:numPr>
        <w:pStyle w:val="Compact"/>
      </w:pPr>
      <w:r>
        <w:rPr>
          <w:bCs/>
          <w:rFonts w:ascii="Arial" w:hAnsi="Arial"/>
          <w:b/>
        </w:rPr>
        <w:t xml:space="preserve">PDF der Version of Record</w:t>
      </w:r>
      <w:r>
        <w:rPr>
          <w:rFonts w:ascii="Arial" w:hAnsi="Arial"/>
        </w:rPr>
        <w:t xml:space="preserve"> </w:t>
      </w:r>
      <w:r>
        <w:rPr>
          <w:rFonts w:ascii="Arial" w:hAnsi="Arial"/>
        </w:rPr>
        <w:t xml:space="preserve">(H16, vor dem Einbau in 6.1, spätestens vor Task 15): ablegen, Titel, Studienzahl (116) und DOI an der Datei prüfen, Seitenzahlen der Fundstellen nachtragen, Belegzahlen je Faktor an den Ziffern prüfen.</w:t>
      </w:r>
    </w:p>
    <w:p>
      <w:pPr>
        <w:numPr>
          <w:ilvl w:val="0"/>
          <w:numId w:val="1002"/>
        </w:numPr>
        <w:pStyle w:val="Compact"/>
      </w:pPr>
      <w:r>
        <w:rPr>
          <w:bCs/>
          <w:rFonts w:ascii="Arial" w:hAnsi="Arial"/>
          <w:b/>
        </w:rPr>
        <w:t xml:space="preserve">Multimedia Appendix 1:</w:t>
      </w:r>
      <w:r>
        <w:rPr>
          <w:rFonts w:ascii="Arial" w:hAnsi="Arial"/>
        </w:rPr>
        <w:t xml:space="preserve"> </w:t>
      </w:r>
      <w:r>
        <w:rPr>
          <w:rFonts w:ascii="Arial" w:hAnsi="Arial"/>
        </w:rPr>
        <w:t xml:space="preserve">Tabellen S7 bis S18 (Zuordnung zu den Domänen im Text nicht genannt) für Abschlussrate, SD und Vergleichszahl im Bewegungsteil und für die Frage, ob Einzelstudien Sportler einschlossen. Nur nötig, wenn ein Text den Bewegungswert nennt (derzeit nicht vorgesehen).</w:t>
      </w:r>
    </w:p>
    <w:p>
      <w:pPr>
        <w:numPr>
          <w:ilvl w:val="0"/>
          <w:numId w:val="1002"/>
        </w:numPr>
        <w:pStyle w:val="Compact"/>
      </w:pPr>
      <w:r>
        <w:rPr>
          <w:bCs/>
          <w:rFonts w:ascii="Arial" w:hAnsi="Arial"/>
          <w:b/>
        </w:rPr>
        <w:t xml:space="preserve">Lizenz:</w:t>
      </w:r>
      <w:r>
        <w:rPr>
          <w:rFonts w:ascii="Arial" w:hAnsi="Arial"/>
        </w:rPr>
        <w:t xml:space="preserve"> </w:t>
      </w:r>
      <w:r>
        <w:rPr>
          <w:rFonts w:ascii="Arial" w:hAnsi="Arial"/>
        </w:rPr>
        <w:t xml:space="preserve">PubMed weist keine aus. Mit der PDF prüfen, ob die Arbeit unter CC BY steht, dann sind längere Zitate in Belegtabellen unbedenklich.</w:t>
      </w:r>
    </w:p>
    <w:bookmarkEnd w:id="42"/>
    <w:bookmarkEnd w:id="43"/>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2026-10-02T16:52:37Z</dcterms:created>
  <dcterms:modified xsi:type="dcterms:W3CDTF">2026-10-02T16:52:37Z</dcterms:modified>
</cp:coreProperties>
</file>

<file path=docProps/custom.xml><?xml version="1.0" encoding="utf-8"?>
<Properties xmlns="http://schemas.openxmlformats.org/officeDocument/2006/custom-properties" xmlns:vt="http://schemas.openxmlformats.org/officeDocument/2006/docPropsVTypes"/>
</file>