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8"/>
          <w:szCs w:val="38"/>
        </w:rPr>
        <w:t xml:space="preserve">Bauplan des Vergleichskorpus</w:t>
      </w:r>
    </w:p>
    <w:p>
      <w:pPr>
        <w:spacing w:after="60"/>
      </w:pPr>
      <w:r>
        <w:rPr>
          <w:rFonts w:ascii="Arial" w:cs="Arial" w:eastAsia="Arial" w:hAnsi="Arial"/>
          <w:color w:val="1F3864"/>
          <w:sz w:val="24"/>
          <w:szCs w:val="24"/>
        </w:rPr>
        <w:t xml:space="preserve">Aufbau, Kapitelstruktur und Textbausteine der elf Referenzstudien</w:t>
      </w:r>
    </w:p>
    <w:p>
      <w:pPr>
        <w:pBdr>
          <w:bottom w:val="single" w:color="D6E4F0" w:sz="12" w:space="6"/>
        </w:pBdr>
        <w:spacing w:after="260"/>
      </w:pPr>
      <w:r>
        <w:rPr>
          <w:rFonts w:ascii="Arial" w:cs="Arial" w:eastAsia="Arial" w:hAnsi="Arial"/>
          <w:color w:val="595959"/>
          <w:sz w:val="19"/>
          <w:szCs w:val="19"/>
        </w:rPr>
        <w:t xml:space="preserve">Bachelorarbeit U15-Plyometrie · DSHS Köln · Arbeitsdokument, kein Manuskripttext · Stand 15.09.2026</w:t>
      </w:r>
    </w:p>
    <w:p>
      <w:pPr>
        <w:pStyle w:val="Heading1"/>
        <w:spacing w:after="140" w:before="360"/>
      </w:pPr>
      <w:r>
        <w:rPr>
          <w:rFonts w:ascii="Arial" w:cs="Arial" w:eastAsia="Arial" w:hAnsi="Arial"/>
          <w:b/>
          <w:bCs/>
          <w:color w:val="1F3864"/>
          <w:sz w:val="28"/>
          <w:szCs w:val="28"/>
        </w:rPr>
        <w:t xml:space="preserve">0  Auftrag, Korpus und Verfahren</w:t>
      </w:r>
    </w:p>
    <w:p>
      <w:pPr>
        <w:spacing w:after="120" w:line="276"/>
      </w:pPr>
      <w:r>
        <w:rPr>
          <w:rFonts w:ascii="Arial" w:cs="Arial" w:eastAsia="Arial" w:hAnsi="Arial"/>
          <w:sz w:val="21"/>
          <w:szCs w:val="21"/>
        </w:rPr>
        <w:t xml:space="preserve">Gegenstand sind die elf Kernstudien aus RCT_Auswertungspraxis_2026-09-11, § 5.1 bis 5.11. Alle elf Volltexte liegen im Ordner Ideen und Studien und wurden vollständig gelesen. Untersucht wurde ausschließlich die Bauform: Kapitelfolge, Funktion jedes Absatzes, Eröffnungs- und Schlusszüge, wiederkehrende Textbausteine, Objekt- und Zitationspolitik, Tempus. Inhalte, Zahlen und Wirksamkeitsbefunde sind nicht Gegenstand; dafür gilt weiter das Befunddokument vom 11.09.</w:t>
      </w:r>
    </w:p>
    <w:p>
      <w:pPr>
        <w:spacing w:after="120" w:line="276"/>
      </w:pPr>
      <w:r>
        <w:rPr>
          <w:rFonts w:ascii="Arial" w:cs="Arial" w:eastAsia="Arial" w:hAnsi="Arial"/>
          <w:sz w:val="21"/>
          <w:szCs w:val="21"/>
        </w:rPr>
        <w:t xml:space="preserve">Verfahren: Textextraktion je PDF in zwei Fassungen (Lesereihenfolge und layouttreu). Bei sechs zweispaltig gesetzten Artikeln reißt die Lesereihenfolge an eingeschobenen Tabellen ab; die publizierte Reihenfolge wurde dort an der Layoutfassung rekonstruiert. Kapitelübergreifende Aussagen wurden, wo möglich, maschinell am Volltext geprüft; wo eine Aussage nur an einem Teil des Korpus messbar war, steht der Nenner dabei.</w:t>
      </w:r>
    </w:p>
    <w:p>
      <w:pPr>
        <w:pBdr>
          <w:left w:val="single" w:color="1F3864" w:sz="18" w:space="8"/>
        </w:pBdr>
        <w:shd w:fill="EEF3F9" w:val="clear"/>
        <w:spacing w:after="160" w:before="120" w:line="276"/>
      </w:pPr>
      <w:r>
        <w:rPr>
          <w:rFonts w:ascii="Arial" w:cs="Arial" w:eastAsia="Arial" w:hAnsi="Arial"/>
          <w:color w:val="333333"/>
          <w:sz w:val="20"/>
          <w:szCs w:val="20"/>
        </w:rPr>
        <w:t xml:space="preserve">⚠ Grenze des Verfahrens. Wortzahlen sind an der Textextraktion gemessen, nicht am Satzspiegel; zwei Extraktionsverfahren weichen um weniger als 2 % voneinander ab. Die Abgrenzung des Absatztexts (§ 7) ist eine regelbasierte Näherung — Absätze unter 20 Wörtern, zahlenlastige Blöcke, Beschriftungen und Seitenzubehör werden verworfen —, keine Auszählung von Hand. Aussagen über Anteile je Kapitel sind an den acht Studien mit intakter Lesereihenfolge gemessen; das ist in jeder Tabelle vermerkt.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434"/>
        <w:gridCol w:w="4118"/>
      </w:tblGrid>
      <w:tr>
        <w:trPr>
          <w:tblHeader/>
        </w:trPr>
        <w:tc>
          <w:tcPr>
            <w:tcW w:type="dxa" w:w="2808"/>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Studie</w:t>
            </w:r>
          </w:p>
        </w:tc>
        <w:tc>
          <w:tcPr>
            <w:tcW w:type="dxa" w:w="2434"/>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Zeitschrift</w:t>
            </w:r>
          </w:p>
        </w:tc>
        <w:tc>
          <w:tcPr>
            <w:tcW w:type="dxa" w:w="4118"/>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Modell des Schlussteils</w:t>
            </w:r>
          </w:p>
        </w:tc>
      </w:tr>
      <w:tr>
        <w:tc>
          <w:tcPr>
            <w:tcW w:type="dxa" w:w="280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Lloyd et al. (2016)</w:t>
            </w:r>
          </w:p>
        </w:tc>
        <w:tc>
          <w:tcPr>
            <w:tcW w:type="dxa" w:w="2434"/>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JSCR</w:t>
            </w:r>
          </w:p>
        </w:tc>
        <w:tc>
          <w:tcPr>
            <w:tcW w:type="dxa" w:w="411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Praxisrubrik, Fazit im letzten Diskussionsabsatz</w:t>
            </w:r>
          </w:p>
        </w:tc>
      </w:tr>
      <w:tr>
        <w:tc>
          <w:tcPr>
            <w:tcW w:type="dxa" w:w="280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Hammami et al. (2016)</w:t>
            </w:r>
          </w:p>
        </w:tc>
        <w:tc>
          <w:tcPr>
            <w:tcW w:type="dxa" w:w="2434"/>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JSCR</w:t>
            </w:r>
          </w:p>
        </w:tc>
        <w:tc>
          <w:tcPr>
            <w:tcW w:type="dxa" w:w="411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Praxisrubrik, kein Fazitkapitel</w:t>
            </w:r>
          </w:p>
        </w:tc>
      </w:tr>
      <w:tr>
        <w:tc>
          <w:tcPr>
            <w:tcW w:type="dxa" w:w="280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Beato et al. (2018)</w:t>
            </w:r>
          </w:p>
        </w:tc>
        <w:tc>
          <w:tcPr>
            <w:tcW w:type="dxa" w:w="2434"/>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JSCR</w:t>
            </w:r>
          </w:p>
        </w:tc>
        <w:tc>
          <w:tcPr>
            <w:tcW w:type="dxa" w:w="411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Praxisrubrik, Fazit im letzten Diskussionsabsatz</w:t>
            </w:r>
          </w:p>
        </w:tc>
      </w:tr>
      <w:tr>
        <w:tc>
          <w:tcPr>
            <w:tcW w:type="dxa" w:w="280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Negra et al. (2019)</w:t>
            </w:r>
          </w:p>
        </w:tc>
        <w:tc>
          <w:tcPr>
            <w:tcW w:type="dxa" w:w="2434"/>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IJSPP</w:t>
            </w:r>
          </w:p>
        </w:tc>
        <w:tc>
          <w:tcPr>
            <w:tcW w:type="dxa" w:w="411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Praxisrubrik und Fazitkapitel</w:t>
            </w:r>
          </w:p>
        </w:tc>
      </w:tr>
      <w:tr>
        <w:tc>
          <w:tcPr>
            <w:tcW w:type="dxa" w:w="280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Negra et al. (2020)</w:t>
            </w:r>
          </w:p>
        </w:tc>
        <w:tc>
          <w:tcPr>
            <w:tcW w:type="dxa" w:w="2434"/>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J Sport Health Sci</w:t>
            </w:r>
          </w:p>
        </w:tc>
        <w:tc>
          <w:tcPr>
            <w:tcW w:type="dxa" w:w="411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Fazitkapitel, Praxis darin</w:t>
            </w:r>
          </w:p>
        </w:tc>
      </w:tr>
      <w:tr>
        <w:tc>
          <w:tcPr>
            <w:tcW w:type="dxa" w:w="280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Aloui et al. (2022)</w:t>
            </w:r>
          </w:p>
        </w:tc>
        <w:tc>
          <w:tcPr>
            <w:tcW w:type="dxa" w:w="2434"/>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Front Physiol</w:t>
            </w:r>
          </w:p>
        </w:tc>
        <w:tc>
          <w:tcPr>
            <w:tcW w:type="dxa" w:w="411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Fazitkapitel, Praxis darin</w:t>
            </w:r>
          </w:p>
        </w:tc>
      </w:tr>
      <w:tr>
        <w:tc>
          <w:tcPr>
            <w:tcW w:type="dxa" w:w="280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Liu et al. (2024)</w:t>
            </w:r>
          </w:p>
        </w:tc>
        <w:tc>
          <w:tcPr>
            <w:tcW w:type="dxa" w:w="2434"/>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J Sports Sci Med</w:t>
            </w:r>
          </w:p>
        </w:tc>
        <w:tc>
          <w:tcPr>
            <w:tcW w:type="dxa" w:w="411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Fazitkapitel, Praxis in der Diskussion</w:t>
            </w:r>
          </w:p>
        </w:tc>
      </w:tr>
      <w:tr>
        <w:tc>
          <w:tcPr>
            <w:tcW w:type="dxa" w:w="280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Moran et al. (2024)</w:t>
            </w:r>
          </w:p>
        </w:tc>
        <w:tc>
          <w:tcPr>
            <w:tcW w:type="dxa" w:w="2434"/>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PLoS ONE</w:t>
            </w:r>
          </w:p>
        </w:tc>
        <w:tc>
          <w:tcPr>
            <w:tcW w:type="dxa" w:w="411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Fazitkapitel, Praxis darin</w:t>
            </w:r>
          </w:p>
        </w:tc>
      </w:tr>
      <w:tr>
        <w:tc>
          <w:tcPr>
            <w:tcW w:type="dxa" w:w="280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Sammoud et al. (2024)</w:t>
            </w:r>
          </w:p>
        </w:tc>
        <w:tc>
          <w:tcPr>
            <w:tcW w:type="dxa" w:w="2434"/>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BMC Sports Sci Med Rehabil</w:t>
            </w:r>
          </w:p>
        </w:tc>
        <w:tc>
          <w:tcPr>
            <w:tcW w:type="dxa" w:w="411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Fazitkapitel, Praxis darin</w:t>
            </w:r>
          </w:p>
        </w:tc>
      </w:tr>
      <w:tr>
        <w:tc>
          <w:tcPr>
            <w:tcW w:type="dxa" w:w="280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Bouafif et al. (2026)</w:t>
            </w:r>
          </w:p>
        </w:tc>
        <w:tc>
          <w:tcPr>
            <w:tcW w:type="dxa" w:w="2434"/>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PLoS ONE</w:t>
            </w:r>
          </w:p>
        </w:tc>
        <w:tc>
          <w:tcPr>
            <w:tcW w:type="dxa" w:w="411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Fazitkapitel, Praxis in der Diskussion</w:t>
            </w:r>
          </w:p>
        </w:tc>
      </w:tr>
      <w:tr>
        <w:tc>
          <w:tcPr>
            <w:tcW w:type="dxa" w:w="280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Padrón-Cabo et al. (2025)</w:t>
            </w:r>
          </w:p>
        </w:tc>
        <w:tc>
          <w:tcPr>
            <w:tcW w:type="dxa" w:w="2434"/>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JSCR</w:t>
            </w:r>
          </w:p>
        </w:tc>
        <w:tc>
          <w:tcPr>
            <w:tcW w:type="dxa" w:w="411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Praxisrubrik, kein Fazitkapitel</w:t>
            </w:r>
          </w:p>
        </w:tc>
      </w:tr>
    </w:tbl>
    <w:p>
      <w:pPr>
        <w:spacing w:after="180"/>
      </w:pPr>
    </w:p>
    <w:p>
      <w:pPr>
        <w:pStyle w:val="Heading1"/>
        <w:spacing w:after="140" w:before="360"/>
      </w:pPr>
      <w:r>
        <w:rPr>
          <w:rFonts w:ascii="Arial" w:cs="Arial" w:eastAsia="Arial" w:hAnsi="Arial"/>
          <w:b/>
          <w:bCs/>
          <w:color w:val="1F3864"/>
          <w:sz w:val="28"/>
          <w:szCs w:val="28"/>
        </w:rPr>
        <w:t xml:space="preserve">1  Die Kapitelfolge ist konstant, der Schlussteil ist es nicht</w:t>
      </w:r>
    </w:p>
    <w:p>
      <w:pPr>
        <w:spacing w:after="120" w:line="276"/>
      </w:pPr>
      <w:r>
        <w:rPr>
          <w:rFonts w:ascii="Arial" w:cs="Arial" w:eastAsia="Arial" w:hAnsi="Arial"/>
          <w:b/>
          <w:bCs/>
          <w:sz w:val="21"/>
          <w:szCs w:val="21"/>
        </w:rPr>
        <w:t xml:space="preserve">In allen elf Studien lautet die Grundfolge Einleitung → Methodik → Ergebnisse → Diskussion.</w:t>
      </w:r>
      <w:r>
        <w:rPr>
          <w:rFonts w:ascii="Arial" w:cs="Arial" w:eastAsia="Arial" w:hAnsi="Arial"/>
          <w:sz w:val="21"/>
          <w:szCs w:val="21"/>
        </w:rPr>
        <w:t xml:space="preserve"> Keine Studie stellt die Methodik hinter die Ergebnisse, keine teilt den Ergebnisteil auf, keine schiebt einen weiteren Theorieabschnitt zwischen Methodik und Ergebnisse. Das ist der einzige Teil des Aufbaus, über den es im Korpus keine Variation gibt.</w:t>
      </w:r>
    </w:p>
    <w:p>
      <w:pPr>
        <w:spacing w:after="120" w:line="276"/>
      </w:pPr>
      <w:r>
        <w:rPr>
          <w:rFonts w:ascii="Arial" w:cs="Arial" w:eastAsia="Arial" w:hAnsi="Arial"/>
          <w:sz w:val="21"/>
          <w:szCs w:val="21"/>
        </w:rPr>
        <w:t xml:space="preserve">Variabel ist alles nach der Diskussion. Der Schlussteil folgt einem von drei Modellen, und die Wahl ist nicht die der Autoren, sondern die der Zeitschrift: Die Praxisrubrik ist bei JSCR und IJSPP Pflicht, die offenen Formate (PLoS, BMC, Frontiers, JSSM) haben stattdessen ein Fazitkapitel. Fünf Studien führen eine Praxisrubrik, sieben ein Fazitkapitel, eine beides, vier weder noch.</w:t>
      </w:r>
    </w:p>
    <w:p>
      <w:pPr>
        <w:spacing w:after="120" w:line="276"/>
      </w:pPr>
      <w:r>
        <w:rPr>
          <w:rFonts w:ascii="Arial" w:cs="Arial" w:eastAsia="Arial" w:hAnsi="Arial"/>
          <w:sz w:val="21"/>
          <w:szCs w:val="21"/>
        </w:rPr>
        <w:t xml:space="preserve">Drei weitere Gliederungsentscheidungen streuen:</w:t>
      </w:r>
    </w:p>
    <w:p>
      <w:pPr>
        <w:pStyle w:val="ListParagraph"/>
        <w:numPr>
          <w:ilvl w:val="0"/>
          <w:numId w:val="1"/>
        </w:numPr>
        <w:spacing w:after="70" w:line="276"/>
      </w:pPr>
      <w:r>
        <w:rPr>
          <w:rFonts w:ascii="Arial" w:cs="Arial" w:eastAsia="Arial" w:hAnsi="Arial"/>
          <w:sz w:val="21"/>
          <w:szCs w:val="21"/>
        </w:rPr>
        <w:t xml:space="preserve">Abstract mit Struktur-Labeln (Purpose / Methods / Results / Conclusion): vier von elf. Die übrigen sieben schreiben einen durchlaufenden Block, der dieselbe Reihenfolge einhält.</w:t>
      </w:r>
    </w:p>
    <w:p>
      <w:pPr>
        <w:pStyle w:val="ListParagraph"/>
        <w:numPr>
          <w:ilvl w:val="0"/>
          <w:numId w:val="1"/>
        </w:numPr>
        <w:spacing w:after="70" w:line="276"/>
      </w:pPr>
      <w:r>
        <w:rPr>
          <w:rFonts w:ascii="Arial" w:cs="Arial" w:eastAsia="Arial" w:hAnsi="Arial"/>
          <w:sz w:val="21"/>
          <w:szCs w:val="21"/>
        </w:rPr>
        <w:t xml:space="preserve">Statistik als eigenes Hauptkapitel neben der Methodik: eine von elf (Negra 2019, Gliederung I–M–S–R–D). Alle anderen führen sie als letzten Methodik-Unterabschnitt.</w:t>
      </w:r>
    </w:p>
    <w:p>
      <w:pPr>
        <w:pStyle w:val="ListParagraph"/>
        <w:numPr>
          <w:ilvl w:val="0"/>
          <w:numId w:val="1"/>
        </w:numPr>
        <w:spacing w:after="70" w:line="276"/>
      </w:pPr>
      <w:r>
        <w:rPr>
          <w:rFonts w:ascii="Arial" w:cs="Arial" w:eastAsia="Arial" w:hAnsi="Arial"/>
          <w:sz w:val="21"/>
          <w:szCs w:val="21"/>
        </w:rPr>
        <w:t xml:space="preserve">Unterüberschriften in Ergebnis- und Diskussionsteil: drei Studien gliedern die Diskussion nach Zielgrößen, drei den Ergebnisteil. Die Mehrzahl verzichtet auf beides und hält die Ordnung allein über die Absatzfolge.</w:t>
      </w:r>
    </w:p>
    <w:p>
      <w:pPr>
        <w:spacing w:after="120" w:line="276"/>
      </w:pPr>
      <w:r>
        <w:rPr>
          <w:rFonts w:ascii="Arial" w:cs="Arial" w:eastAsia="Arial" w:hAnsi="Arial"/>
          <w:b/>
          <w:bCs/>
          <w:sz w:val="21"/>
          <w:szCs w:val="21"/>
        </w:rPr>
        <w:t xml:space="preserve">Der Limitationsteil hat im Korpus keinen festen Ort.</w:t>
      </w:r>
      <w:r>
        <w:rPr>
          <w:rFonts w:ascii="Arial" w:cs="Arial" w:eastAsia="Arial" w:hAnsi="Arial"/>
          <w:sz w:val="21"/>
          <w:szCs w:val="21"/>
        </w:rPr>
        <w:t xml:space="preserve"> Nur eine Studie gibt ihm eine eigene Überschrift (Sammoud: „Strengths and limitations“). Sieben führen ihn als durchnummerierten Absatz ohne Überschrift am Diskussionsende, zwei verzichten ganz auf einen gebündelten Limitationsteil. Ein eigener Abschnitt 6.2 liegt damit über dem Korpusstandard — das ist kein Argument gegen ihn, denn er folgt aus CONSORT, nicht aus dem Korpus.</w:t>
      </w:r>
    </w:p>
    <w:p>
      <w:pPr>
        <w:spacing w:after="180"/>
      </w:pPr>
    </w:p>
    <w:p>
      <w:pPr>
        <w:pStyle w:val="Heading1"/>
        <w:spacing w:after="140" w:before="360"/>
      </w:pPr>
      <w:r>
        <w:rPr>
          <w:rFonts w:ascii="Arial" w:cs="Arial" w:eastAsia="Arial" w:hAnsi="Arial"/>
          <w:b/>
          <w:bCs/>
          <w:color w:val="1F3864"/>
          <w:sz w:val="28"/>
          <w:szCs w:val="28"/>
        </w:rPr>
        <w:t xml:space="preserve">2  Der Bauplan je Kapitel</w:t>
      </w:r>
    </w:p>
    <w:p>
      <w:pPr>
        <w:spacing w:after="120" w:line="276"/>
      </w:pPr>
      <w:r>
        <w:rPr>
          <w:rFonts w:ascii="Arial" w:cs="Arial" w:eastAsia="Arial" w:hAnsi="Arial"/>
          <w:sz w:val="21"/>
          <w:szCs w:val="21"/>
        </w:rPr>
        <w:t xml:space="preserve">Die folgenden Abschnitte beschreiben, was jedes Kapitel tut: mit welchem Satztyp es eröffnet, welche Züge in welcher Reihenfolge folgen und womit es schließt. Umfangsangaben sind Absatztext, gemessen an den acht Studien mit intakter Lesereihenfolge.</w:t>
      </w:r>
    </w:p>
    <w:p>
      <w:pPr>
        <w:pStyle w:val="Heading2"/>
        <w:spacing w:after="140" w:before="260"/>
      </w:pPr>
      <w:r>
        <w:rPr>
          <w:rFonts w:ascii="Arial" w:cs="Arial" w:eastAsia="Arial" w:hAnsi="Arial"/>
          <w:b/>
          <w:bCs/>
          <w:color w:val="1F3864"/>
          <w:sz w:val="24"/>
          <w:szCs w:val="24"/>
        </w:rPr>
        <w:t xml:space="preserve">2.1  Einleitung — ein Trichter aus vier bis sieben Zügen</w:t>
      </w:r>
    </w:p>
    <w:p>
      <w:pPr>
        <w:spacing w:after="120" w:line="276"/>
      </w:pPr>
      <w:r>
        <w:rPr>
          <w:rFonts w:ascii="Arial" w:cs="Arial" w:eastAsia="Arial" w:hAnsi="Arial"/>
          <w:sz w:val="21"/>
          <w:szCs w:val="21"/>
        </w:rPr>
        <w:t xml:space="preserve">Umfang: Mittelwert 628 Wörter, Median 588, Spanne 507 bis 821. Zwei bis sieben Absätze.</w:t>
      </w:r>
    </w:p>
    <w:p>
      <w:pPr>
        <w:spacing w:after="120" w:line="276"/>
      </w:pPr>
      <w:r>
        <w:rPr>
          <w:rFonts w:ascii="Arial" w:cs="Arial" w:eastAsia="Arial" w:hAnsi="Arial"/>
          <w:sz w:val="21"/>
          <w:szCs w:val="21"/>
        </w:rPr>
        <w:t xml:space="preserve">Die Züge stehen in fester Reihenfolge, unabhängig davon, ob eine Studie sie auf zwei oder auf sieben Absätze verteilt:</w:t>
      </w:r>
    </w:p>
    <w:p>
      <w:pPr>
        <w:pStyle w:val="ListParagraph"/>
        <w:numPr>
          <w:ilvl w:val="0"/>
          <w:numId w:val="1"/>
        </w:numPr>
        <w:spacing w:after="70" w:line="276"/>
      </w:pPr>
      <w:r>
        <w:rPr>
          <w:rFonts w:ascii="Arial" w:cs="Arial" w:eastAsia="Arial" w:hAnsi="Arial"/>
          <w:b/>
          <w:bCs/>
          <w:sz w:val="21"/>
          <w:szCs w:val="21"/>
        </w:rPr>
        <w:t xml:space="preserve">Zug 1 — Relevanz. </w:t>
      </w:r>
      <w:r>
        <w:rPr>
          <w:rFonts w:ascii="Arial" w:cs="Arial" w:eastAsia="Arial" w:hAnsi="Arial"/>
          <w:sz w:val="21"/>
          <w:szCs w:val="21"/>
        </w:rPr>
        <w:t xml:space="preserve">Der erste Satz ist fast durchgängig eine generalisierende Präsensaussage über die Sportart oder die Zielgröße, mit Beleg am Satzende („Soccer is characterized by an intermittent-activity profile …“, „In soccer, sprinting is considered a key …“). Nie eine Quelle als Satzsubjekt, nie eine Definition des eigenen Verfahrens, nie ein Selbstbezug.</w:t>
      </w:r>
    </w:p>
    <w:p>
      <w:pPr>
        <w:pStyle w:val="ListParagraph"/>
        <w:numPr>
          <w:ilvl w:val="0"/>
          <w:numId w:val="1"/>
        </w:numPr>
        <w:spacing w:after="70" w:line="276"/>
      </w:pPr>
      <w:r>
        <w:rPr>
          <w:rFonts w:ascii="Arial" w:cs="Arial" w:eastAsia="Arial" w:hAnsi="Arial"/>
          <w:b/>
          <w:bCs/>
          <w:sz w:val="21"/>
          <w:szCs w:val="21"/>
        </w:rPr>
        <w:t xml:space="preserve">Zug 2 — Gegenstand und Wirkmechanismus. </w:t>
      </w:r>
      <w:r>
        <w:rPr>
          <w:rFonts w:ascii="Arial" w:cs="Arial" w:eastAsia="Arial" w:hAnsi="Arial"/>
          <w:sz w:val="21"/>
          <w:szCs w:val="21"/>
        </w:rPr>
        <w:t xml:space="preserve">Was die Intervention ist und warum sie wirken soll. Hier steht die Mechanismusliteratur, hier stehen keine Effektstärken.</w:t>
      </w:r>
    </w:p>
    <w:p>
      <w:pPr>
        <w:pStyle w:val="ListParagraph"/>
        <w:numPr>
          <w:ilvl w:val="0"/>
          <w:numId w:val="1"/>
        </w:numPr>
        <w:spacing w:after="70" w:line="276"/>
      </w:pPr>
      <w:r>
        <w:rPr>
          <w:rFonts w:ascii="Arial" w:cs="Arial" w:eastAsia="Arial" w:hAnsi="Arial"/>
          <w:b/>
          <w:bCs/>
          <w:sz w:val="21"/>
          <w:szCs w:val="21"/>
        </w:rPr>
        <w:t xml:space="preserve">Zug 3 — Evidenzlage. </w:t>
      </w:r>
      <w:r>
        <w:rPr>
          <w:rFonts w:ascii="Arial" w:cs="Arial" w:eastAsia="Arial" w:hAnsi="Arial"/>
          <w:sz w:val="21"/>
          <w:szCs w:val="21"/>
        </w:rPr>
        <w:t xml:space="preserve">Meist eine Kette benannter Einzelstudien („For instance, X et al. compared …“, „Further to the above, Y et al. studied …“). Wer kürzen muss, kürzt hier: Negra 2020 erledigt Forschungslage, Lücke, zwei Ziele und zwei Hypothesen in einem einzigen Absatz.</w:t>
      </w:r>
    </w:p>
    <w:p>
      <w:pPr>
        <w:pStyle w:val="ListParagraph"/>
        <w:numPr>
          <w:ilvl w:val="0"/>
          <w:numId w:val="1"/>
        </w:numPr>
        <w:spacing w:after="70" w:line="276"/>
      </w:pPr>
      <w:r>
        <w:rPr>
          <w:rFonts w:ascii="Arial" w:cs="Arial" w:eastAsia="Arial" w:hAnsi="Arial"/>
          <w:b/>
          <w:bCs/>
          <w:sz w:val="21"/>
          <w:szCs w:val="21"/>
        </w:rPr>
        <w:t xml:space="preserve">Zug 4 — Widerspruch oder Lücke. </w:t>
      </w:r>
      <w:r>
        <w:rPr>
          <w:rFonts w:ascii="Arial" w:cs="Arial" w:eastAsia="Arial" w:hAnsi="Arial"/>
          <w:sz w:val="21"/>
          <w:szCs w:val="21"/>
        </w:rPr>
        <w:t xml:space="preserve">Eingeleitet durch einen Kontrastmarker (However, Nonetheless, In contrast) oder eine Lückenformel („Few investigators have examined …“, „To the best of our knowledge, no prior studies …“, „Currently, the evidences … are very limited“).</w:t>
      </w:r>
    </w:p>
    <w:p>
      <w:pPr>
        <w:pStyle w:val="ListParagraph"/>
        <w:numPr>
          <w:ilvl w:val="0"/>
          <w:numId w:val="1"/>
        </w:numPr>
        <w:spacing w:after="70" w:line="276"/>
      </w:pPr>
      <w:r>
        <w:rPr>
          <w:rFonts w:ascii="Arial" w:cs="Arial" w:eastAsia="Arial" w:hAnsi="Arial"/>
          <w:b/>
          <w:bCs/>
          <w:sz w:val="21"/>
          <w:szCs w:val="21"/>
        </w:rPr>
        <w:t xml:space="preserve">Zug 5 — Zweck. </w:t>
      </w:r>
      <w:r>
        <w:rPr>
          <w:rFonts w:ascii="Arial" w:cs="Arial" w:eastAsia="Arial" w:hAnsi="Arial"/>
          <w:sz w:val="21"/>
          <w:szCs w:val="21"/>
        </w:rPr>
        <w:t xml:space="preserve">Folgerungsmarker plus Selbstbezug: „Therefore, the purpose of this study was to …“. Dieser Satz wird später in Methodik und Diskussion nahezu wörtlich wiederholt — er ist der Anker des ganzen Textes.</w:t>
      </w:r>
    </w:p>
    <w:p>
      <w:pPr>
        <w:pStyle w:val="ListParagraph"/>
        <w:numPr>
          <w:ilvl w:val="0"/>
          <w:numId w:val="1"/>
        </w:numPr>
        <w:spacing w:after="70" w:line="276"/>
      </w:pPr>
      <w:r>
        <w:rPr>
          <w:rFonts w:ascii="Arial" w:cs="Arial" w:eastAsia="Arial" w:hAnsi="Arial"/>
          <w:b/>
          <w:bCs/>
          <w:sz w:val="21"/>
          <w:szCs w:val="21"/>
        </w:rPr>
        <w:t xml:space="preserve">Zug 6 — Hypothese. </w:t>
      </w:r>
      <w:r>
        <w:rPr>
          <w:rFonts w:ascii="Arial" w:cs="Arial" w:eastAsia="Arial" w:hAnsi="Arial"/>
          <w:sz w:val="21"/>
          <w:szCs w:val="21"/>
        </w:rPr>
        <w:t xml:space="preserve">In acht von elf Studien der letzte Satz der Einleitung, meist im Selbstbezug („We hypothesized that …“) oder passivisch („the research hypothesis was that …“). Drei Studien nennen nur den Zweck; eine davon reicht die Erwartung erst in der Diskussion nach — methodisch angreifbar und kein Vorbild.</w:t>
      </w:r>
    </w:p>
    <w:p>
      <w:pPr>
        <w:spacing w:after="120" w:line="276"/>
      </w:pPr>
      <w:r>
        <w:rPr>
          <w:rFonts w:ascii="Arial" w:cs="Arial" w:eastAsia="Arial" w:hAnsi="Arial"/>
          <w:b/>
          <w:bCs/>
          <w:sz w:val="21"/>
          <w:szCs w:val="21"/>
        </w:rPr>
        <w:t xml:space="preserve">Eröffnung: </w:t>
      </w:r>
      <w:r>
        <w:rPr>
          <w:rFonts w:ascii="Arial" w:cs="Arial" w:eastAsia="Arial" w:hAnsi="Arial"/>
          <w:sz w:val="21"/>
          <w:szCs w:val="21"/>
        </w:rPr>
        <w:t xml:space="preserve">generalisierende Präsensaussage. </w:t>
      </w:r>
      <w:r>
        <w:rPr>
          <w:rFonts w:ascii="Arial" w:cs="Arial" w:eastAsia="Arial" w:hAnsi="Arial"/>
          <w:b/>
          <w:bCs/>
          <w:sz w:val="21"/>
          <w:szCs w:val="21"/>
        </w:rPr>
        <w:t xml:space="preserve">Schluss: </w:t>
      </w:r>
      <w:r>
        <w:rPr>
          <w:rFonts w:ascii="Arial" w:cs="Arial" w:eastAsia="Arial" w:hAnsi="Arial"/>
          <w:sz w:val="21"/>
          <w:szCs w:val="21"/>
        </w:rPr>
        <w:t xml:space="preserve">Hypothese oder Zweck. In keiner der elf Studien endet die Einleitung mit einem Literaturverweis oder einem Ausblick auf die Methodik.</w:t>
      </w:r>
    </w:p>
    <w:p>
      <w:pPr>
        <w:pStyle w:val="Heading2"/>
        <w:spacing w:after="140" w:before="260"/>
      </w:pPr>
      <w:r>
        <w:rPr>
          <w:rFonts w:ascii="Arial" w:cs="Arial" w:eastAsia="Arial" w:hAnsi="Arial"/>
          <w:b/>
          <w:bCs/>
          <w:color w:val="1F3864"/>
          <w:sz w:val="24"/>
          <w:szCs w:val="24"/>
        </w:rPr>
        <w:t xml:space="preserve">2.2  Methodik — der längste Teil, mit einem festen Baustein je Zielgröße</w:t>
      </w:r>
    </w:p>
    <w:p>
      <w:pPr>
        <w:spacing w:after="120" w:line="276"/>
      </w:pPr>
      <w:r>
        <w:rPr>
          <w:rFonts w:ascii="Arial" w:cs="Arial" w:eastAsia="Arial" w:hAnsi="Arial"/>
          <w:sz w:val="21"/>
          <w:szCs w:val="21"/>
        </w:rPr>
        <w:t xml:space="preserve">Umfang: Mittelwert 1.764 Wörter, Median 1.697, Spanne 1.470 bis 2.392. Das sind 41 % des Absatztexts — der mit Abstand größte Posten.</w:t>
      </w:r>
    </w:p>
    <w:p>
      <w:pPr>
        <w:spacing w:after="120" w:line="276"/>
      </w:pPr>
      <w:r>
        <w:rPr>
          <w:rFonts w:ascii="Arial" w:cs="Arial" w:eastAsia="Arial" w:hAnsi="Arial"/>
          <w:sz w:val="21"/>
          <w:szCs w:val="21"/>
        </w:rPr>
        <w:t xml:space="preserve">Die Abschnittsfolge ist stabil: Design → Stichprobe → Ablauf und Standardisierung → Testprotokoll je Zielgröße → Intervention → Statistik. Abweichungen betreffen nur, ob Design oder Stichprobe zuerst steht.</w:t>
      </w:r>
    </w:p>
    <w:p>
      <w:pPr>
        <w:spacing w:after="120" w:line="276"/>
      </w:pPr>
      <w:r>
        <w:rPr>
          <w:rFonts w:ascii="Arial" w:cs="Arial" w:eastAsia="Arial" w:hAnsi="Arial"/>
          <w:b/>
          <w:bCs/>
          <w:sz w:val="21"/>
          <w:szCs w:val="21"/>
        </w:rPr>
        <w:t xml:space="preserve">Der Designabsatz </w:t>
      </w:r>
      <w:r>
        <w:rPr>
          <w:rFonts w:ascii="Arial" w:cs="Arial" w:eastAsia="Arial" w:hAnsi="Arial"/>
          <w:sz w:val="21"/>
          <w:szCs w:val="21"/>
        </w:rPr>
        <w:t xml:space="preserve">nennt das Design in einem einzigen Satz („A parallel two-group repeated measures experimental design was conducted“, „This longitudinal descriptive study assessed …“), danach Saisonlage, Messzeitpunkte und die vollständige Zielgrößenliste in Berichtsreihenfolge. Bei JSCR heißt der Abschnitt „Experimental Approach to the Problem“ und ist Pflicht — er ist die direkteste Vorlage für einen Abschnitt 4.1.</w:t>
      </w:r>
    </w:p>
    <w:p>
      <w:pPr>
        <w:spacing w:after="120" w:line="276"/>
      </w:pPr>
      <w:r>
        <w:rPr>
          <w:rFonts w:ascii="Arial" w:cs="Arial" w:eastAsia="Arial" w:hAnsi="Arial"/>
          <w:b/>
          <w:bCs/>
          <w:sz w:val="21"/>
          <w:szCs w:val="21"/>
        </w:rPr>
        <w:t xml:space="preserve">Die Testbeschreibung folgt in allen Studien, die ihre Tests überhaupt beschreiben, derselben Kette:</w:t>
      </w:r>
    </w:p>
    <w:p>
      <w:pPr>
        <w:shd w:fill="D6E4F0" w:val="clear"/>
        <w:spacing w:after="160" w:before="60"/>
        <w:jc w:val="center"/>
      </w:pPr>
      <w:r>
        <w:rPr>
          <w:rFonts w:ascii="Arial" w:cs="Arial" w:eastAsia="Arial" w:hAnsi="Arial"/>
          <w:b/>
          <w:bCs/>
          <w:color w:val="1F3864"/>
          <w:sz w:val="20"/>
          <w:szCs w:val="20"/>
        </w:rPr>
        <w:t xml:space="preserve">Ablauf → Gerät mit Hersteller und Ort → Pause → Versuchszahl → Aggregationsregel → Reliabilitätskennwert</w:t>
      </w:r>
    </w:p>
    <w:p>
      <w:pPr>
        <w:spacing w:after="120" w:line="276"/>
      </w:pPr>
      <w:r>
        <w:rPr>
          <w:rFonts w:ascii="Arial" w:cs="Arial" w:eastAsia="Arial" w:hAnsi="Arial"/>
          <w:sz w:val="21"/>
          <w:szCs w:val="21"/>
        </w:rPr>
        <w:t xml:space="preserve">Zwei Dinge daran sind für die eigene Arbeit unmittelbar einschlägig. Erstens: Die Aggregationsregel (Bestwert oder Mittelwert) steht immer im Testabsatz, nie im Statistikteil. Zweitens: Der Reliabilitätskennwert steht am Ende desselben Absatzes, nicht in einem eigenen Güteabschnitt — nur zwei Studien ziehen ihn in eine eigene Tabelle. Eine Messgütetabelle im Textteil ist damit über dem Korpusstandard, was mit der Kennwertlage der eigenen Arbeit gerechtfertigt ist.</w:t>
      </w:r>
    </w:p>
    <w:p>
      <w:pPr>
        <w:spacing w:after="120" w:line="276"/>
      </w:pPr>
      <w:r>
        <w:rPr>
          <w:rFonts w:ascii="Arial" w:cs="Arial" w:eastAsia="Arial" w:hAnsi="Arial"/>
          <w:b/>
          <w:bCs/>
          <w:sz w:val="21"/>
          <w:szCs w:val="21"/>
        </w:rPr>
        <w:t xml:space="preserve">Der Statistikabsatz </w:t>
      </w:r>
      <w:r>
        <w:rPr>
          <w:rFonts w:ascii="Arial" w:cs="Arial" w:eastAsia="Arial" w:hAnsi="Arial"/>
          <w:sz w:val="21"/>
          <w:szCs w:val="21"/>
        </w:rPr>
        <w:t xml:space="preserve">ist ebenso stabil gebaut: Darstellungskonvention („Data are presented as …“) → Verteilungsprüfung → Hauptverfahren → Post-hoc → Effektstärkemaß mit Klassifikationsschwellen → Reliabilitätsmaß → α → Software mit Version. Die Software ist in der Mehrzahl der Studien das letzte Wort des Methodikteils.</w:t>
      </w:r>
    </w:p>
    <w:p>
      <w:pPr>
        <w:spacing w:after="120" w:line="276"/>
      </w:pPr>
      <w:r>
        <w:rPr>
          <w:rFonts w:ascii="Arial" w:cs="Arial" w:eastAsia="Arial" w:hAnsi="Arial"/>
          <w:b/>
          <w:bCs/>
          <w:sz w:val="21"/>
          <w:szCs w:val="21"/>
        </w:rPr>
        <w:t xml:space="preserve">Eröffnung: </w:t>
      </w:r>
      <w:r>
        <w:rPr>
          <w:rFonts w:ascii="Arial" w:cs="Arial" w:eastAsia="Arial" w:hAnsi="Arial"/>
          <w:sz w:val="21"/>
          <w:szCs w:val="21"/>
        </w:rPr>
        <w:t xml:space="preserve">Verfahrensnennung im Passiv Präteritum oder ein ausgeschriebenes Zahlwort („Twenty-nine healthy young male athletes were randomly assigned …“). </w:t>
      </w:r>
      <w:r>
        <w:rPr>
          <w:rFonts w:ascii="Arial" w:cs="Arial" w:eastAsia="Arial" w:hAnsi="Arial"/>
          <w:b/>
          <w:bCs/>
          <w:sz w:val="21"/>
          <w:szCs w:val="21"/>
        </w:rPr>
        <w:t xml:space="preserve">Schluss: </w:t>
      </w:r>
      <w:r>
        <w:rPr>
          <w:rFonts w:ascii="Arial" w:cs="Arial" w:eastAsia="Arial" w:hAnsi="Arial"/>
          <w:sz w:val="21"/>
          <w:szCs w:val="21"/>
        </w:rPr>
        <w:t xml:space="preserve">Software mit Version oder Signifikanzniveau.</w:t>
      </w:r>
    </w:p>
    <w:p>
      <w:pPr>
        <w:pStyle w:val="Heading2"/>
        <w:spacing w:after="140" w:before="260"/>
      </w:pPr>
      <w:r>
        <w:rPr>
          <w:rFonts w:ascii="Arial" w:cs="Arial" w:eastAsia="Arial" w:hAnsi="Arial"/>
          <w:b/>
          <w:bCs/>
          <w:color w:val="1F3864"/>
          <w:sz w:val="24"/>
          <w:szCs w:val="24"/>
        </w:rPr>
        <w:t xml:space="preserve">2.3  Ergebnisse — der kürzeste Teil, und der mit den härtesten Regeln</w:t>
      </w:r>
    </w:p>
    <w:p>
      <w:pPr>
        <w:spacing w:after="120" w:line="276"/>
      </w:pPr>
      <w:r>
        <w:rPr>
          <w:rFonts w:ascii="Arial" w:cs="Arial" w:eastAsia="Arial" w:hAnsi="Arial"/>
          <w:sz w:val="21"/>
          <w:szCs w:val="21"/>
        </w:rPr>
        <w:t xml:space="preserve">Umfang: Mittelwert 336 Wörter, Median 276, Spanne 138 bis 636. Das sind 8 % des Absatztexts.</w:t>
      </w:r>
    </w:p>
    <w:p>
      <w:pPr>
        <w:spacing w:after="120" w:line="276"/>
      </w:pPr>
      <w:r>
        <w:rPr>
          <w:rFonts w:ascii="Arial" w:cs="Arial" w:eastAsia="Arial" w:hAnsi="Arial"/>
          <w:b/>
          <w:bCs/>
          <w:sz w:val="21"/>
          <w:szCs w:val="21"/>
        </w:rPr>
        <w:t xml:space="preserve">In jeder einzelnen der acht gemessenen Studien ist der Ergebnisteil der kürzeste Sachteil</w:t>
      </w:r>
      <w:r>
        <w:rPr>
          <w:rFonts w:ascii="Arial" w:cs="Arial" w:eastAsia="Arial" w:hAnsi="Arial"/>
          <w:sz w:val="21"/>
          <w:szCs w:val="21"/>
        </w:rPr>
        <w:t xml:space="preserve"> — im Mittel weniger als ein Viertel so lang wie die Diskussion, bei Negra 2020 kürzer als das eigene Abstract. Drei Regeln gelten ausnahmslos:</w:t>
      </w:r>
    </w:p>
    <w:p>
      <w:pPr>
        <w:pStyle w:val="ListParagraph"/>
        <w:numPr>
          <w:ilvl w:val="0"/>
          <w:numId w:val="1"/>
        </w:numPr>
        <w:spacing w:after="70" w:line="276"/>
      </w:pPr>
      <w:r>
        <w:rPr>
          <w:rFonts w:ascii="Arial" w:cs="Arial" w:eastAsia="Arial" w:hAnsi="Arial"/>
          <w:b/>
          <w:bCs/>
          <w:sz w:val="21"/>
          <w:szCs w:val="21"/>
        </w:rPr>
        <w:t xml:space="preserve">Im Ergebnisteil wird nicht zitiert. </w:t>
      </w:r>
      <w:r>
        <w:rPr>
          <w:rFonts w:ascii="Arial" w:cs="Arial" w:eastAsia="Arial" w:hAnsi="Arial"/>
          <w:sz w:val="21"/>
          <w:szCs w:val="21"/>
        </w:rPr>
        <w:t xml:space="preserve">Null Belege in elf von elf Studien — maschinell geprüft an acht, gelesen an drei. Unabhängig davon, ob die Studie numerisch oder nach Autor-Jahr zitiert.</w:t>
      </w:r>
    </w:p>
    <w:p>
      <w:pPr>
        <w:pStyle w:val="ListParagraph"/>
        <w:numPr>
          <w:ilvl w:val="0"/>
          <w:numId w:val="1"/>
        </w:numPr>
        <w:spacing w:after="70" w:line="276"/>
      </w:pPr>
      <w:r>
        <w:rPr>
          <w:rFonts w:ascii="Arial" w:cs="Arial" w:eastAsia="Arial" w:hAnsi="Arial"/>
          <w:b/>
          <w:bCs/>
          <w:sz w:val="21"/>
          <w:szCs w:val="21"/>
        </w:rPr>
        <w:t xml:space="preserve">Es wird nicht gedeutet. </w:t>
      </w:r>
      <w:r>
        <w:rPr>
          <w:rFonts w:ascii="Arial" w:cs="Arial" w:eastAsia="Arial" w:hAnsi="Arial"/>
          <w:sz w:val="21"/>
          <w:szCs w:val="21"/>
        </w:rPr>
        <w:t xml:space="preserve">Kein „because“, kein Literaturvergleich, keine Bewertung, kein zusammenfassender Satz am Ende.</w:t>
      </w:r>
    </w:p>
    <w:p>
      <w:pPr>
        <w:pStyle w:val="ListParagraph"/>
        <w:numPr>
          <w:ilvl w:val="0"/>
          <w:numId w:val="1"/>
        </w:numPr>
        <w:spacing w:after="70" w:line="276"/>
      </w:pPr>
      <w:r>
        <w:rPr>
          <w:rFonts w:ascii="Arial" w:cs="Arial" w:eastAsia="Arial" w:hAnsi="Arial"/>
          <w:b/>
          <w:bCs/>
          <w:sz w:val="21"/>
          <w:szCs w:val="21"/>
        </w:rPr>
        <w:t xml:space="preserve">Die Zahlen stehen in den Objekten, nicht im Satz. </w:t>
      </w:r>
      <w:r>
        <w:rPr>
          <w:rFonts w:ascii="Arial" w:cs="Arial" w:eastAsia="Arial" w:hAnsi="Arial"/>
          <w:sz w:val="21"/>
          <w:szCs w:val="21"/>
        </w:rPr>
        <w:t xml:space="preserve">Der Fließtext nennt Teststatistik, Richtung und Größenklasse; die Kennwerte stehen in der Tabelle. Vier Studien treiben das so weit, dass der Ergebnistext fast nur noch Objekte adressiert — Hammami und Moran mit je einem einzigen Absatz, Negra 2020 mit zwei Absätzen, die nichts als einen Objektverweis enthalten.</w:t>
      </w:r>
    </w:p>
    <w:p>
      <w:pPr>
        <w:spacing w:after="120" w:line="276"/>
      </w:pPr>
      <w:r>
        <w:rPr>
          <w:rFonts w:ascii="Arial" w:cs="Arial" w:eastAsia="Arial" w:hAnsi="Arial"/>
          <w:sz w:val="21"/>
          <w:szCs w:val="21"/>
        </w:rPr>
        <w:t xml:space="preserve">Die innere Ordnung ist zweiteilig: ein Orientierungszug, dann ein Block je Zielgröße. Der Orientierungszug trägt, je nach Studie, Teilnehmerfluss, Adhärenz, Baseline-Vergleichbarkeit oder Messgüte — und führt in mehreren Studien zugleich alle Objekte ein („Table 2 displays …“, „Table 3 shows …“, „In addition, Figure 1 depicts …“), sodass danach kein Objekt mehr eigens angekündigt werden muss. Innerhalb jeder Zielgröße gilt dieselbe Satzfolge: Interaktion → Haupteffekte → Post-hoc-Vergleiche → Effektstärke.</w:t>
      </w:r>
    </w:p>
    <w:p>
      <w:pPr>
        <w:spacing w:after="120" w:line="276"/>
      </w:pPr>
      <w:r>
        <w:rPr>
          <w:rFonts w:ascii="Arial" w:cs="Arial" w:eastAsia="Arial" w:hAnsi="Arial"/>
          <w:b/>
          <w:bCs/>
          <w:sz w:val="21"/>
          <w:szCs w:val="21"/>
        </w:rPr>
        <w:t xml:space="preserve">Eröffnung: </w:t>
      </w:r>
      <w:r>
        <w:rPr>
          <w:rFonts w:ascii="Arial" w:cs="Arial" w:eastAsia="Arial" w:hAnsi="Arial"/>
          <w:sz w:val="21"/>
          <w:szCs w:val="21"/>
        </w:rPr>
        <w:t xml:space="preserve">entweder ein Objektverweis als Satzsubjekt („Table 2 displays …“, „Fig 1 shows …“, „Reliability is summarized in Table 3.“) oder ein Orientierungsbefund („No significant differences were found between …“, „Baseline comparisons revealed …“). </w:t>
      </w:r>
      <w:r>
        <w:rPr>
          <w:rFonts w:ascii="Arial" w:cs="Arial" w:eastAsia="Arial" w:hAnsi="Arial"/>
          <w:b/>
          <w:bCs/>
          <w:sz w:val="21"/>
          <w:szCs w:val="21"/>
        </w:rPr>
        <w:t xml:space="preserve">Schluss: </w:t>
      </w:r>
      <w:r>
        <w:rPr>
          <w:rFonts w:ascii="Arial" w:cs="Arial" w:eastAsia="Arial" w:hAnsi="Arial"/>
          <w:sz w:val="21"/>
          <w:szCs w:val="21"/>
        </w:rPr>
        <w:t xml:space="preserve">der letzte Befundsatz mit Objektverweis in Klammern. Kein Resümee, kein Übergang zur Diskussion.</w:t>
      </w:r>
    </w:p>
    <w:p>
      <w:pPr>
        <w:pStyle w:val="Heading2"/>
        <w:spacing w:after="140" w:before="260"/>
      </w:pPr>
      <w:r>
        <w:rPr>
          <w:rFonts w:ascii="Arial" w:cs="Arial" w:eastAsia="Arial" w:hAnsi="Arial"/>
          <w:b/>
          <w:bCs/>
          <w:color w:val="1F3864"/>
          <w:sz w:val="24"/>
          <w:szCs w:val="24"/>
        </w:rPr>
        <w:t xml:space="preserve">2.4  Diskussion — ein Zugmuster, so oft wiederholt wie es Zielgrößen gibt</w:t>
      </w:r>
    </w:p>
    <w:p>
      <w:pPr>
        <w:spacing w:after="120" w:line="276"/>
      </w:pPr>
      <w:r>
        <w:rPr>
          <w:rFonts w:ascii="Arial" w:cs="Arial" w:eastAsia="Arial" w:hAnsi="Arial"/>
          <w:sz w:val="21"/>
          <w:szCs w:val="21"/>
        </w:rPr>
        <w:t xml:space="preserve">Umfang: Mittelwert 1.416 Wörter, Median 1.422, Spanne 1.051 bis 1.713. Das sind 33 % des Absatztexts.</w:t>
      </w:r>
    </w:p>
    <w:p>
      <w:pPr>
        <w:spacing w:after="120" w:line="276"/>
      </w:pPr>
      <w:r>
        <w:rPr>
          <w:rFonts w:ascii="Arial" w:cs="Arial" w:eastAsia="Arial" w:hAnsi="Arial"/>
          <w:b/>
          <w:bCs/>
          <w:sz w:val="21"/>
          <w:szCs w:val="21"/>
        </w:rPr>
        <w:t xml:space="preserve">Der erste Absatz ist in allen elf Studien derselbe Zug: Zweck wiederholen, Hauptbefund in ein bis zwei Sätzen, Gegenbefund benennen.</w:t>
      </w:r>
      <w:r>
        <w:rPr>
          <w:rFonts w:ascii="Arial" w:cs="Arial" w:eastAsia="Arial" w:hAnsi="Arial"/>
          <w:sz w:val="21"/>
          <w:szCs w:val="21"/>
        </w:rPr>
        <w:t xml:space="preserve"> Kein Literaturverweis, keine neue Information, keine Zahl. Zehn Studien eröffnen ihn mit einem Selbstbezug, der den Zwecksatz der Einleitung fast wörtlich aufgreift („The aim of this study was to …“, „This study examined …“, „This study revealed …“); eine beginnt stattdessen mit einer Adressatenrahmung („For coaches and strength and conditioning professionals, it is useful to know …“) und reicht den Zweck im zweiten Satz nach.</w:t>
      </w:r>
    </w:p>
    <w:p>
      <w:pPr>
        <w:spacing w:after="120" w:line="276"/>
      </w:pPr>
      <w:r>
        <w:rPr>
          <w:rFonts w:ascii="Arial" w:cs="Arial" w:eastAsia="Arial" w:hAnsi="Arial"/>
          <w:sz w:val="21"/>
          <w:szCs w:val="21"/>
        </w:rPr>
        <w:t xml:space="preserve">Danach folgt ein Block je Zielgröße, in der Reihenfolge der Ergebnisse, nach einem Vier- bis Fünf-Zug-Muster:</w:t>
      </w:r>
    </w:p>
    <w:p>
      <w:pPr>
        <w:pStyle w:val="ListParagraph"/>
        <w:numPr>
          <w:ilvl w:val="0"/>
          <w:numId w:val="1"/>
        </w:numPr>
        <w:spacing w:after="70" w:line="276"/>
      </w:pPr>
      <w:r>
        <w:rPr>
          <w:rFonts w:ascii="Arial" w:cs="Arial" w:eastAsia="Arial" w:hAnsi="Arial"/>
          <w:sz w:val="21"/>
          <w:szCs w:val="21"/>
        </w:rPr>
        <w:t xml:space="preserve">(1) Relevanz der Zielgröße in einem Satz — wieder eine generalisierende Präsensaussage, wie zu Beginn der Einleitung.</w:t>
      </w:r>
    </w:p>
    <w:p>
      <w:pPr>
        <w:pStyle w:val="ListParagraph"/>
        <w:numPr>
          <w:ilvl w:val="0"/>
          <w:numId w:val="1"/>
        </w:numPr>
        <w:spacing w:after="70" w:line="276"/>
      </w:pPr>
      <w:r>
        <w:rPr>
          <w:rFonts w:ascii="Arial" w:cs="Arial" w:eastAsia="Arial" w:hAnsi="Arial"/>
          <w:sz w:val="21"/>
          <w:szCs w:val="21"/>
        </w:rPr>
        <w:t xml:space="preserve">(2) Eigener Befund, qualitativ formuliert, oft mit Objektverweis statt Zahl.</w:t>
      </w:r>
    </w:p>
    <w:p>
      <w:pPr>
        <w:pStyle w:val="ListParagraph"/>
        <w:numPr>
          <w:ilvl w:val="0"/>
          <w:numId w:val="1"/>
        </w:numPr>
        <w:spacing w:after="70" w:line="276"/>
      </w:pPr>
      <w:r>
        <w:rPr>
          <w:rFonts w:ascii="Arial" w:cs="Arial" w:eastAsia="Arial" w:hAnsi="Arial"/>
          <w:sz w:val="21"/>
          <w:szCs w:val="21"/>
        </w:rPr>
        <w:t xml:space="preserve">(3) Vergleich mit benannten Vorstudien, ausdrücklich als Bestätigung oder als Widerspruch markiert („Our results are in line with …“, „In contrast, our results contradict those reported by …“).</w:t>
      </w:r>
    </w:p>
    <w:p>
      <w:pPr>
        <w:pStyle w:val="ListParagraph"/>
        <w:numPr>
          <w:ilvl w:val="0"/>
          <w:numId w:val="1"/>
        </w:numPr>
        <w:spacing w:after="70" w:line="276"/>
      </w:pPr>
      <w:r>
        <w:rPr>
          <w:rFonts w:ascii="Arial" w:cs="Arial" w:eastAsia="Arial" w:hAnsi="Arial"/>
          <w:sz w:val="21"/>
          <w:szCs w:val="21"/>
        </w:rPr>
        <w:t xml:space="preserve">(4) Erklärungsangebot beziehungsweise Mechanismus, durchgängig modalisiert (may, might, could, is likely to). Nie als Behauptung.</w:t>
      </w:r>
    </w:p>
    <w:p>
      <w:pPr>
        <w:pStyle w:val="ListParagraph"/>
        <w:numPr>
          <w:ilvl w:val="0"/>
          <w:numId w:val="1"/>
        </w:numPr>
        <w:spacing w:after="70" w:line="276"/>
      </w:pPr>
      <w:r>
        <w:rPr>
          <w:rFonts w:ascii="Arial" w:cs="Arial" w:eastAsia="Arial" w:hAnsi="Arial"/>
          <w:sz w:val="21"/>
          <w:szCs w:val="21"/>
        </w:rPr>
        <w:t xml:space="preserve">(5) Optional ein Vorbehalt oder Forschungsbedarf, der den Absatz schließt.</w:t>
      </w:r>
    </w:p>
    <w:p>
      <w:pPr>
        <w:spacing w:after="120" w:line="276"/>
      </w:pPr>
      <w:r>
        <w:rPr>
          <w:rFonts w:ascii="Arial" w:cs="Arial" w:eastAsia="Arial" w:hAnsi="Arial"/>
          <w:sz w:val="21"/>
          <w:szCs w:val="21"/>
        </w:rPr>
        <w:t xml:space="preserve">Zwei Anlagevarianten: alles in einem Absatz je Zielgröße (Negra 2019, Aloui, Sammoud, Padrón-Cabo) oder Befund und Mechanismus in zwei getrennten Absätzen (Negra 2020, Liu). Die erste ist kompakter, die zweite lesbarer. Bei einem engen Wortbudget ist die erste die tragfähigere.</w:t>
      </w:r>
    </w:p>
    <w:p>
      <w:pPr>
        <w:spacing w:after="120" w:line="276"/>
      </w:pPr>
      <w:r>
        <w:rPr>
          <w:rFonts w:ascii="Arial" w:cs="Arial" w:eastAsia="Arial" w:hAnsi="Arial"/>
          <w:b/>
          <w:bCs/>
          <w:sz w:val="21"/>
          <w:szCs w:val="21"/>
        </w:rPr>
        <w:t xml:space="preserve">Der Limitationsblock </w:t>
      </w:r>
      <w:r>
        <w:rPr>
          <w:rFonts w:ascii="Arial" w:cs="Arial" w:eastAsia="Arial" w:hAnsi="Arial"/>
          <w:sz w:val="21"/>
          <w:szCs w:val="21"/>
        </w:rPr>
        <w:t xml:space="preserve">hat eine erkennbare Standardform: ein Ankündigungssatz („This study has several limitations.“, „Our study is not without limitations.“), danach eine durchnummerierte Kette im Fließtext (First … Second … Third … Finally …), jede Limitation mit angehängter Konsequenz oder Forschungsempfehlung. Zwei Studien hängen stattdessen an jede Limitation sofort eine Rechtfertigung — das liest sich verteidigend und schwächt den Abschnitt. Eine Studie stellt die Stärken voran und trennt sie durch ein Scharnier („With respect to the limitations, …“) von den Schwächen; das ist die sauberste Lösung im Korpus für einen Abschnitt, der beides tragen muss.</w:t>
      </w:r>
    </w:p>
    <w:p>
      <w:pPr>
        <w:spacing w:after="120" w:line="276"/>
      </w:pPr>
      <w:r>
        <w:rPr>
          <w:rFonts w:ascii="Arial" w:cs="Arial" w:eastAsia="Arial" w:hAnsi="Arial"/>
          <w:b/>
          <w:bCs/>
          <w:sz w:val="21"/>
          <w:szCs w:val="21"/>
        </w:rPr>
        <w:t xml:space="preserve">Schluss: </w:t>
      </w:r>
      <w:r>
        <w:rPr>
          <w:rFonts w:ascii="Arial" w:cs="Arial" w:eastAsia="Arial" w:hAnsi="Arial"/>
          <w:sz w:val="21"/>
          <w:szCs w:val="21"/>
        </w:rPr>
        <w:t xml:space="preserve">in der Mehrzahl der Studien ein Forschungsausblick („Future studies should …“, „Further research is needed in …“), häufig direkt an die letzte Limitation angehängt — Limitation und Ausblick verschmelzen zu einem Satz. Das ist die wortsparendste Bauform des ganzen Korpus.</w:t>
      </w:r>
    </w:p>
    <w:p>
      <w:pPr>
        <w:pStyle w:val="Heading2"/>
        <w:spacing w:after="140" w:before="260"/>
      </w:pPr>
      <w:r>
        <w:rPr>
          <w:rFonts w:ascii="Arial" w:cs="Arial" w:eastAsia="Arial" w:hAnsi="Arial"/>
          <w:b/>
          <w:bCs/>
          <w:color w:val="1F3864"/>
          <w:sz w:val="24"/>
          <w:szCs w:val="24"/>
        </w:rPr>
        <w:t xml:space="preserve">2.5  Praxisrubrik und Fazit — zwei Namen, eine Funktion</w:t>
      </w:r>
    </w:p>
    <w:p>
      <w:pPr>
        <w:spacing w:after="120" w:line="276"/>
      </w:pPr>
      <w:r>
        <w:rPr>
          <w:rFonts w:ascii="Arial" w:cs="Arial" w:eastAsia="Arial" w:hAnsi="Arial"/>
          <w:sz w:val="21"/>
          <w:szCs w:val="21"/>
        </w:rPr>
        <w:t xml:space="preserve">Umfang: Mittelwert 208 Wörter, Median 189, Spanne 166 bis 297. Das sind 5 % des Absatztexts — in jeder Studie ein einziger Absatz.</w:t>
      </w:r>
    </w:p>
    <w:p>
      <w:pPr>
        <w:spacing w:after="120" w:line="276"/>
      </w:pPr>
      <w:r>
        <w:rPr>
          <w:rFonts w:ascii="Arial" w:cs="Arial" w:eastAsia="Arial" w:hAnsi="Arial"/>
          <w:sz w:val="21"/>
          <w:szCs w:val="21"/>
        </w:rPr>
        <w:t xml:space="preserve">Ob das Kapitel „Practical Applications“ oder „Conclusion“ heißt, ändert die Funktion kaum. Die Zugfolge ist in beiden Fällen dieselbe: Hauptbefund verallgemeinert → Neuheits- oder Beitragsanspruch → Handlungsempfehlung für die Zielgruppe → Machbarkeitsargument → Forschungsausblick. Kein Kapitel dieser Art bringt neue Zahlen, und in der Mehrzahl der Studien enthält es keine einzige Quelle. Der Unterschied ist einer der Adressierung: Die Praxisrubrik spricht die Trainer an („practitioners should …“), das Fazit spricht über die Studie („The findings of the current study indicated …“).</w:t>
      </w:r>
    </w:p>
    <w:p>
      <w:pPr>
        <w:spacing w:after="180"/>
      </w:pPr>
    </w:p>
    <w:p>
      <w:pPr>
        <w:pStyle w:val="Heading1"/>
        <w:spacing w:after="140" w:before="360"/>
      </w:pPr>
      <w:r>
        <w:rPr>
          <w:rFonts w:ascii="Arial" w:cs="Arial" w:eastAsia="Arial" w:hAnsi="Arial"/>
          <w:b/>
          <w:bCs/>
          <w:color w:val="1F3864"/>
          <w:sz w:val="28"/>
          <w:szCs w:val="28"/>
        </w:rPr>
        <w:t xml:space="preserve">3  Textbausteine — der Katalog der weiterführenden Züge</w:t>
      </w:r>
    </w:p>
    <w:p>
      <w:pPr>
        <w:spacing w:after="120" w:line="276"/>
      </w:pPr>
      <w:r>
        <w:rPr>
          <w:rFonts w:ascii="Arial" w:cs="Arial" w:eastAsia="Arial" w:hAnsi="Arial"/>
          <w:sz w:val="21"/>
          <w:szCs w:val="21"/>
        </w:rPr>
        <w:t xml:space="preserve">Die folgenden Muster tragen den Text von einem Zug zum nächsten. Sie sind in allen elf Studien dieselben; was streut, ist nur die Häufigkeit. Die Belege sind wörtlich, aber gekürzt.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rPr>
          <w:tblHeader/>
        </w:trPr>
        <w:tc>
          <w:tcPr>
            <w:tcW w:type="dxa" w:w="1872"/>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Funktion</w:t>
            </w:r>
          </w:p>
        </w:tc>
        <w:tc>
          <w:tcPr>
            <w:tcW w:type="dxa" w:w="4680"/>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Muster im Korpus</w:t>
            </w:r>
          </w:p>
        </w:tc>
        <w:tc>
          <w:tcPr>
            <w:tcW w:type="dxa" w:w="2808"/>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Wo es steht</w:t>
            </w:r>
          </w:p>
        </w:tc>
      </w:tr>
      <w:tr>
        <w:tc>
          <w:tcPr>
            <w:tcW w:type="dxa" w:w="187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Überleitung, additiv</w:t>
            </w:r>
          </w:p>
        </w:tc>
        <w:tc>
          <w:tcPr>
            <w:tcW w:type="dxa" w:w="468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Furthermore … · Moreover … · In addition … · Similarly … · In this context, X et al. compared … · Further to the above …</w:t>
            </w:r>
          </w:p>
        </w:tc>
        <w:tc>
          <w:tcPr>
            <w:tcW w:type="dxa" w:w="280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Einleitung, Diskussion</w:t>
            </w:r>
          </w:p>
        </w:tc>
      </w:tr>
      <w:tr>
        <w:tc>
          <w:tcPr>
            <w:tcW w:type="dxa" w:w="187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Kontrast</w:t>
            </w:r>
          </w:p>
        </w:tc>
        <w:tc>
          <w:tcPr>
            <w:tcW w:type="dxa" w:w="468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However … · In contrast … · Conversely … · Nonetheless … · On the other hand … · Though demonstrably effective …</w:t>
            </w:r>
          </w:p>
        </w:tc>
        <w:tc>
          <w:tcPr>
            <w:tcW w:type="dxa" w:w="280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Lückenabsatz, Literaturvergleich</w:t>
            </w:r>
          </w:p>
        </w:tc>
      </w:tr>
      <w:tr>
        <w:tc>
          <w:tcPr>
            <w:tcW w:type="dxa" w:w="187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Lücke markieren</w:t>
            </w:r>
          </w:p>
        </w:tc>
        <w:tc>
          <w:tcPr>
            <w:tcW w:type="dxa" w:w="468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Few investigators have examined … · To the best of our knowledge, no prior studies … · Currently, the evidences are very limited · there remains a lack of research</w:t>
            </w:r>
          </w:p>
        </w:tc>
        <w:tc>
          <w:tcPr>
            <w:tcW w:type="dxa" w:w="280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Ende der Einleitung</w:t>
            </w:r>
          </w:p>
        </w:tc>
      </w:tr>
      <w:tr>
        <w:tc>
          <w:tcPr>
            <w:tcW w:type="dxa" w:w="187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Zweck</w:t>
            </w:r>
          </w:p>
        </w:tc>
        <w:tc>
          <w:tcPr>
            <w:tcW w:type="dxa" w:w="468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Therefore, the purpose of this study was to … · Thus, the aim of this study was to … · Therefore, with the aforementioned considerations, …</w:t>
            </w:r>
          </w:p>
        </w:tc>
        <w:tc>
          <w:tcPr>
            <w:tcW w:type="dxa" w:w="280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letzter Einleitungsabsatz, erster Diskussionsabsatz</w:t>
            </w:r>
          </w:p>
        </w:tc>
      </w:tr>
      <w:tr>
        <w:tc>
          <w:tcPr>
            <w:tcW w:type="dxa" w:w="187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Hypothese</w:t>
            </w:r>
          </w:p>
        </w:tc>
        <w:tc>
          <w:tcPr>
            <w:tcW w:type="dxa" w:w="468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We hypothesized that … would … compared to … · the research hypothesis was that …</w:t>
            </w:r>
          </w:p>
        </w:tc>
        <w:tc>
          <w:tcPr>
            <w:tcW w:type="dxa" w:w="280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letzter Satz der Einleitung</w:t>
            </w:r>
          </w:p>
        </w:tc>
      </w:tr>
      <w:tr>
        <w:tc>
          <w:tcPr>
            <w:tcW w:type="dxa" w:w="187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Einschränkung, Hedging</w:t>
            </w:r>
          </w:p>
        </w:tc>
        <w:tc>
          <w:tcPr>
            <w:tcW w:type="dxa" w:w="468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may reflect … · might also explain … · could be attributed to … · it is likely that … · Although speculative, … · should be interpreted with caution</w:t>
            </w:r>
          </w:p>
        </w:tc>
        <w:tc>
          <w:tcPr>
            <w:tcW w:type="dxa" w:w="280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jeder Mechanismusabsatz der Diskussion</w:t>
            </w:r>
          </w:p>
        </w:tc>
      </w:tr>
      <w:tr>
        <w:tc>
          <w:tcPr>
            <w:tcW w:type="dxa" w:w="187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Begründung</w:t>
            </w:r>
          </w:p>
        </w:tc>
        <w:tc>
          <w:tcPr>
            <w:tcW w:type="dxa" w:w="468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From a physiological standpoint, … · This may simply be a reflection of … · was selected to match … · because the absolute gain …</w:t>
            </w:r>
          </w:p>
        </w:tc>
        <w:tc>
          <w:tcPr>
            <w:tcW w:type="dxa" w:w="280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Methodik (Wahlbegründung), Diskussion (Erklärung)</w:t>
            </w:r>
          </w:p>
        </w:tc>
      </w:tr>
      <w:tr>
        <w:tc>
          <w:tcPr>
            <w:tcW w:type="dxa" w:w="187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Objektverweis</w:t>
            </w:r>
          </w:p>
        </w:tc>
        <w:tc>
          <w:tcPr>
            <w:tcW w:type="dxa" w:w="468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Table X displays / shows / depicts … · … are presented in Table X. · … (Table X) am Satzende</w:t>
            </w:r>
          </w:p>
        </w:tc>
        <w:tc>
          <w:tcPr>
            <w:tcW w:type="dxa" w:w="280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Methodik, Ergebnisse</w:t>
            </w:r>
          </w:p>
        </w:tc>
      </w:tr>
      <w:tr>
        <w:tc>
          <w:tcPr>
            <w:tcW w:type="dxa" w:w="187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Selbstbezug</w:t>
            </w:r>
          </w:p>
        </w:tc>
        <w:tc>
          <w:tcPr>
            <w:tcW w:type="dxa" w:w="468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This study examined … · Our results demonstrated … · We sought to … · To our knowledge, this is the first …</w:t>
            </w:r>
          </w:p>
        </w:tc>
        <w:tc>
          <w:tcPr>
            <w:tcW w:type="dxa" w:w="280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Einleitung, Diskussion, Fazit</w:t>
            </w:r>
          </w:p>
        </w:tc>
      </w:tr>
      <w:tr>
        <w:tc>
          <w:tcPr>
            <w:tcW w:type="dxa" w:w="187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Verallgemeinerung</w:t>
            </w:r>
          </w:p>
        </w:tc>
        <w:tc>
          <w:tcPr>
            <w:tcW w:type="dxa" w:w="468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It is well established that … · It is widely recognized that … · In soccer, X is considered a key …</w:t>
            </w:r>
          </w:p>
        </w:tc>
        <w:tc>
          <w:tcPr>
            <w:tcW w:type="dxa" w:w="280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erster Satz von Einleitung und jedem Diskussionsabsatz</w:t>
            </w:r>
          </w:p>
        </w:tc>
      </w:tr>
      <w:tr>
        <w:tc>
          <w:tcPr>
            <w:tcW w:type="dxa" w:w="187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Limitation einleiten</w:t>
            </w:r>
          </w:p>
        </w:tc>
        <w:tc>
          <w:tcPr>
            <w:tcW w:type="dxa" w:w="468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This study has several limitations. · Our study is not without limitations. · With respect to the limitations, the primary …</w:t>
            </w:r>
          </w:p>
        </w:tc>
        <w:tc>
          <w:tcPr>
            <w:tcW w:type="dxa" w:w="280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Diskussionsende</w:t>
            </w:r>
          </w:p>
        </w:tc>
      </w:tr>
      <w:tr>
        <w:tc>
          <w:tcPr>
            <w:tcW w:type="dxa" w:w="187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Zukunftsverweis</w:t>
            </w:r>
          </w:p>
        </w:tc>
        <w:tc>
          <w:tcPr>
            <w:tcW w:type="dxa" w:w="468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Future studies should … · Further research is needed in … · This has to be considered in future research.</w:t>
            </w:r>
          </w:p>
        </w:tc>
        <w:tc>
          <w:tcPr>
            <w:tcW w:type="dxa" w:w="280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Ende von Limitation, Fazit, Praxisrubrik</w:t>
            </w:r>
          </w:p>
        </w:tc>
      </w:tr>
    </w:tbl>
    <w:p>
      <w:pPr>
        <w:spacing w:after="120" w:line="276"/>
      </w:pPr>
      <w:r>
        <w:rPr>
          <w:rFonts w:ascii="Arial" w:cs="Arial" w:eastAsia="Arial" w:hAnsi="Arial"/>
          <w:sz w:val="21"/>
          <w:szCs w:val="21"/>
        </w:rPr>
        <w:t xml:space="preserve">Zwei Beobachtungen zum Gebrauch. Erstens: Der Kontrastmarker ist das meistgenutzte Steuerelement überhaupt — er trägt den Lückenabsatz der Einleitung und jeden Divergenzbefund der Diskussion. Zweitens: Modalverben sind kein Stilmittel, sondern Pflicht. Kein Erklärungsangebot im Korpus steht im Indikativ; jede Mechanismusaussage ist modalisiert. Umgekehrt steht kein Befund im Konjunktiv.</w:t>
      </w:r>
    </w:p>
    <w:p>
      <w:pPr>
        <w:spacing w:after="180"/>
      </w:pPr>
    </w:p>
    <w:p>
      <w:pPr>
        <w:pStyle w:val="Heading1"/>
        <w:spacing w:after="140" w:before="360"/>
      </w:pPr>
      <w:r>
        <w:rPr>
          <w:rFonts w:ascii="Arial" w:cs="Arial" w:eastAsia="Arial" w:hAnsi="Arial"/>
          <w:b/>
          <w:bCs/>
          <w:color w:val="1F3864"/>
          <w:sz w:val="28"/>
          <w:szCs w:val="28"/>
        </w:rPr>
        <w:t xml:space="preserve">4  Objektpolitik</w:t>
      </w:r>
    </w:p>
    <w:p>
      <w:pPr>
        <w:spacing w:after="120" w:line="276"/>
      </w:pPr>
      <w:r>
        <w:rPr>
          <w:rFonts w:ascii="Arial" w:cs="Arial" w:eastAsia="Arial" w:hAnsi="Arial"/>
          <w:sz w:val="21"/>
          <w:szCs w:val="21"/>
        </w:rPr>
        <w:t xml:space="preserve">Der Korpus führt vier bis sechs Objekte, im Mittel 4,6. Tabellen überwiegen deutlich; drei Studien kommen ganz ohne Abbildung aus.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310"/>
        <w:gridCol w:w="1310"/>
        <w:gridCol w:w="1310"/>
        <w:gridCol w:w="2059"/>
      </w:tblGrid>
      <w:tr>
        <w:trPr>
          <w:tblHeader/>
        </w:trPr>
        <w:tc>
          <w:tcPr>
            <w:tcW w:type="dxa" w:w="3370"/>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Studie</w:t>
            </w:r>
          </w:p>
        </w:tc>
        <w:tc>
          <w:tcPr>
            <w:tcW w:type="dxa" w:w="1310"/>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Tab.</w:t>
            </w:r>
          </w:p>
        </w:tc>
        <w:tc>
          <w:tcPr>
            <w:tcW w:type="dxa" w:w="1310"/>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Abb.</w:t>
            </w:r>
          </w:p>
        </w:tc>
        <w:tc>
          <w:tcPr>
            <w:tcW w:type="dxa" w:w="1310"/>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Σ</w:t>
            </w:r>
          </w:p>
        </w:tc>
        <w:tc>
          <w:tcPr>
            <w:tcW w:type="dxa" w:w="2059"/>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Flussdiagramm</w:t>
            </w:r>
          </w:p>
        </w:tc>
      </w:tr>
      <w:tr>
        <w:tc>
          <w:tcPr>
            <w:tcW w:type="dxa" w:w="337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Lloyd 2016</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4</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5</w:t>
            </w:r>
          </w:p>
        </w:tc>
        <w:tc>
          <w:tcPr>
            <w:tcW w:type="dxa" w:w="2059"/>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nein</w:t>
            </w:r>
          </w:p>
        </w:tc>
      </w:tr>
      <w:tr>
        <w:tc>
          <w:tcPr>
            <w:tcW w:type="dxa" w:w="337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Hammami 2016</w:t>
            </w:r>
          </w:p>
        </w:tc>
        <w:tc>
          <w:tcPr>
            <w:tcW w:type="dxa" w:w="131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5</w:t>
            </w:r>
          </w:p>
        </w:tc>
        <w:tc>
          <w:tcPr>
            <w:tcW w:type="dxa" w:w="131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0</w:t>
            </w:r>
          </w:p>
        </w:tc>
        <w:tc>
          <w:tcPr>
            <w:tcW w:type="dxa" w:w="131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5</w:t>
            </w:r>
          </w:p>
        </w:tc>
        <w:tc>
          <w:tcPr>
            <w:tcW w:type="dxa" w:w="2059"/>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nein</w:t>
            </w:r>
          </w:p>
        </w:tc>
      </w:tr>
      <w:tr>
        <w:tc>
          <w:tcPr>
            <w:tcW w:type="dxa" w:w="337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Beato 2018</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2</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w:t>
            </w:r>
          </w:p>
        </w:tc>
        <w:tc>
          <w:tcPr>
            <w:tcW w:type="dxa" w:w="2059"/>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ja</w:t>
            </w:r>
          </w:p>
        </w:tc>
      </w:tr>
      <w:tr>
        <w:tc>
          <w:tcPr>
            <w:tcW w:type="dxa" w:w="337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Negra 2019</w:t>
            </w:r>
          </w:p>
        </w:tc>
        <w:tc>
          <w:tcPr>
            <w:tcW w:type="dxa" w:w="131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4</w:t>
            </w:r>
          </w:p>
        </w:tc>
        <w:tc>
          <w:tcPr>
            <w:tcW w:type="dxa" w:w="131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0</w:t>
            </w:r>
          </w:p>
        </w:tc>
        <w:tc>
          <w:tcPr>
            <w:tcW w:type="dxa" w:w="131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4</w:t>
            </w:r>
          </w:p>
        </w:tc>
        <w:tc>
          <w:tcPr>
            <w:tcW w:type="dxa" w:w="2059"/>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nein</w:t>
            </w:r>
          </w:p>
        </w:tc>
      </w:tr>
      <w:tr>
        <w:tc>
          <w:tcPr>
            <w:tcW w:type="dxa" w:w="337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Negra 2020</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0</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w:t>
            </w:r>
          </w:p>
        </w:tc>
        <w:tc>
          <w:tcPr>
            <w:tcW w:type="dxa" w:w="2059"/>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nein</w:t>
            </w:r>
          </w:p>
        </w:tc>
      </w:tr>
      <w:tr>
        <w:tc>
          <w:tcPr>
            <w:tcW w:type="dxa" w:w="337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Aloui 2022</w:t>
            </w:r>
          </w:p>
        </w:tc>
        <w:tc>
          <w:tcPr>
            <w:tcW w:type="dxa" w:w="131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5</w:t>
            </w:r>
          </w:p>
        </w:tc>
        <w:tc>
          <w:tcPr>
            <w:tcW w:type="dxa" w:w="131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w:t>
            </w:r>
          </w:p>
        </w:tc>
        <w:tc>
          <w:tcPr>
            <w:tcW w:type="dxa" w:w="131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6</w:t>
            </w:r>
          </w:p>
        </w:tc>
        <w:tc>
          <w:tcPr>
            <w:tcW w:type="dxa" w:w="2059"/>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nein</w:t>
            </w:r>
          </w:p>
        </w:tc>
      </w:tr>
      <w:tr>
        <w:tc>
          <w:tcPr>
            <w:tcW w:type="dxa" w:w="337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Liu 2024</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2</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5</w:t>
            </w:r>
          </w:p>
        </w:tc>
        <w:tc>
          <w:tcPr>
            <w:tcW w:type="dxa" w:w="2059"/>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ja</w:t>
            </w:r>
          </w:p>
        </w:tc>
      </w:tr>
      <w:tr>
        <w:tc>
          <w:tcPr>
            <w:tcW w:type="dxa" w:w="337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Moran 2024</w:t>
            </w:r>
          </w:p>
        </w:tc>
        <w:tc>
          <w:tcPr>
            <w:tcW w:type="dxa" w:w="131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3</w:t>
            </w:r>
          </w:p>
        </w:tc>
        <w:tc>
          <w:tcPr>
            <w:tcW w:type="dxa" w:w="131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2</w:t>
            </w:r>
          </w:p>
        </w:tc>
        <w:tc>
          <w:tcPr>
            <w:tcW w:type="dxa" w:w="131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5</w:t>
            </w:r>
          </w:p>
        </w:tc>
        <w:tc>
          <w:tcPr>
            <w:tcW w:type="dxa" w:w="2059"/>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nein</w:t>
            </w:r>
          </w:p>
        </w:tc>
      </w:tr>
      <w:tr>
        <w:tc>
          <w:tcPr>
            <w:tcW w:type="dxa" w:w="337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Sammoud 2024</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4</w:t>
            </w:r>
          </w:p>
        </w:tc>
        <w:tc>
          <w:tcPr>
            <w:tcW w:type="dxa" w:w="2059"/>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ja</w:t>
            </w:r>
          </w:p>
        </w:tc>
      </w:tr>
      <w:tr>
        <w:tc>
          <w:tcPr>
            <w:tcW w:type="dxa" w:w="337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Bouafif 2026</w:t>
            </w:r>
          </w:p>
        </w:tc>
        <w:tc>
          <w:tcPr>
            <w:tcW w:type="dxa" w:w="131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3</w:t>
            </w:r>
          </w:p>
        </w:tc>
        <w:tc>
          <w:tcPr>
            <w:tcW w:type="dxa" w:w="131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3</w:t>
            </w:r>
          </w:p>
        </w:tc>
        <w:tc>
          <w:tcPr>
            <w:tcW w:type="dxa" w:w="131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6</w:t>
            </w:r>
          </w:p>
        </w:tc>
        <w:tc>
          <w:tcPr>
            <w:tcW w:type="dxa" w:w="2059"/>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ja</w:t>
            </w:r>
          </w:p>
        </w:tc>
      </w:tr>
      <w:tr>
        <w:tc>
          <w:tcPr>
            <w:tcW w:type="dxa" w:w="337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Padrón-Cabo 2025</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w:t>
            </w:r>
          </w:p>
        </w:tc>
        <w:tc>
          <w:tcPr>
            <w:tcW w:type="dxa" w:w="131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4</w:t>
            </w:r>
          </w:p>
        </w:tc>
        <w:tc>
          <w:tcPr>
            <w:tcW w:type="dxa" w:w="2059"/>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nein</w:t>
            </w:r>
          </w:p>
        </w:tc>
      </w:tr>
    </w:tbl>
    <w:p>
      <w:pPr>
        <w:spacing w:after="120" w:line="276"/>
      </w:pPr>
      <w:r>
        <w:rPr>
          <w:rFonts w:ascii="Arial" w:cs="Arial" w:eastAsia="Arial" w:hAnsi="Arial"/>
          <w:sz w:val="21"/>
          <w:szCs w:val="21"/>
        </w:rPr>
        <w:t xml:space="preserve">Die Verteilung über die Kapitel ist regelhaft: Stichprobentabelle und Interventionstabelle stehen in der Methodik, Ergebnistabelle und Ergebnisabbildung im Ergebnisteil. Ein Flussdiagramm führen vier Studien; drei davon platzieren es im Methodikteil, nicht im Ergebnisteil — das weicht von der CONSORT-üblichen Platzierung ab und ist kein Vorbild.</w:t>
      </w:r>
    </w:p>
    <w:p>
      <w:pPr>
        <w:spacing w:after="120" w:line="276"/>
      </w:pPr>
      <w:r>
        <w:rPr>
          <w:rFonts w:ascii="Arial" w:cs="Arial" w:eastAsia="Arial" w:hAnsi="Arial"/>
          <w:sz w:val="21"/>
          <w:szCs w:val="21"/>
        </w:rPr>
        <w:t xml:space="preserve">Drei Verweisformen kommen vor, und die Wahl ist je Studie konsistent:</w:t>
      </w:r>
    </w:p>
    <w:p>
      <w:pPr>
        <w:pStyle w:val="ListParagraph"/>
        <w:numPr>
          <w:ilvl w:val="0"/>
          <w:numId w:val="1"/>
        </w:numPr>
        <w:spacing w:after="70" w:line="276"/>
      </w:pPr>
      <w:r>
        <w:rPr>
          <w:rFonts w:ascii="Arial" w:cs="Arial" w:eastAsia="Arial" w:hAnsi="Arial"/>
          <w:b/>
          <w:bCs/>
          <w:sz w:val="21"/>
          <w:szCs w:val="21"/>
        </w:rPr>
        <w:t xml:space="preserve">Objekt als Satzsubjekt im Präsens </w:t>
      </w:r>
      <w:r>
        <w:rPr>
          <w:rFonts w:ascii="Arial" w:cs="Arial" w:eastAsia="Arial" w:hAnsi="Arial"/>
          <w:sz w:val="21"/>
          <w:szCs w:val="21"/>
        </w:rPr>
        <w:t xml:space="preserve">(„Table 3 displays test data …“) — führt ein Objekt ein, eignet sich für den Orientierungsabsatz.</w:t>
      </w:r>
    </w:p>
    <w:p>
      <w:pPr>
        <w:pStyle w:val="ListParagraph"/>
        <w:numPr>
          <w:ilvl w:val="0"/>
          <w:numId w:val="1"/>
        </w:numPr>
        <w:spacing w:after="70" w:line="276"/>
      </w:pPr>
      <w:r>
        <w:rPr>
          <w:rFonts w:ascii="Arial" w:cs="Arial" w:eastAsia="Arial" w:hAnsi="Arial"/>
          <w:b/>
          <w:bCs/>
          <w:sz w:val="21"/>
          <w:szCs w:val="21"/>
        </w:rPr>
        <w:t xml:space="preserve">Vollsatz im Passiv, Daten als Subjekt </w:t>
      </w:r>
      <w:r>
        <w:rPr>
          <w:rFonts w:ascii="Arial" w:cs="Arial" w:eastAsia="Arial" w:hAnsi="Arial"/>
          <w:sz w:val="21"/>
          <w:szCs w:val="21"/>
        </w:rPr>
        <w:t xml:space="preserve">(„Anthropometric data of both groups are presented in Table 1.“) — die häufigste Form im Methodikteil.</w:t>
      </w:r>
    </w:p>
    <w:p>
      <w:pPr>
        <w:pStyle w:val="ListParagraph"/>
        <w:numPr>
          <w:ilvl w:val="0"/>
          <w:numId w:val="1"/>
        </w:numPr>
        <w:spacing w:after="70" w:line="276"/>
      </w:pPr>
      <w:r>
        <w:rPr>
          <w:rFonts w:ascii="Arial" w:cs="Arial" w:eastAsia="Arial" w:hAnsi="Arial"/>
          <w:b/>
          <w:bCs/>
          <w:sz w:val="21"/>
          <w:szCs w:val="21"/>
        </w:rPr>
        <w:t xml:space="preserve">Klammer am Satzende </w:t>
      </w:r>
      <w:r>
        <w:rPr>
          <w:rFonts w:ascii="Arial" w:cs="Arial" w:eastAsia="Arial" w:hAnsi="Arial"/>
          <w:sz w:val="21"/>
          <w:szCs w:val="21"/>
        </w:rPr>
        <w:t xml:space="preserve">(„… rest between sets (Table 2).“) — die häufigste Form im Ergebnisteil, nach dem Befundsatz.</w:t>
      </w:r>
    </w:p>
    <w:p>
      <w:pPr>
        <w:spacing w:after="120" w:line="276"/>
      </w:pPr>
      <w:r>
        <w:rPr>
          <w:rFonts w:ascii="Arial" w:cs="Arial" w:eastAsia="Arial" w:hAnsi="Arial"/>
          <w:sz w:val="21"/>
          <w:szCs w:val="21"/>
        </w:rPr>
        <w:t xml:space="preserve">Bemerkenswert für die eigene Objektpolitik: Zwei Studien führen jedes Objekt genau einmal ein und erwähnen es danach nie wieder; eine ruft ihre Ergebnistabellen in der Diskussion ein zweites Mal auf, um eine Auswertungsentscheidung zu begründen. Beides ist zulässig. Was keine Studie tut, ist ein Objekt ohne Textverweis stehen zu lassen.</w:t>
      </w:r>
    </w:p>
    <w:p>
      <w:pPr>
        <w:spacing w:after="180"/>
      </w:pPr>
    </w:p>
    <w:p>
      <w:pPr>
        <w:pStyle w:val="Heading1"/>
        <w:spacing w:after="140" w:before="360"/>
      </w:pPr>
      <w:r>
        <w:rPr>
          <w:rFonts w:ascii="Arial" w:cs="Arial" w:eastAsia="Arial" w:hAnsi="Arial"/>
          <w:b/>
          <w:bCs/>
          <w:color w:val="1F3864"/>
          <w:sz w:val="28"/>
          <w:szCs w:val="28"/>
        </w:rPr>
        <w:t xml:space="preserve">5  Zitation — Ort, Dichte, Form</w:t>
      </w:r>
    </w:p>
    <w:p>
      <w:pPr>
        <w:spacing w:after="120" w:line="276"/>
      </w:pPr>
      <w:r>
        <w:rPr>
          <w:rFonts w:ascii="Arial" w:cs="Arial" w:eastAsia="Arial" w:hAnsi="Arial"/>
          <w:sz w:val="21"/>
          <w:szCs w:val="21"/>
        </w:rPr>
        <w:t xml:space="preserve">Die Zitierform ist Vorgabe der Zeitschrift, nicht Entscheidung der Autoren, und für die eigene Arbeit deshalb ohne Aussagekraft (siehe Projektanweisungen § 8). Der Ort der Belege dagegen ist eine Konvention des Fachs und überträgt sich.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1872"/>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Kapitel</w:t>
            </w:r>
          </w:p>
        </w:tc>
        <w:tc>
          <w:tcPr>
            <w:tcW w:type="dxa" w:w="2808"/>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Belegdichte</w:t>
            </w:r>
          </w:p>
        </w:tc>
        <w:tc>
          <w:tcPr>
            <w:tcW w:type="dxa" w:w="4680"/>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Regel</w:t>
            </w:r>
          </w:p>
        </w:tc>
      </w:tr>
      <w:tr>
        <w:tc>
          <w:tcPr>
            <w:tcW w:type="dxa" w:w="187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Abstract</w:t>
            </w:r>
          </w:p>
        </w:tc>
        <w:tc>
          <w:tcPr>
            <w:tcW w:type="dxa" w:w="280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null</w:t>
            </w:r>
          </w:p>
        </w:tc>
        <w:tc>
          <w:tcPr>
            <w:tcW w:type="dxa" w:w="468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In keiner der elf Studien wird im Abstract zitiert.</w:t>
            </w:r>
          </w:p>
        </w:tc>
      </w:tr>
      <w:tr>
        <w:tc>
          <w:tcPr>
            <w:tcW w:type="dxa" w:w="187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Einleitung</w:t>
            </w:r>
          </w:p>
        </w:tc>
        <w:tc>
          <w:tcPr>
            <w:tcW w:type="dxa" w:w="280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höchste Dichte, rund eine Klammer je 30 bis 45 Wörter</w:t>
            </w:r>
          </w:p>
        </w:tc>
        <w:tc>
          <w:tcPr>
            <w:tcW w:type="dxa" w:w="468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Jeder Zug trägt Belege; der Zwecksatz selbst bleibt unbelegt.</w:t>
            </w:r>
          </w:p>
        </w:tc>
      </w:tr>
      <w:tr>
        <w:tc>
          <w:tcPr>
            <w:tcW w:type="dxa" w:w="187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Methodik</w:t>
            </w:r>
          </w:p>
        </w:tc>
        <w:tc>
          <w:tcPr>
            <w:tcW w:type="dxa" w:w="280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niedrig, eine Klammer je 100 bis 300 Wörter</w:t>
            </w:r>
          </w:p>
        </w:tc>
        <w:tc>
          <w:tcPr>
            <w:tcW w:type="dxa" w:w="468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Belegt werden ausschließlich Verfahren, Geräte, Protokolle, Schwellenwerte und Normen — nie eine eigene Entscheidung.</w:t>
            </w:r>
          </w:p>
        </w:tc>
      </w:tr>
      <w:tr>
        <w:tc>
          <w:tcPr>
            <w:tcW w:type="dxa" w:w="187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Ergebnisse</w:t>
            </w:r>
          </w:p>
        </w:tc>
        <w:tc>
          <w:tcPr>
            <w:tcW w:type="dxa" w:w="280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null</w:t>
            </w:r>
          </w:p>
        </w:tc>
        <w:tc>
          <w:tcPr>
            <w:tcW w:type="dxa" w:w="468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Ausnahmslos, in elf von elf Studien.</w:t>
            </w:r>
          </w:p>
        </w:tc>
      </w:tr>
      <w:tr>
        <w:tc>
          <w:tcPr>
            <w:tcW w:type="dxa" w:w="187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Diskussion</w:t>
            </w:r>
          </w:p>
        </w:tc>
        <w:tc>
          <w:tcPr>
            <w:tcW w:type="dxa" w:w="280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hoch, rund eine Klammer je 50 bis 90 Wörter</w:t>
            </w:r>
          </w:p>
        </w:tc>
        <w:tc>
          <w:tcPr>
            <w:tcW w:type="dxa" w:w="468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Einzelbefunde mit Autornennung im Satz, Übersichtsarbeiten als reine Klammer.</w:t>
            </w:r>
          </w:p>
        </w:tc>
      </w:tr>
      <w:tr>
        <w:tc>
          <w:tcPr>
            <w:tcW w:type="dxa" w:w="187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Praxis / Fazit</w:t>
            </w:r>
          </w:p>
        </w:tc>
        <w:tc>
          <w:tcPr>
            <w:tcW w:type="dxa" w:w="280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null bis sehr niedrig</w:t>
            </w:r>
          </w:p>
        </w:tc>
        <w:tc>
          <w:tcPr>
            <w:tcW w:type="dxa" w:w="468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Die Mehrzahl kommt ohne einen einzigen Beleg aus.</w:t>
            </w:r>
          </w:p>
        </w:tc>
      </w:tr>
    </w:tbl>
    <w:p>
      <w:pPr>
        <w:spacing w:after="120" w:line="276"/>
      </w:pPr>
      <w:r>
        <w:rPr>
          <w:rFonts w:ascii="Arial" w:cs="Arial" w:eastAsia="Arial" w:hAnsi="Arial"/>
          <w:sz w:val="21"/>
          <w:szCs w:val="21"/>
        </w:rPr>
        <w:t xml:space="preserve">Je Klammer stehen im Regelfall ein bis zwei Quellen, selten drei. Vier oder mehr kommen nur in Aufzählungen von Wirkmechanismen vor und wirken dort als Sammelbeleg. Die eigene Zitierdichteregel — eine Quelle für Definition und Einzelbefund, zwei für „überwiegend“, drei für konvergente Indikativaussagen, nie mehr als drei je Klammer — liegt damit innerhalb des Korpusgebrauchs.</w:t>
      </w:r>
    </w:p>
    <w:p>
      <w:pPr>
        <w:spacing w:after="180"/>
      </w:pPr>
    </w:p>
    <w:p>
      <w:pPr>
        <w:pStyle w:val="Heading1"/>
        <w:spacing w:after="140" w:before="360"/>
      </w:pPr>
      <w:r>
        <w:rPr>
          <w:rFonts w:ascii="Arial" w:cs="Arial" w:eastAsia="Arial" w:hAnsi="Arial"/>
          <w:b/>
          <w:bCs/>
          <w:color w:val="1F3864"/>
          <w:sz w:val="28"/>
          <w:szCs w:val="28"/>
        </w:rPr>
        <w:t xml:space="preserve">6  Tempus</w:t>
      </w:r>
    </w:p>
    <w:p>
      <w:pPr>
        <w:spacing w:after="120" w:line="276"/>
      </w:pPr>
      <w:r>
        <w:rPr>
          <w:rFonts w:ascii="Arial" w:cs="Arial" w:eastAsia="Arial" w:hAnsi="Arial"/>
          <w:sz w:val="21"/>
          <w:szCs w:val="21"/>
        </w:rPr>
        <w:t xml:space="preserve">Die Tempusverteilung ist im Korpus so einheitlich, dass sie sich als Regel formulieren lässt: Präteritum für alles Gemessene und Getane, Präsens für Definition, Prinzip und Deutung.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867"/>
        <w:gridCol w:w="2621"/>
      </w:tblGrid>
      <w:tr>
        <w:trPr>
          <w:tblHeader/>
        </w:trPr>
        <w:tc>
          <w:tcPr>
            <w:tcW w:type="dxa" w:w="1872"/>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Kapitel</w:t>
            </w:r>
          </w:p>
        </w:tc>
        <w:tc>
          <w:tcPr>
            <w:tcW w:type="dxa" w:w="4867"/>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Tempus</w:t>
            </w:r>
          </w:p>
        </w:tc>
        <w:tc>
          <w:tcPr>
            <w:tcW w:type="dxa" w:w="2621"/>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Ausnahme</w:t>
            </w:r>
          </w:p>
        </w:tc>
      </w:tr>
      <w:tr>
        <w:tc>
          <w:tcPr>
            <w:tcW w:type="dxa" w:w="187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Einleitung</w:t>
            </w:r>
          </w:p>
        </w:tc>
        <w:tc>
          <w:tcPr>
            <w:tcW w:type="dxa" w:w="4867"/>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Präsens für Definitionen, Mechanismen und Allgemeinaussagen; Present Perfect für den Forschungsstand; Präteritum für Einzelbefunde</w:t>
            </w:r>
          </w:p>
        </w:tc>
        <w:tc>
          <w:tcPr>
            <w:tcW w:type="dxa" w:w="2621"/>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Zweck und Hypothese stehen im Präteritum</w:t>
            </w:r>
          </w:p>
        </w:tc>
      </w:tr>
      <w:tr>
        <w:tc>
          <w:tcPr>
            <w:tcW w:type="dxa" w:w="187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Methodik</w:t>
            </w:r>
          </w:p>
        </w:tc>
        <w:tc>
          <w:tcPr>
            <w:tcW w:type="dxa" w:w="4867"/>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durchgehend Präteritum Passiv</w:t>
            </w:r>
          </w:p>
        </w:tc>
        <w:tc>
          <w:tcPr>
            <w:tcW w:type="dxa" w:w="2621"/>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Darstellungskonventionen im Präsens („Data are presented as …“)</w:t>
            </w:r>
          </w:p>
        </w:tc>
      </w:tr>
      <w:tr>
        <w:tc>
          <w:tcPr>
            <w:tcW w:type="dxa" w:w="187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Ergebnisse</w:t>
            </w:r>
          </w:p>
        </w:tc>
        <w:tc>
          <w:tcPr>
            <w:tcW w:type="dxa" w:w="4867"/>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durchgehend Präteritum</w:t>
            </w:r>
          </w:p>
        </w:tc>
        <w:tc>
          <w:tcPr>
            <w:tcW w:type="dxa" w:w="2621"/>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Objektverweise im Präsens („Table 3 displays …“)</w:t>
            </w:r>
          </w:p>
        </w:tc>
      </w:tr>
      <w:tr>
        <w:tc>
          <w:tcPr>
            <w:tcW w:type="dxa" w:w="187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Diskussion</w:t>
            </w:r>
          </w:p>
        </w:tc>
        <w:tc>
          <w:tcPr>
            <w:tcW w:type="dxa" w:w="4867"/>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Präteritum für eigene und fremde Befunde; Präsens für Relevanz, Mechanismus und Deutung</w:t>
            </w:r>
          </w:p>
        </w:tc>
        <w:tc>
          <w:tcPr>
            <w:tcW w:type="dxa" w:w="2621"/>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Erklärungsangebote stets mit Modalverb</w:t>
            </w:r>
          </w:p>
        </w:tc>
      </w:tr>
      <w:tr>
        <w:tc>
          <w:tcPr>
            <w:tcW w:type="dxa" w:w="187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Fazit / Praxis</w:t>
            </w:r>
          </w:p>
        </w:tc>
        <w:tc>
          <w:tcPr>
            <w:tcW w:type="dxa" w:w="4867"/>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Präsens für die Aussage, Modalverb für die Empfehlung</w:t>
            </w:r>
          </w:p>
        </w:tc>
        <w:tc>
          <w:tcPr>
            <w:tcW w:type="dxa" w:w="2621"/>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w:t>
            </w:r>
          </w:p>
        </w:tc>
      </w:tr>
    </w:tbl>
    <w:p>
      <w:pPr>
        <w:spacing w:after="180"/>
      </w:pPr>
    </w:p>
    <w:p>
      <w:pPr>
        <w:pStyle w:val="Heading1"/>
        <w:spacing w:after="140" w:before="360"/>
      </w:pPr>
      <w:r>
        <w:rPr>
          <w:rFonts w:ascii="Arial" w:cs="Arial" w:eastAsia="Arial" w:hAnsi="Arial"/>
          <w:b/>
          <w:bCs/>
          <w:color w:val="1F3864"/>
          <w:sz w:val="28"/>
          <w:szCs w:val="28"/>
        </w:rPr>
        <w:t xml:space="preserve">7  Wortzahlen</w:t>
      </w:r>
    </w:p>
    <w:p>
      <w:pPr>
        <w:spacing w:after="120" w:line="276"/>
      </w:pPr>
      <w:r>
        <w:rPr>
          <w:rFonts w:ascii="Arial" w:cs="Arial" w:eastAsia="Arial" w:hAnsi="Arial"/>
          <w:sz w:val="21"/>
          <w:szCs w:val="21"/>
        </w:rPr>
        <w:t xml:space="preserve">Zwei Zählungen, weil zwei Fragen dahinterstehen. Die erste ist die wörtliche Antwort auf die Frage nach dem Volltext: alles, was im PDF steht, einschließlich Titelei, Abstract, Tabelleninhalten, Nachspann und Literaturverzeichnis. Die zweite ist die für die eigene Arbeit entscheidende: der Absatztext von der Einleitung bis zum Fazit, ohne Vorspann, Objekte, Beschriftungen, Nachspann und Literaturverzeichnis — also derselbe Zuschnitt, den die Hartgrenze von 11.000 Wörtern für die Kapitel 1 bis 7 verwendet.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621"/>
        <w:gridCol w:w="1498"/>
      </w:tblGrid>
      <w:tr>
        <w:trPr>
          <w:tblHeader/>
        </w:trPr>
        <w:tc>
          <w:tcPr>
            <w:tcW w:type="dxa" w:w="3182"/>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Studie</w:t>
            </w:r>
          </w:p>
        </w:tc>
        <w:tc>
          <w:tcPr>
            <w:tcW w:type="dxa" w:w="2059"/>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PDF-Volltext</w:t>
            </w:r>
          </w:p>
        </w:tc>
        <w:tc>
          <w:tcPr>
            <w:tcW w:type="dxa" w:w="2621"/>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Absatztext Kap. 1–7</w:t>
            </w:r>
          </w:p>
        </w:tc>
        <w:tc>
          <w:tcPr>
            <w:tcW w:type="dxa" w:w="1498"/>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Seiten</w:t>
            </w:r>
          </w:p>
        </w:tc>
      </w:tr>
      <w:tr>
        <w:tc>
          <w:tcPr>
            <w:tcW w:type="dxa" w:w="318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Lloyd et al. (2016)</w:t>
            </w:r>
          </w:p>
        </w:tc>
        <w:tc>
          <w:tcPr>
            <w:tcW w:type="dxa" w:w="2059"/>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6.694</w:t>
            </w:r>
          </w:p>
        </w:tc>
        <w:tc>
          <w:tcPr>
            <w:tcW w:type="dxa" w:w="2621"/>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3.586</w:t>
            </w:r>
          </w:p>
        </w:tc>
        <w:tc>
          <w:tcPr>
            <w:tcW w:type="dxa" w:w="1498"/>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9</w:t>
            </w:r>
          </w:p>
        </w:tc>
      </w:tr>
      <w:tr>
        <w:tc>
          <w:tcPr>
            <w:tcW w:type="dxa" w:w="318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Hammami et al. (2016)</w:t>
            </w:r>
          </w:p>
        </w:tc>
        <w:tc>
          <w:tcPr>
            <w:tcW w:type="dxa" w:w="2059"/>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7.112</w:t>
            </w:r>
          </w:p>
        </w:tc>
        <w:tc>
          <w:tcPr>
            <w:tcW w:type="dxa" w:w="2621"/>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3.984</w:t>
            </w:r>
          </w:p>
        </w:tc>
        <w:tc>
          <w:tcPr>
            <w:tcW w:type="dxa" w:w="1498"/>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27</w:t>
            </w:r>
          </w:p>
        </w:tc>
      </w:tr>
      <w:tr>
        <w:tc>
          <w:tcPr>
            <w:tcW w:type="dxa" w:w="318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Beato et al. (2018)</w:t>
            </w:r>
          </w:p>
        </w:tc>
        <w:tc>
          <w:tcPr>
            <w:tcW w:type="dxa" w:w="2059"/>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5.872</w:t>
            </w:r>
          </w:p>
        </w:tc>
        <w:tc>
          <w:tcPr>
            <w:tcW w:type="dxa" w:w="2621"/>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3.525</w:t>
            </w:r>
          </w:p>
        </w:tc>
        <w:tc>
          <w:tcPr>
            <w:tcW w:type="dxa" w:w="1498"/>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23</w:t>
            </w:r>
          </w:p>
        </w:tc>
      </w:tr>
      <w:tr>
        <w:tc>
          <w:tcPr>
            <w:tcW w:type="dxa" w:w="318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Negra et al. (2019)</w:t>
            </w:r>
          </w:p>
        </w:tc>
        <w:tc>
          <w:tcPr>
            <w:tcW w:type="dxa" w:w="2059"/>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7.445</w:t>
            </w:r>
          </w:p>
        </w:tc>
        <w:tc>
          <w:tcPr>
            <w:tcW w:type="dxa" w:w="2621"/>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4.356</w:t>
            </w:r>
          </w:p>
        </w:tc>
        <w:tc>
          <w:tcPr>
            <w:tcW w:type="dxa" w:w="1498"/>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25</w:t>
            </w:r>
          </w:p>
        </w:tc>
      </w:tr>
      <w:tr>
        <w:tc>
          <w:tcPr>
            <w:tcW w:type="dxa" w:w="318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Negra et al. (2020)</w:t>
            </w:r>
          </w:p>
        </w:tc>
        <w:tc>
          <w:tcPr>
            <w:tcW w:type="dxa" w:w="2059"/>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6.975</w:t>
            </w:r>
          </w:p>
        </w:tc>
        <w:tc>
          <w:tcPr>
            <w:tcW w:type="dxa" w:w="2621"/>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4.256</w:t>
            </w:r>
          </w:p>
        </w:tc>
        <w:tc>
          <w:tcPr>
            <w:tcW w:type="dxa" w:w="1498"/>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8</w:t>
            </w:r>
          </w:p>
        </w:tc>
      </w:tr>
      <w:tr>
        <w:tc>
          <w:tcPr>
            <w:tcW w:type="dxa" w:w="318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Aloui et al. (2022)</w:t>
            </w:r>
          </w:p>
        </w:tc>
        <w:tc>
          <w:tcPr>
            <w:tcW w:type="dxa" w:w="2059"/>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7.458</w:t>
            </w:r>
          </w:p>
        </w:tc>
        <w:tc>
          <w:tcPr>
            <w:tcW w:type="dxa" w:w="2621"/>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3.383</w:t>
            </w:r>
          </w:p>
        </w:tc>
        <w:tc>
          <w:tcPr>
            <w:tcW w:type="dxa" w:w="1498"/>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9</w:t>
            </w:r>
          </w:p>
        </w:tc>
      </w:tr>
      <w:tr>
        <w:tc>
          <w:tcPr>
            <w:tcW w:type="dxa" w:w="318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Liu et al. (2024)</w:t>
            </w:r>
          </w:p>
        </w:tc>
        <w:tc>
          <w:tcPr>
            <w:tcW w:type="dxa" w:w="2059"/>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6.742</w:t>
            </w:r>
          </w:p>
        </w:tc>
        <w:tc>
          <w:tcPr>
            <w:tcW w:type="dxa" w:w="2621"/>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4.313</w:t>
            </w:r>
          </w:p>
        </w:tc>
        <w:tc>
          <w:tcPr>
            <w:tcW w:type="dxa" w:w="1498"/>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9</w:t>
            </w:r>
          </w:p>
        </w:tc>
      </w:tr>
      <w:tr>
        <w:tc>
          <w:tcPr>
            <w:tcW w:type="dxa" w:w="318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Moran et al. (2024)</w:t>
            </w:r>
          </w:p>
        </w:tc>
        <w:tc>
          <w:tcPr>
            <w:tcW w:type="dxa" w:w="2059"/>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6.220</w:t>
            </w:r>
          </w:p>
        </w:tc>
        <w:tc>
          <w:tcPr>
            <w:tcW w:type="dxa" w:w="2621"/>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3.983</w:t>
            </w:r>
          </w:p>
        </w:tc>
        <w:tc>
          <w:tcPr>
            <w:tcW w:type="dxa" w:w="1498"/>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12</w:t>
            </w:r>
          </w:p>
        </w:tc>
      </w:tr>
      <w:tr>
        <w:tc>
          <w:tcPr>
            <w:tcW w:type="dxa" w:w="318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Sammoud et al. (2024)</w:t>
            </w:r>
          </w:p>
        </w:tc>
        <w:tc>
          <w:tcPr>
            <w:tcW w:type="dxa" w:w="2059"/>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7.874</w:t>
            </w:r>
          </w:p>
        </w:tc>
        <w:tc>
          <w:tcPr>
            <w:tcW w:type="dxa" w:w="2621"/>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4.571</w:t>
            </w:r>
          </w:p>
        </w:tc>
        <w:tc>
          <w:tcPr>
            <w:tcW w:type="dxa" w:w="1498"/>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11</w:t>
            </w:r>
          </w:p>
        </w:tc>
      </w:tr>
      <w:tr>
        <w:tc>
          <w:tcPr>
            <w:tcW w:type="dxa" w:w="318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Bouafif et al. (2026)</w:t>
            </w:r>
          </w:p>
        </w:tc>
        <w:tc>
          <w:tcPr>
            <w:tcW w:type="dxa" w:w="2059"/>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7.849</w:t>
            </w:r>
          </w:p>
        </w:tc>
        <w:tc>
          <w:tcPr>
            <w:tcW w:type="dxa" w:w="2621"/>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5.448</w:t>
            </w:r>
          </w:p>
        </w:tc>
        <w:tc>
          <w:tcPr>
            <w:tcW w:type="dxa" w:w="1498"/>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15</w:t>
            </w:r>
          </w:p>
        </w:tc>
      </w:tr>
      <w:tr>
        <w:tc>
          <w:tcPr>
            <w:tcW w:type="dxa" w:w="318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Padrón-Cabo et al. (2025)</w:t>
            </w:r>
          </w:p>
        </w:tc>
        <w:tc>
          <w:tcPr>
            <w:tcW w:type="dxa" w:w="2059"/>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5.902</w:t>
            </w:r>
          </w:p>
        </w:tc>
        <w:tc>
          <w:tcPr>
            <w:tcW w:type="dxa" w:w="2621"/>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3.995</w:t>
            </w:r>
          </w:p>
        </w:tc>
        <w:tc>
          <w:tcPr>
            <w:tcW w:type="dxa" w:w="1498"/>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6</w:t>
            </w:r>
          </w:p>
        </w:tc>
      </w:tr>
      <w:tr>
        <w:tc>
          <w:tcPr>
            <w:tcW w:type="dxa" w:w="318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MITTELWERT</w:t>
            </w:r>
          </w:p>
        </w:tc>
        <w:tc>
          <w:tcPr>
            <w:tcW w:type="dxa" w:w="2059"/>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6.922</w:t>
            </w:r>
          </w:p>
        </w:tc>
        <w:tc>
          <w:tcPr>
            <w:tcW w:type="dxa" w:w="2621"/>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4.127</w:t>
            </w:r>
          </w:p>
        </w:tc>
        <w:tc>
          <w:tcPr>
            <w:tcW w:type="dxa" w:w="149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w:t>
            </w:r>
          </w:p>
        </w:tc>
      </w:tr>
      <w:tr>
        <w:tc>
          <w:tcPr>
            <w:tcW w:type="dxa" w:w="318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Median</w:t>
            </w:r>
          </w:p>
        </w:tc>
        <w:tc>
          <w:tcPr>
            <w:tcW w:type="dxa" w:w="2059"/>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6.975</w:t>
            </w:r>
          </w:p>
        </w:tc>
        <w:tc>
          <w:tcPr>
            <w:tcW w:type="dxa" w:w="2621"/>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3.995</w:t>
            </w:r>
          </w:p>
        </w:tc>
        <w:tc>
          <w:tcPr>
            <w:tcW w:type="dxa" w:w="149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w:t>
            </w:r>
          </w:p>
        </w:tc>
      </w:tr>
      <w:tr>
        <w:tc>
          <w:tcPr>
            <w:tcW w:type="dxa" w:w="3182"/>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Standardabweichung</w:t>
            </w:r>
          </w:p>
        </w:tc>
        <w:tc>
          <w:tcPr>
            <w:tcW w:type="dxa" w:w="2059"/>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711</w:t>
            </w:r>
          </w:p>
        </w:tc>
        <w:tc>
          <w:tcPr>
            <w:tcW w:type="dxa" w:w="2621"/>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576</w:t>
            </w:r>
          </w:p>
        </w:tc>
        <w:tc>
          <w:tcPr>
            <w:tcW w:type="dxa" w:w="149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w:t>
            </w:r>
          </w:p>
        </w:tc>
      </w:tr>
      <w:tr>
        <w:tc>
          <w:tcPr>
            <w:tcW w:type="dxa" w:w="3182"/>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Spanne</w:t>
            </w:r>
          </w:p>
        </w:tc>
        <w:tc>
          <w:tcPr>
            <w:tcW w:type="dxa" w:w="2059"/>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5.872 – 7.874</w:t>
            </w:r>
          </w:p>
        </w:tc>
        <w:tc>
          <w:tcPr>
            <w:tcW w:type="dxa" w:w="2621"/>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3.383 – 5.448</w:t>
            </w:r>
          </w:p>
        </w:tc>
        <w:tc>
          <w:tcPr>
            <w:tcW w:type="dxa" w:w="149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w:t>
            </w:r>
          </w:p>
        </w:tc>
      </w:tr>
    </w:tbl>
    <w:p>
      <w:pPr>
        <w:pBdr>
          <w:left w:val="single" w:color="1F3864" w:sz="18" w:space="8"/>
        </w:pBdr>
        <w:shd w:fill="EEF3F9" w:val="clear"/>
        <w:spacing w:after="160" w:before="120" w:line="276"/>
      </w:pPr>
      <w:r>
        <w:rPr>
          <w:rFonts w:ascii="Arial" w:cs="Arial" w:eastAsia="Arial" w:hAnsi="Arial"/>
          <w:color w:val="333333"/>
          <w:sz w:val="20"/>
          <w:szCs w:val="20"/>
        </w:rPr>
        <w:t xml:space="preserve">Zur Lesart. Der Mittelwert des PDF-Volltexts über alle elf Studien beträgt 6.922 Wörter. Die Seitenzahlen sind nicht vergleichbar: Drei Studien liegen als Autorenmanuskript vor (Hammami 27, Beato 23, Negra 2019 25 Seiten), mit einspaltigem Satz, doppeltem Zeilenabstand und Tabellen am Dokumentende — dieselbe Wortmenge auf dem Dreifachen der Fläche. Vergleichbar sind allein die Wortzahlen.</w:t>
      </w:r>
    </w:p>
    <w:p>
      <w:pPr>
        <w:spacing w:after="120" w:line="276"/>
      </w:pPr>
      <w:r>
        <w:rPr>
          <w:rFonts w:ascii="Arial" w:cs="Arial" w:eastAsia="Arial" w:hAnsi="Arial"/>
          <w:sz w:val="21"/>
          <w:szCs w:val="21"/>
        </w:rPr>
        <w:t xml:space="preserve">Die Verteilung auf die Kapitel, gemessen an den acht Studien mit intakter Lesereihenfolge: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040"/>
        <w:gridCol w:w="1387"/>
        <w:gridCol w:w="1127"/>
        <w:gridCol w:w="1127"/>
        <w:gridCol w:w="1387"/>
        <w:gridCol w:w="1213"/>
      </w:tblGrid>
      <w:tr>
        <w:trPr>
          <w:tblHeader/>
        </w:trPr>
        <w:tc>
          <w:tcPr>
            <w:tcW w:type="dxa" w:w="2080"/>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Studie</w:t>
            </w:r>
          </w:p>
        </w:tc>
        <w:tc>
          <w:tcPr>
            <w:tcW w:type="dxa" w:w="1040"/>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Einl.</w:t>
            </w:r>
          </w:p>
        </w:tc>
        <w:tc>
          <w:tcPr>
            <w:tcW w:type="dxa" w:w="1387"/>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Methodik</w:t>
            </w:r>
          </w:p>
        </w:tc>
        <w:tc>
          <w:tcPr>
            <w:tcW w:type="dxa" w:w="1127"/>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Ergebn.</w:t>
            </w:r>
          </w:p>
        </w:tc>
        <w:tc>
          <w:tcPr>
            <w:tcW w:type="dxa" w:w="1127"/>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Disk.</w:t>
            </w:r>
          </w:p>
        </w:tc>
        <w:tc>
          <w:tcPr>
            <w:tcW w:type="dxa" w:w="1387"/>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Praxis/Fazit</w:t>
            </w:r>
          </w:p>
        </w:tc>
        <w:tc>
          <w:tcPr>
            <w:tcW w:type="dxa" w:w="1213"/>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Σ</w:t>
            </w:r>
          </w:p>
        </w:tc>
      </w:tr>
      <w:tr>
        <w:tc>
          <w:tcPr>
            <w:tcW w:type="dxa" w:w="208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Lloyd 2016</w:t>
            </w:r>
          </w:p>
        </w:tc>
        <w:tc>
          <w:tcPr>
            <w:tcW w:type="dxa" w:w="104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523</w:t>
            </w:r>
          </w:p>
        </w:tc>
        <w:tc>
          <w:tcPr>
            <w:tcW w:type="dxa" w:w="138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1.761</w:t>
            </w:r>
          </w:p>
        </w:tc>
        <w:tc>
          <w:tcPr>
            <w:tcW w:type="dxa" w:w="112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138</w:t>
            </w:r>
          </w:p>
        </w:tc>
        <w:tc>
          <w:tcPr>
            <w:tcW w:type="dxa" w:w="112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1.051</w:t>
            </w:r>
          </w:p>
        </w:tc>
        <w:tc>
          <w:tcPr>
            <w:tcW w:type="dxa" w:w="138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167</w:t>
            </w:r>
          </w:p>
        </w:tc>
        <w:tc>
          <w:tcPr>
            <w:tcW w:type="dxa" w:w="1213"/>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3.640</w:t>
            </w:r>
          </w:p>
        </w:tc>
      </w:tr>
      <w:tr>
        <w:tc>
          <w:tcPr>
            <w:tcW w:type="dxa" w:w="208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Negra 2019</w:t>
            </w:r>
          </w:p>
        </w:tc>
        <w:tc>
          <w:tcPr>
            <w:tcW w:type="dxa" w:w="104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821</w:t>
            </w:r>
          </w:p>
        </w:tc>
        <w:tc>
          <w:tcPr>
            <w:tcW w:type="dxa" w:w="138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1.633</w:t>
            </w:r>
          </w:p>
        </w:tc>
        <w:tc>
          <w:tcPr>
            <w:tcW w:type="dxa" w:w="112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281</w:t>
            </w:r>
          </w:p>
        </w:tc>
        <w:tc>
          <w:tcPr>
            <w:tcW w:type="dxa" w:w="112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1.368</w:t>
            </w:r>
          </w:p>
        </w:tc>
        <w:tc>
          <w:tcPr>
            <w:tcW w:type="dxa" w:w="138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228</w:t>
            </w:r>
          </w:p>
        </w:tc>
        <w:tc>
          <w:tcPr>
            <w:tcW w:type="dxa" w:w="1213"/>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4.331</w:t>
            </w:r>
          </w:p>
        </w:tc>
      </w:tr>
      <w:tr>
        <w:tc>
          <w:tcPr>
            <w:tcW w:type="dxa" w:w="208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Negra 2020</w:t>
            </w:r>
          </w:p>
        </w:tc>
        <w:tc>
          <w:tcPr>
            <w:tcW w:type="dxa" w:w="104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532</w:t>
            </w:r>
          </w:p>
        </w:tc>
        <w:tc>
          <w:tcPr>
            <w:tcW w:type="dxa" w:w="138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1.824</w:t>
            </w:r>
          </w:p>
        </w:tc>
        <w:tc>
          <w:tcPr>
            <w:tcW w:type="dxa" w:w="112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187</w:t>
            </w:r>
          </w:p>
        </w:tc>
        <w:tc>
          <w:tcPr>
            <w:tcW w:type="dxa" w:w="112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1.713</w:t>
            </w:r>
          </w:p>
        </w:tc>
        <w:tc>
          <w:tcPr>
            <w:tcW w:type="dxa" w:w="138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273</w:t>
            </w:r>
          </w:p>
        </w:tc>
        <w:tc>
          <w:tcPr>
            <w:tcW w:type="dxa" w:w="1213"/>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4.529</w:t>
            </w:r>
          </w:p>
        </w:tc>
      </w:tr>
      <w:tr>
        <w:tc>
          <w:tcPr>
            <w:tcW w:type="dxa" w:w="208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Liu 2024</w:t>
            </w:r>
          </w:p>
        </w:tc>
        <w:tc>
          <w:tcPr>
            <w:tcW w:type="dxa" w:w="104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668</w:t>
            </w:r>
          </w:p>
        </w:tc>
        <w:tc>
          <w:tcPr>
            <w:tcW w:type="dxa" w:w="138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1.584</w:t>
            </w:r>
          </w:p>
        </w:tc>
        <w:tc>
          <w:tcPr>
            <w:tcW w:type="dxa" w:w="112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341</w:t>
            </w:r>
          </w:p>
        </w:tc>
        <w:tc>
          <w:tcPr>
            <w:tcW w:type="dxa" w:w="112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1.554</w:t>
            </w:r>
          </w:p>
        </w:tc>
        <w:tc>
          <w:tcPr>
            <w:tcW w:type="dxa" w:w="138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166</w:t>
            </w:r>
          </w:p>
        </w:tc>
        <w:tc>
          <w:tcPr>
            <w:tcW w:type="dxa" w:w="1213"/>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4.313</w:t>
            </w:r>
          </w:p>
        </w:tc>
      </w:tr>
      <w:tr>
        <w:tc>
          <w:tcPr>
            <w:tcW w:type="dxa" w:w="208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Moran 2024</w:t>
            </w:r>
          </w:p>
        </w:tc>
        <w:tc>
          <w:tcPr>
            <w:tcW w:type="dxa" w:w="104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507</w:t>
            </w:r>
          </w:p>
        </w:tc>
        <w:tc>
          <w:tcPr>
            <w:tcW w:type="dxa" w:w="138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1.565</w:t>
            </w:r>
          </w:p>
        </w:tc>
        <w:tc>
          <w:tcPr>
            <w:tcW w:type="dxa" w:w="112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271</w:t>
            </w:r>
          </w:p>
        </w:tc>
        <w:tc>
          <w:tcPr>
            <w:tcW w:type="dxa" w:w="112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1.370</w:t>
            </w:r>
          </w:p>
        </w:tc>
        <w:tc>
          <w:tcPr>
            <w:tcW w:type="dxa" w:w="138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270</w:t>
            </w:r>
          </w:p>
        </w:tc>
        <w:tc>
          <w:tcPr>
            <w:tcW w:type="dxa" w:w="1213"/>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3.983</w:t>
            </w:r>
          </w:p>
        </w:tc>
      </w:tr>
      <w:tr>
        <w:tc>
          <w:tcPr>
            <w:tcW w:type="dxa" w:w="208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Sammoud 2024</w:t>
            </w:r>
          </w:p>
        </w:tc>
        <w:tc>
          <w:tcPr>
            <w:tcW w:type="dxa" w:w="104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643</w:t>
            </w:r>
          </w:p>
        </w:tc>
        <w:tc>
          <w:tcPr>
            <w:tcW w:type="dxa" w:w="138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1.881</w:t>
            </w:r>
          </w:p>
        </w:tc>
        <w:tc>
          <w:tcPr>
            <w:tcW w:type="dxa" w:w="112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237</w:t>
            </w:r>
          </w:p>
        </w:tc>
        <w:tc>
          <w:tcPr>
            <w:tcW w:type="dxa" w:w="112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1.611</w:t>
            </w:r>
          </w:p>
        </w:tc>
        <w:tc>
          <w:tcPr>
            <w:tcW w:type="dxa" w:w="138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199</w:t>
            </w:r>
          </w:p>
        </w:tc>
        <w:tc>
          <w:tcPr>
            <w:tcW w:type="dxa" w:w="1213"/>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4.571</w:t>
            </w:r>
          </w:p>
        </w:tc>
      </w:tr>
      <w:tr>
        <w:tc>
          <w:tcPr>
            <w:tcW w:type="dxa" w:w="208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Bouafif 2026</w:t>
            </w:r>
          </w:p>
        </w:tc>
        <w:tc>
          <w:tcPr>
            <w:tcW w:type="dxa" w:w="104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802</w:t>
            </w:r>
          </w:p>
        </w:tc>
        <w:tc>
          <w:tcPr>
            <w:tcW w:type="dxa" w:w="138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2.392</w:t>
            </w:r>
          </w:p>
        </w:tc>
        <w:tc>
          <w:tcPr>
            <w:tcW w:type="dxa" w:w="112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598</w:t>
            </w:r>
          </w:p>
        </w:tc>
        <w:tc>
          <w:tcPr>
            <w:tcW w:type="dxa" w:w="112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1.474</w:t>
            </w:r>
          </w:p>
        </w:tc>
        <w:tc>
          <w:tcPr>
            <w:tcW w:type="dxa" w:w="138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182</w:t>
            </w:r>
          </w:p>
        </w:tc>
        <w:tc>
          <w:tcPr>
            <w:tcW w:type="dxa" w:w="1213"/>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5.448</w:t>
            </w:r>
          </w:p>
        </w:tc>
      </w:tr>
      <w:tr>
        <w:tc>
          <w:tcPr>
            <w:tcW w:type="dxa" w:w="208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Padrón-Cabo 2025</w:t>
            </w:r>
          </w:p>
        </w:tc>
        <w:tc>
          <w:tcPr>
            <w:tcW w:type="dxa" w:w="1040"/>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524</w:t>
            </w:r>
          </w:p>
        </w:tc>
        <w:tc>
          <w:tcPr>
            <w:tcW w:type="dxa" w:w="138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1.470</w:t>
            </w:r>
          </w:p>
        </w:tc>
        <w:tc>
          <w:tcPr>
            <w:tcW w:type="dxa" w:w="112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636</w:t>
            </w:r>
          </w:p>
        </w:tc>
        <w:tc>
          <w:tcPr>
            <w:tcW w:type="dxa" w:w="112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1.187</w:t>
            </w:r>
          </w:p>
        </w:tc>
        <w:tc>
          <w:tcPr>
            <w:tcW w:type="dxa" w:w="1387"/>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178</w:t>
            </w:r>
          </w:p>
        </w:tc>
        <w:tc>
          <w:tcPr>
            <w:tcW w:type="dxa" w:w="1213"/>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3.995</w:t>
            </w:r>
          </w:p>
        </w:tc>
      </w:tr>
      <w:tr>
        <w:tc>
          <w:tcPr>
            <w:tcW w:type="dxa" w:w="2080"/>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MITTELWERT</w:t>
            </w:r>
          </w:p>
        </w:tc>
        <w:tc>
          <w:tcPr>
            <w:tcW w:type="dxa" w:w="1040"/>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628</w:t>
            </w:r>
          </w:p>
        </w:tc>
        <w:tc>
          <w:tcPr>
            <w:tcW w:type="dxa" w:w="138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1.764</w:t>
            </w:r>
          </w:p>
        </w:tc>
        <w:tc>
          <w:tcPr>
            <w:tcW w:type="dxa" w:w="112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336</w:t>
            </w:r>
          </w:p>
        </w:tc>
        <w:tc>
          <w:tcPr>
            <w:tcW w:type="dxa" w:w="112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1.416</w:t>
            </w:r>
          </w:p>
        </w:tc>
        <w:tc>
          <w:tcPr>
            <w:tcW w:type="dxa" w:w="1387"/>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208</w:t>
            </w:r>
          </w:p>
        </w:tc>
        <w:tc>
          <w:tcPr>
            <w:tcW w:type="dxa" w:w="1213"/>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4.352</w:t>
            </w:r>
          </w:p>
        </w:tc>
      </w:tr>
      <w:tr>
        <w:tc>
          <w:tcPr>
            <w:tcW w:type="dxa" w:w="208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ANTEIL</w:t>
            </w:r>
          </w:p>
        </w:tc>
        <w:tc>
          <w:tcPr>
            <w:tcW w:type="dxa" w:w="1040"/>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14 %</w:t>
            </w:r>
          </w:p>
        </w:tc>
        <w:tc>
          <w:tcPr>
            <w:tcW w:type="dxa" w:w="1387"/>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41 %</w:t>
            </w:r>
          </w:p>
        </w:tc>
        <w:tc>
          <w:tcPr>
            <w:tcW w:type="dxa" w:w="1127"/>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8 %</w:t>
            </w:r>
          </w:p>
        </w:tc>
        <w:tc>
          <w:tcPr>
            <w:tcW w:type="dxa" w:w="1127"/>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33 %</w:t>
            </w:r>
          </w:p>
        </w:tc>
        <w:tc>
          <w:tcPr>
            <w:tcW w:type="dxa" w:w="1387"/>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5 %</w:t>
            </w:r>
          </w:p>
        </w:tc>
        <w:tc>
          <w:tcPr>
            <w:tcW w:type="dxa" w:w="1213"/>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100 %</w:t>
            </w:r>
          </w:p>
        </w:tc>
      </w:tr>
    </w:tbl>
    <w:p>
      <w:pPr>
        <w:pStyle w:val="Heading2"/>
        <w:spacing w:after="140" w:before="260"/>
      </w:pPr>
      <w:r>
        <w:rPr>
          <w:rFonts w:ascii="Arial" w:cs="Arial" w:eastAsia="Arial" w:hAnsi="Arial"/>
          <w:b/>
          <w:bCs/>
          <w:color w:val="1F3864"/>
          <w:sz w:val="24"/>
          <w:szCs w:val="24"/>
        </w:rPr>
        <w:t xml:space="preserve">7.1  Was das für die eigene Arbeit bedeutet</w:t>
      </w:r>
    </w:p>
    <w:p>
      <w:pPr>
        <w:spacing w:after="120" w:line="276"/>
      </w:pPr>
      <w:r>
        <w:rPr>
          <w:rFonts w:ascii="Arial" w:cs="Arial" w:eastAsia="Arial" w:hAnsi="Arial"/>
          <w:b/>
          <w:bCs/>
          <w:sz w:val="21"/>
          <w:szCs w:val="21"/>
        </w:rPr>
        <w:t xml:space="preserve">Die Hartgrenze von 11.000 Wörtern ist das 2,7-Fache des Korpusmittels.</w:t>
      </w:r>
      <w:r>
        <w:rPr>
          <w:rFonts w:ascii="Arial" w:cs="Arial" w:eastAsia="Arial" w:hAnsi="Arial"/>
          <w:sz w:val="21"/>
          <w:szCs w:val="21"/>
        </w:rPr>
        <w:t xml:space="preserve"> Der Bauplan lässt sich also nicht maßstäblich übertragen — er muss skaliert werden, und zwar ungleichmäßig, weil das eigene Budget einen Theorieteil trägt, den keine der elf Studien 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498"/>
        <w:gridCol w:w="2059"/>
        <w:gridCol w:w="1498"/>
      </w:tblGrid>
      <w:tr>
        <w:trPr>
          <w:tblHeader/>
        </w:trPr>
        <w:tc>
          <w:tcPr>
            <w:tcW w:type="dxa" w:w="4306"/>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Abschnitt</w:t>
            </w:r>
          </w:p>
        </w:tc>
        <w:tc>
          <w:tcPr>
            <w:tcW w:type="dxa" w:w="1498"/>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Korpus (Mittel)</w:t>
            </w:r>
          </w:p>
        </w:tc>
        <w:tc>
          <w:tcPr>
            <w:tcW w:type="dxa" w:w="2059"/>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Eigenes Budget</w:t>
            </w:r>
          </w:p>
        </w:tc>
        <w:tc>
          <w:tcPr>
            <w:tcW w:type="dxa" w:w="1498"/>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Faktor</w:t>
            </w:r>
          </w:p>
        </w:tc>
      </w:tr>
      <w:tr>
        <w:tc>
          <w:tcPr>
            <w:tcW w:type="dxa" w:w="4306"/>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Einleitung</w:t>
            </w:r>
          </w:p>
        </w:tc>
        <w:tc>
          <w:tcPr>
            <w:tcW w:type="dxa" w:w="1498"/>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628</w:t>
            </w:r>
          </w:p>
        </w:tc>
        <w:tc>
          <w:tcPr>
            <w:tcW w:type="dxa" w:w="2059"/>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650</w:t>
            </w:r>
          </w:p>
        </w:tc>
        <w:tc>
          <w:tcPr>
            <w:tcW w:type="dxa" w:w="1498"/>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1,0</w:t>
            </w:r>
          </w:p>
        </w:tc>
      </w:tr>
      <w:tr>
        <w:tc>
          <w:tcPr>
            <w:tcW w:type="dxa" w:w="4306"/>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Theoretischer Hintergrund (Kap. 2)</w:t>
            </w:r>
          </w:p>
        </w:tc>
        <w:tc>
          <w:tcPr>
            <w:tcW w:type="dxa" w:w="149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w:t>
            </w:r>
          </w:p>
        </w:tc>
        <w:tc>
          <w:tcPr>
            <w:tcW w:type="dxa" w:w="2059"/>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3.250</w:t>
            </w:r>
          </w:p>
        </w:tc>
        <w:tc>
          <w:tcPr>
            <w:tcW w:type="dxa" w:w="1498"/>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w:t>
            </w:r>
          </w:p>
        </w:tc>
      </w:tr>
      <w:tr>
        <w:tc>
          <w:tcPr>
            <w:tcW w:type="dxa" w:w="4306"/>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Fragestellung und Hypothesen (Kap. 3)</w:t>
            </w:r>
          </w:p>
        </w:tc>
        <w:tc>
          <w:tcPr>
            <w:tcW w:type="dxa" w:w="149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w:t>
            </w:r>
          </w:p>
        </w:tc>
        <w:tc>
          <w:tcPr>
            <w:tcW w:type="dxa" w:w="2059"/>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300</w:t>
            </w:r>
          </w:p>
        </w:tc>
        <w:tc>
          <w:tcPr>
            <w:tcW w:type="dxa" w:w="1498"/>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w:t>
            </w:r>
          </w:p>
        </w:tc>
      </w:tr>
      <w:tr>
        <w:tc>
          <w:tcPr>
            <w:tcW w:type="dxa" w:w="4306"/>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Methodik (Kap. 4)</w:t>
            </w:r>
          </w:p>
        </w:tc>
        <w:tc>
          <w:tcPr>
            <w:tcW w:type="dxa" w:w="1498"/>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1.764</w:t>
            </w:r>
          </w:p>
        </w:tc>
        <w:tc>
          <w:tcPr>
            <w:tcW w:type="dxa" w:w="2059"/>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4.100</w:t>
            </w:r>
          </w:p>
        </w:tc>
        <w:tc>
          <w:tcPr>
            <w:tcW w:type="dxa" w:w="1498"/>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2,3</w:t>
            </w:r>
          </w:p>
        </w:tc>
      </w:tr>
      <w:tr>
        <w:tc>
          <w:tcPr>
            <w:tcW w:type="dxa" w:w="4306"/>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Ergebnisse (Kap. 5)</w:t>
            </w:r>
          </w:p>
        </w:tc>
        <w:tc>
          <w:tcPr>
            <w:tcW w:type="dxa" w:w="1498"/>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336</w:t>
            </w:r>
          </w:p>
        </w:tc>
        <w:tc>
          <w:tcPr>
            <w:tcW w:type="dxa" w:w="2059"/>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850</w:t>
            </w:r>
          </w:p>
        </w:tc>
        <w:tc>
          <w:tcPr>
            <w:tcW w:type="dxa" w:w="1498"/>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2,5</w:t>
            </w:r>
          </w:p>
        </w:tc>
      </w:tr>
      <w:tr>
        <w:tc>
          <w:tcPr>
            <w:tcW w:type="dxa" w:w="4306"/>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Diskussion (Kap. 6)</w:t>
            </w:r>
          </w:p>
        </w:tc>
        <w:tc>
          <w:tcPr>
            <w:tcW w:type="dxa" w:w="1498"/>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1.416</w:t>
            </w:r>
          </w:p>
        </w:tc>
        <w:tc>
          <w:tcPr>
            <w:tcW w:type="dxa" w:w="2059"/>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1.400 bis 1.550</w:t>
            </w:r>
          </w:p>
        </w:tc>
        <w:tc>
          <w:tcPr>
            <w:tcW w:type="dxa" w:w="1498"/>
            <w:shd w:fill="EEF3F9" w:val="clear"/>
            <w:tcMar>
              <w:top w:type="dxa" w:w="60"/>
              <w:left w:type="dxa" w:w="90"/>
              <w:bottom w:type="dxa" w:w="60"/>
              <w:right w:type="dxa" w:w="90"/>
            </w:tcMar>
          </w:tcPr>
          <w:p>
            <w:pPr>
              <w:spacing w:after="0" w:line="250"/>
              <w:jc w:val="right"/>
            </w:pPr>
            <w:r>
              <w:rPr>
                <w:rFonts w:ascii="Arial" w:cs="Arial" w:eastAsia="Arial" w:hAnsi="Arial"/>
                <w:sz w:val="19"/>
                <w:szCs w:val="19"/>
              </w:rPr>
              <w:t xml:space="preserve">1,0</w:t>
            </w:r>
          </w:p>
        </w:tc>
      </w:tr>
      <w:tr>
        <w:tc>
          <w:tcPr>
            <w:tcW w:type="dxa" w:w="4306"/>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Fazit (Kap. 7)</w:t>
            </w:r>
          </w:p>
        </w:tc>
        <w:tc>
          <w:tcPr>
            <w:tcW w:type="dxa" w:w="1498"/>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208</w:t>
            </w:r>
          </w:p>
        </w:tc>
        <w:tc>
          <w:tcPr>
            <w:tcW w:type="dxa" w:w="2059"/>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300</w:t>
            </w:r>
          </w:p>
        </w:tc>
        <w:tc>
          <w:tcPr>
            <w:tcW w:type="dxa" w:w="1498"/>
            <w:shd w:fill="FFFFFF" w:val="clear"/>
            <w:tcMar>
              <w:top w:type="dxa" w:w="60"/>
              <w:left w:type="dxa" w:w="90"/>
              <w:bottom w:type="dxa" w:w="60"/>
              <w:right w:type="dxa" w:w="90"/>
            </w:tcMar>
          </w:tcPr>
          <w:p>
            <w:pPr>
              <w:spacing w:after="0" w:line="250"/>
              <w:jc w:val="right"/>
            </w:pPr>
            <w:r>
              <w:rPr>
                <w:rFonts w:ascii="Arial" w:cs="Arial" w:eastAsia="Arial" w:hAnsi="Arial"/>
                <w:sz w:val="19"/>
                <w:szCs w:val="19"/>
              </w:rPr>
              <w:t xml:space="preserve">1,4</w:t>
            </w:r>
          </w:p>
        </w:tc>
      </w:tr>
    </w:tbl>
    <w:p>
      <w:pPr>
        <w:spacing w:after="120" w:line="276"/>
      </w:pPr>
      <w:r>
        <w:rPr>
          <w:rFonts w:ascii="Arial" w:cs="Arial" w:eastAsia="Arial" w:hAnsi="Arial"/>
          <w:sz w:val="21"/>
          <w:szCs w:val="21"/>
        </w:rPr>
        <w:t xml:space="preserve">Kapitel 2 und 3 haben im Korpus keine Entsprechung: Theorie und Hypothesen stecken dort in der Einleitung, weshalb für sie kein Faktor angegeben werden kann. Drei Schlüsse daraus:</w:t>
      </w:r>
    </w:p>
    <w:p>
      <w:pPr>
        <w:pStyle w:val="ListParagraph"/>
        <w:numPr>
          <w:ilvl w:val="0"/>
          <w:numId w:val="1"/>
        </w:numPr>
        <w:spacing w:after="70" w:line="276"/>
      </w:pPr>
      <w:r>
        <w:rPr>
          <w:rFonts w:ascii="Arial" w:cs="Arial" w:eastAsia="Arial" w:hAnsi="Arial"/>
          <w:b/>
          <w:bCs/>
          <w:sz w:val="21"/>
          <w:szCs w:val="21"/>
        </w:rPr>
        <w:t xml:space="preserve">Die Diskussion liegt bereits auf Korpusniveau. </w:t>
      </w:r>
      <w:r>
        <w:rPr>
          <w:rFonts w:ascii="Arial" w:cs="Arial" w:eastAsia="Arial" w:hAnsi="Arial"/>
          <w:sz w:val="21"/>
          <w:szCs w:val="21"/>
        </w:rPr>
        <w:t xml:space="preserve">Mit 1.400 bis 1.550 Wörtern entspricht Kapitel 6 exakt dem Korpusmittel von 1.416 — bei einer Arbeit, die deutlich mehr Limitationen zu tragen hat als jede Studie des Korpus. Der Spielraum liegt hier nicht in der Länge, sondern in der Bündelung: acht Limitationsgruppen statt 27 Einzelpunkten, jede nach dem Korpusmuster „Limitation → Konsequenz → Forschungsempfehlung“ in ein bis zwei Sätzen.</w:t>
      </w:r>
    </w:p>
    <w:p>
      <w:pPr>
        <w:pStyle w:val="ListParagraph"/>
        <w:numPr>
          <w:ilvl w:val="0"/>
          <w:numId w:val="1"/>
        </w:numPr>
        <w:spacing w:after="70" w:line="276"/>
      </w:pPr>
      <w:r>
        <w:rPr>
          <w:rFonts w:ascii="Arial" w:cs="Arial" w:eastAsia="Arial" w:hAnsi="Arial"/>
          <w:b/>
          <w:bCs/>
          <w:sz w:val="21"/>
          <w:szCs w:val="21"/>
        </w:rPr>
        <w:t xml:space="preserve">Der Ergebnisteil darf nicht mitwachsen. </w:t>
      </w:r>
      <w:r>
        <w:rPr>
          <w:rFonts w:ascii="Arial" w:cs="Arial" w:eastAsia="Arial" w:hAnsi="Arial"/>
          <w:sz w:val="21"/>
          <w:szCs w:val="21"/>
        </w:rPr>
        <w:t xml:space="preserve">Das eigene Budget gibt Kapitel 5 mit 850 Wörtern das 2,5-Fache des Korpusmittels — angemessen, weil drei konfirmatorische Zielgrößen plus Teilnehmerfluss, Adhärenz und Ausgangswerte zu berichten sind. Es ist aber kein Freibrief: Die drei Korpusregeln (nicht zitieren, nicht deuten, Zahlen in die Objekte) gelten unverändert, und sie sind zugleich das wirksamste Sparinstrument.</w:t>
      </w:r>
    </w:p>
    <w:p>
      <w:pPr>
        <w:pStyle w:val="ListParagraph"/>
        <w:numPr>
          <w:ilvl w:val="0"/>
          <w:numId w:val="1"/>
        </w:numPr>
        <w:spacing w:after="70" w:line="276"/>
      </w:pPr>
      <w:r>
        <w:rPr>
          <w:rFonts w:ascii="Arial" w:cs="Arial" w:eastAsia="Arial" w:hAnsi="Arial"/>
          <w:b/>
          <w:bCs/>
          <w:sz w:val="21"/>
          <w:szCs w:val="21"/>
        </w:rPr>
        <w:t xml:space="preserve">Der Methodikteil ist im Korpus wie im eigenen Budget der größte Posten. </w:t>
      </w:r>
      <w:r>
        <w:rPr>
          <w:rFonts w:ascii="Arial" w:cs="Arial" w:eastAsia="Arial" w:hAnsi="Arial"/>
          <w:sz w:val="21"/>
          <w:szCs w:val="21"/>
        </w:rPr>
        <w:t xml:space="preserve">41 % dort, rund 37 % hier. Das Verhältnis stimmt; die Kürzung liegt zu Recht in Kapitel 2, für das der Korpus keine Entsprechung und die Berichtsstandards keine Mindestangabe kennen.</w:t>
      </w:r>
    </w:p>
    <w:p>
      <w:pPr>
        <w:spacing w:after="180"/>
      </w:pPr>
    </w:p>
    <w:p>
      <w:pPr>
        <w:pStyle w:val="Heading1"/>
        <w:spacing w:after="140" w:before="360"/>
      </w:pPr>
      <w:r>
        <w:rPr>
          <w:rFonts w:ascii="Arial" w:cs="Arial" w:eastAsia="Arial" w:hAnsi="Arial"/>
          <w:b/>
          <w:bCs/>
          <w:color w:val="1F3864"/>
          <w:sz w:val="28"/>
          <w:szCs w:val="28"/>
        </w:rPr>
        <w:t xml:space="preserve">8  Was aus dem Korpus nicht zu übernehmen ist</w:t>
      </w:r>
    </w:p>
    <w:p>
      <w:pPr>
        <w:spacing w:after="120" w:line="276"/>
      </w:pPr>
      <w:r>
        <w:rPr>
          <w:rFonts w:ascii="Arial" w:cs="Arial" w:eastAsia="Arial" w:hAnsi="Arial"/>
          <w:sz w:val="21"/>
          <w:szCs w:val="21"/>
        </w:rPr>
        <w:t xml:space="preserve">Beim Lesen sind mehrere Bauformen aufgefallen, die im Korpus vorkommen und trotzdem keine Vorbilder sind. Sie sind hier vermerkt, damit sie nicht versehentlich mit dem Bauplan mitkommen.</w:t>
      </w:r>
    </w:p>
    <w:p>
      <w:pPr>
        <w:pStyle w:val="ListParagraph"/>
        <w:numPr>
          <w:ilvl w:val="0"/>
          <w:numId w:val="1"/>
        </w:numPr>
        <w:spacing w:after="70" w:line="276"/>
      </w:pPr>
      <w:r>
        <w:rPr>
          <w:rFonts w:ascii="Arial" w:cs="Arial" w:eastAsia="Arial" w:hAnsi="Arial"/>
          <w:sz w:val="21"/>
          <w:szCs w:val="21"/>
        </w:rPr>
        <w:t xml:space="preserve">Testbeschreibung durch Verweis auf frühere eigene Arbeiten ersetzen (Aloui). Die Studie ist damit ohne drei weitere Aufsätze nicht replizierbar. TIDieR und die Replizierbarkeitsforderung schließen das für die eigene Arbeit aus.</w:t>
      </w:r>
    </w:p>
    <w:p>
      <w:pPr>
        <w:pStyle w:val="ListParagraph"/>
        <w:numPr>
          <w:ilvl w:val="0"/>
          <w:numId w:val="1"/>
        </w:numPr>
        <w:spacing w:after="70" w:line="276"/>
      </w:pPr>
      <w:r>
        <w:rPr>
          <w:rFonts w:ascii="Arial" w:cs="Arial" w:eastAsia="Arial" w:hAnsi="Arial"/>
          <w:sz w:val="21"/>
          <w:szCs w:val="21"/>
        </w:rPr>
        <w:t xml:space="preserve">Fehlender Limitationsteil (Lloyd, Negra 2020). Beide Arbeiten verteilen Einschränkungen als Erklärungssätze für Nullbefunde über die Diskussion; gebündelt erscheinen sie nirgends.</w:t>
      </w:r>
    </w:p>
    <w:p>
      <w:pPr>
        <w:pStyle w:val="ListParagraph"/>
        <w:numPr>
          <w:ilvl w:val="0"/>
          <w:numId w:val="1"/>
        </w:numPr>
        <w:spacing w:after="70" w:line="276"/>
      </w:pPr>
      <w:r>
        <w:rPr>
          <w:rFonts w:ascii="Arial" w:cs="Arial" w:eastAsia="Arial" w:hAnsi="Arial"/>
          <w:sz w:val="21"/>
          <w:szCs w:val="21"/>
        </w:rPr>
        <w:t xml:space="preserve">Hypothese erst in der Diskussion nachreichen (Moran). Die Erwartung wird retrospektiv formuliert — genau die Bauform, die der eigene Grundsatz „Antrag vor Optimierung“ ausschließt.</w:t>
      </w:r>
    </w:p>
    <w:p>
      <w:pPr>
        <w:pStyle w:val="ListParagraph"/>
        <w:numPr>
          <w:ilvl w:val="0"/>
          <w:numId w:val="1"/>
        </w:numPr>
        <w:spacing w:after="70" w:line="276"/>
      </w:pPr>
      <w:r>
        <w:rPr>
          <w:rFonts w:ascii="Arial" w:cs="Arial" w:eastAsia="Arial" w:hAnsi="Arial"/>
          <w:sz w:val="21"/>
          <w:szCs w:val="21"/>
        </w:rPr>
        <w:t xml:space="preserve">Inferenzstatistische Prüfung der Baseline-Gleichheit (mehrere Studien). CONSORT Item 15 widerspricht dem ausdrücklich; die eigene Begründung dafür steht bereits in den Projektanweisungen § 4.</w:t>
      </w:r>
    </w:p>
    <w:p>
      <w:pPr>
        <w:pStyle w:val="ListParagraph"/>
        <w:numPr>
          <w:ilvl w:val="0"/>
          <w:numId w:val="1"/>
        </w:numPr>
        <w:spacing w:after="70" w:line="276"/>
      </w:pPr>
      <w:r>
        <w:rPr>
          <w:rFonts w:ascii="Arial" w:cs="Arial" w:eastAsia="Arial" w:hAnsi="Arial"/>
          <w:sz w:val="21"/>
          <w:szCs w:val="21"/>
        </w:rPr>
        <w:t xml:space="preserve">Wörtliche Doppelung von Methodenangaben in zwei Abschnitten (Hammami, Beato) und, bei Hammami, einander widersprechende Angaben zur Zahl der Testtage. Bei einem Methodikteil von 4.100 Wörtern ist das ein reales Risiko.</w:t>
      </w:r>
    </w:p>
    <w:p>
      <w:pPr>
        <w:pStyle w:val="ListParagraph"/>
        <w:numPr>
          <w:ilvl w:val="0"/>
          <w:numId w:val="1"/>
        </w:numPr>
        <w:spacing w:after="70" w:line="276"/>
      </w:pPr>
      <w:r>
        <w:rPr>
          <w:rFonts w:ascii="Arial" w:cs="Arial" w:eastAsia="Arial" w:hAnsi="Arial"/>
          <w:sz w:val="21"/>
          <w:szCs w:val="21"/>
        </w:rPr>
        <w:t xml:space="preserve">Objektverweise auf nicht vorhandene Objekte und Beschriftungsfehler (Beato verweist auf „Tables 1 and 2“, gedruckt ist eine; Sammoud verweist auf Tabelle 1, gemeint ist Tabelle 2; die Ergebnistabelle bei Lloyd nennt im Titel nur eine von zwei enthaltenen Subgruppen). Vor der Abgabe ist jeder Objektverweis gegen das Objekt zu prüfen.</w:t>
      </w:r>
    </w:p>
    <w:p>
      <w:pPr>
        <w:pStyle w:val="ListParagraph"/>
        <w:numPr>
          <w:ilvl w:val="0"/>
          <w:numId w:val="1"/>
        </w:numPr>
        <w:spacing w:after="70" w:line="276"/>
      </w:pPr>
      <w:r>
        <w:rPr>
          <w:rFonts w:ascii="Arial" w:cs="Arial" w:eastAsia="Arial" w:hAnsi="Arial"/>
          <w:sz w:val="21"/>
          <w:szCs w:val="21"/>
        </w:rPr>
        <w:t xml:space="preserve">Flussdiagramm im Methodikteil statt im Ergebnisteil (drei der vier Studien mit Flussdiagramm). CONSORT Item 13a verankert es im Ergebnisteil; die eigene Gliederung tut das richtig (Abb. 1 in 5.1).</w:t>
      </w:r>
    </w:p>
    <w:p>
      <w:pPr>
        <w:spacing w:after="180"/>
      </w:pPr>
    </w:p>
    <w:p>
      <w:pPr>
        <w:pStyle w:val="Heading1"/>
        <w:spacing w:after="140" w:before="360"/>
      </w:pPr>
      <w:r>
        <w:rPr>
          <w:rFonts w:ascii="Arial" w:cs="Arial" w:eastAsia="Arial" w:hAnsi="Arial"/>
          <w:b/>
          <w:bCs/>
          <w:color w:val="1F3864"/>
          <w:sz w:val="28"/>
          <w:szCs w:val="28"/>
        </w:rPr>
        <w:t xml:space="preserve">9  Abgleich mit der eigenen Gliederung v3</w:t>
      </w:r>
    </w:p>
    <w:p>
      <w:pPr>
        <w:spacing w:after="120" w:line="276"/>
      </w:pPr>
      <w:r>
        <w:rPr>
          <w:rFonts w:ascii="Arial" w:cs="Arial" w:eastAsia="Arial" w:hAnsi="Arial"/>
          <w:sz w:val="21"/>
          <w:szCs w:val="21"/>
        </w:rPr>
        <w:t xml:space="preserve">Die Gliederung v3 weicht an vier Stellen bewusst vom Korpus ab. Alle vier Abweichungen sind gedeckt, drei davon durch Vorgaben, die über dem Korpus stehen.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Eigene Entscheidung</w:t>
            </w:r>
          </w:p>
        </w:tc>
        <w:tc>
          <w:tcPr>
            <w:tcW w:type="dxa" w:w="2995"/>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Korpusbefund</w:t>
            </w:r>
          </w:p>
        </w:tc>
        <w:tc>
          <w:tcPr>
            <w:tcW w:type="dxa" w:w="3744"/>
            <w:shd w:fill="D6E4F0" w:val="clear"/>
            <w:tcMar>
              <w:top w:type="dxa" w:w="60"/>
              <w:left w:type="dxa" w:w="90"/>
              <w:bottom w:type="dxa" w:w="60"/>
              <w:right w:type="dxa" w:w="90"/>
            </w:tcMar>
          </w:tcPr>
          <w:p>
            <w:pPr>
              <w:spacing w:after="0" w:line="250"/>
            </w:pPr>
            <w:r>
              <w:rPr>
                <w:rFonts w:ascii="Arial" w:cs="Arial" w:eastAsia="Arial" w:hAnsi="Arial"/>
                <w:b/>
                <w:bCs/>
                <w:color w:val="1F3864"/>
                <w:sz w:val="19"/>
                <w:szCs w:val="19"/>
              </w:rPr>
              <w:t xml:space="preserve">Bewertung</w:t>
            </w:r>
          </w:p>
        </w:tc>
      </w:tr>
      <w:tr>
        <w:tc>
          <w:tcPr>
            <w:tcW w:type="dxa" w:w="2621"/>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Eigenes Kapitel 2 (Theoretischer Hintergrund) vor der Methodik</w:t>
            </w:r>
          </w:p>
        </w:tc>
        <w:tc>
          <w:tcPr>
            <w:tcW w:type="dxa" w:w="2995"/>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Kein Vorbild — der Korpus erledigt die Theorie in der Einleitung</w:t>
            </w:r>
          </w:p>
        </w:tc>
        <w:tc>
          <w:tcPr>
            <w:tcW w:type="dxa" w:w="3744"/>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Deckung: Vorgabe für Abschlussarbeiten, nicht für Zeitschriftenartikel. Der Korpus gibt hier keinen Maßstab, weder für Aufbau noch für Umfang.</w:t>
            </w:r>
          </w:p>
        </w:tc>
      </w:tr>
      <w:tr>
        <w:tc>
          <w:tcPr>
            <w:tcW w:type="dxa" w:w="2621"/>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Kapitel 3 als eigenes Kapitel für Fragestellung und Hypothesen</w:t>
            </w:r>
          </w:p>
        </w:tc>
        <w:tc>
          <w:tcPr>
            <w:tcW w:type="dxa" w:w="2995"/>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Kein Vorbild — im Korpus der letzte Einleitungsabsatz</w:t>
            </w:r>
          </w:p>
        </w:tc>
        <w:tc>
          <w:tcPr>
            <w:tcW w:type="dxa" w:w="3744"/>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Deckung wie oben. Die Bauform des Absatzes (Lücke → Zweck → Hypothese) ist aus dem Korpus übertragbar.</w:t>
            </w:r>
          </w:p>
        </w:tc>
      </w:tr>
      <w:tr>
        <w:tc>
          <w:tcPr>
            <w:tcW w:type="dxa" w:w="2621"/>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Abschnitt 6.2 mit eigener Überschrift für Stärken und Limitationen</w:t>
            </w:r>
          </w:p>
        </w:tc>
        <w:tc>
          <w:tcPr>
            <w:tcW w:type="dxa" w:w="2995"/>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Nur eine von elf Studien gibt dem Teil eine Überschrift</w:t>
            </w:r>
          </w:p>
        </w:tc>
        <w:tc>
          <w:tcPr>
            <w:tcW w:type="dxa" w:w="3744"/>
            <w:shd w:fill="FFFFFF" w:val="clear"/>
            <w:tcMar>
              <w:top w:type="dxa" w:w="60"/>
              <w:left w:type="dxa" w:w="90"/>
              <w:bottom w:type="dxa" w:w="60"/>
              <w:right w:type="dxa" w:w="90"/>
            </w:tcMar>
          </w:tcPr>
          <w:p>
            <w:pPr>
              <w:spacing w:after="0" w:line="250"/>
            </w:pPr>
            <w:r>
              <w:rPr>
                <w:rFonts w:ascii="Arial" w:cs="Arial" w:eastAsia="Arial" w:hAnsi="Arial"/>
                <w:sz w:val="19"/>
                <w:szCs w:val="19"/>
              </w:rPr>
              <w:t xml:space="preserve">Über dem Korpusstandard, gedeckt durch CONSORT. Die Bauform von Sammoud (Stärken voran, Scharniersatz, nummerierte Limitationen mit angehängter Konsequenz) ist die beste Vorlage im Korpus.</w:t>
            </w:r>
          </w:p>
        </w:tc>
      </w:tr>
      <w:tr>
        <w:tc>
          <w:tcPr>
            <w:tcW w:type="dxa" w:w="2621"/>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Messgütetabelle im Textteil (Tab. 1 in 4.4)</w:t>
            </w:r>
          </w:p>
        </w:tc>
        <w:tc>
          <w:tcPr>
            <w:tcW w:type="dxa" w:w="2995"/>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Keine Interventionsstudie des Korpus berichtet TE, SEM oder MDC; zwei führen eine Reliabilitätstabelle</w:t>
            </w:r>
          </w:p>
        </w:tc>
        <w:tc>
          <w:tcPr>
            <w:tcW w:type="dxa" w:w="3744"/>
            <w:shd w:fill="EEF3F9" w:val="clear"/>
            <w:tcMar>
              <w:top w:type="dxa" w:w="60"/>
              <w:left w:type="dxa" w:w="90"/>
              <w:bottom w:type="dxa" w:w="60"/>
              <w:right w:type="dxa" w:w="90"/>
            </w:tcMar>
          </w:tcPr>
          <w:p>
            <w:pPr>
              <w:spacing w:after="0" w:line="250"/>
            </w:pPr>
            <w:r>
              <w:rPr>
                <w:rFonts w:ascii="Arial" w:cs="Arial" w:eastAsia="Arial" w:hAnsi="Arial"/>
                <w:sz w:val="19"/>
                <w:szCs w:val="19"/>
              </w:rPr>
              <w:t xml:space="preserve">Über dem Korpusstandard, gedeckt durch die eigene Kennwertlage. Padrón-Cabo ist das einzige Vorbild dafür, einen Befund ausdrücklich gegen Messfehler und kleinste bedeutsame Veränderung zu stellen.</w:t>
            </w:r>
          </w:p>
        </w:tc>
      </w:tr>
    </w:tbl>
    <w:p>
      <w:pPr>
        <w:spacing w:after="120" w:line="276"/>
      </w:pPr>
      <w:r>
        <w:rPr>
          <w:rFonts w:ascii="Arial" w:cs="Arial" w:eastAsia="Arial" w:hAnsi="Arial"/>
          <w:sz w:val="21"/>
          <w:szCs w:val="21"/>
        </w:rPr>
        <w:t xml:space="preserve">Drei Vorbilder sind für die anstehenden Kapitel unmittelbar brauchbar. Für die Methodik: Padrón-Cabo, weil dort jede Zielgröße in Methodik, Ergebnis und Diskussion genau einen Absatz nach festem Bauplan bekommt — die wortsparendste Anlage des Korpus bei gleicher Aussagetiefe. Für den Ergebnisteil: Moran und Negra 2019, weil dort der Fließtext nichts tut, als Objekte zu adressieren und Größenklassen zu nennen. Für die Diskussion: Sammoud, wegen der zielgrößenweisen Gliederung, des offenen Umgangs mit Baseline-Unterschieden und der Anlage des Limitationsteils.</w:t>
      </w:r>
    </w:p>
    <w:p>
      <w:pPr>
        <w:spacing w:after="180"/>
      </w:pPr>
    </w:p>
    <w:p>
      <w:pPr>
        <w:pBdr>
          <w:top w:val="single" w:color="D6E4F0" w:sz="8" w:space="8"/>
        </w:pBdr>
        <w:spacing w:before="240"/>
      </w:pPr>
      <w:r>
        <w:rPr>
          <w:rFonts w:ascii="Arial" w:cs="Arial" w:eastAsia="Arial" w:hAnsi="Arial"/>
          <w:i/>
          <w:iCs/>
          <w:color w:val="595959"/>
          <w:sz w:val="18"/>
          <w:szCs w:val="18"/>
        </w:rPr>
        <w:t xml:space="preserve">Grundlage: elf Volltexte im Ordner Ideen und Studien, vollständig gelesen am 15.09.2026. Auswahl nach RCT_Auswertungspraxis_2026-09-11 § 5.1–5.11. Wortzählung und kapitelübergreifende Prüfungen maschinell am extrahierten Volltext.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2026-09-15T20:25:51.980Z</dcterms:created>
  <dcterms:modified xsi:type="dcterms:W3CDTF">2026-09-15T20:25:51.980Z</dcterms:modified>
</cp:coreProperties>
</file>

<file path=docProps/custom.xml><?xml version="1.0" encoding="utf-8"?>
<Properties xmlns="http://schemas.openxmlformats.org/officeDocument/2006/custom-properties" xmlns:vt="http://schemas.openxmlformats.org/officeDocument/2006/docPropsVTypes"/>
</file>