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Beschaffungsliste Literatur – Bachelorarbeit U15-Plyometrie</w:t>
      </w:r>
    </w:p>
    <w:p>
      <w:pPr>
        <w:spacing w:after="120"/>
      </w:pPr>
      <w:r>
        <w:rPr>
          <w:i/>
          <w:sz w:val="20"/>
        </w:rPr>
        <w:t>Stand: 28.08.2026, Fassung 2 (nach Eingang von zehn Volltexten). Grün = beschafft, am Volltext verifiziert und eingearbeitet bzw. für das Zielkapitel vorgemerkt. Offen sind nur noch die unten weiß/blau hinterlegten Positionen.</w:t>
      </w:r>
    </w:p>
    <w:p>
      <w:pPr>
        <w:spacing w:before="240" w:after="80"/>
      </w:pPr>
      <w:r>
        <w:rPr>
          <w:b/>
          <w:color w:val="1F3864"/>
          <w:sz w:val="24"/>
        </w:rPr>
        <w:t>Gruppe A – Zwingend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Nr</w:t>
            </w:r>
          </w:p>
        </w:tc>
        <w:tc>
          <w:tcPr>
            <w:tcW w:type="dxa" w:w="3515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Quelle</w:t>
            </w:r>
          </w:p>
        </w:tc>
        <w:tc>
          <w:tcPr>
            <w:tcW w:type="dxa" w:w="5556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Status / Einarbeitung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A1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sz w:val="18"/>
              </w:rPr>
              <w:t>Khamis &amp; Roche (1995). [Erratum]. Pediatrics, 95(3), 457.</w:t>
            </w:r>
          </w:p>
        </w:tc>
        <w:tc>
          <w:tcPr>
            <w:tcW w:type="dxa" w:w="5556"/>
          </w:tcPr>
          <w:p>
            <w:r/>
            <w:r>
              <w:rPr>
                <w:rFonts w:ascii="Arial" w:hAnsi="Arial"/>
                <w:sz w:val="18"/>
              </w:rPr>
              <w:t>OFFEN – einzige noch ausstehende A-Position: eine Seite via publications.aap.org (gleicher Zugang wie 1994er-PDF). Danach Koeffizienten-Abgleich + PAH-Formel ins Workbook.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A2</w:t>
            </w:r>
          </w:p>
        </w:tc>
        <w:tc>
          <w:tcPr>
            <w:tcW w:type="dxa" w:w="3515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Hopkins (2000). Sports Medicine, 30(1), 1–15.</w:t>
            </w:r>
          </w:p>
        </w:tc>
        <w:tc>
          <w:tcPr>
            <w:tcW w:type="dxa" w:w="5556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– verifiziert (TE = SD wiederholter Messungen eines Individuums, sdiff/√2, Ausdruck als CV; SESOI 0,2 × Zwischen-Personen-SD, S. 9). Eingearbeitet: 3.4 Messgüte-Absatz (Platzhalter aufgelöst), SESOI-Zuschreibung korrigiert. Zusätzlich vorgemerkt für 3.7.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A3</w:t>
            </w:r>
          </w:p>
        </w:tc>
        <w:tc>
          <w:tcPr>
            <w:tcW w:type="dxa" w:w="3515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Harris et al. (1976). Pflügers Archiv, 367(2), 137–142.</w:t>
            </w:r>
          </w:p>
        </w:tc>
        <w:tc>
          <w:tcPr>
            <w:tcW w:type="dxa" w:w="5556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– verifiziert (biphasische PCr-Resynthese, t½ schnelle Komponente 21–22 s; nach 2 min 84 %, nach 4 min 89 % des Defizits restituiert, S. 139). Eingearbeitet: 3.3 Pausen-Begründung.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A4</w:t>
            </w:r>
          </w:p>
        </w:tc>
        <w:tc>
          <w:tcPr>
            <w:tcW w:type="dxa" w:w="3515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Glaister (2005). Sports Medicine, 35(9), 757–777.</w:t>
            </w:r>
          </w:p>
        </w:tc>
        <w:tc>
          <w:tcPr>
            <w:tcW w:type="dxa" w:w="5556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– verifiziert (Einzelsprint 5–6 s überwiegend PCr-Abbau + Glykolyse, &lt;10 % aerob; O2-abhängige, nach Maximalarbeit biexponentielle Resynthese). Eingearbeitet: 3.3. Tomlin &amp; Wenger (2001) damit nicht mehr nötig.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A5</w:t>
            </w:r>
          </w:p>
        </w:tc>
        <w:tc>
          <w:tcPr>
            <w:tcW w:type="dxa" w:w="3515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Ratel, Duché &amp; Williams (2006). Sports Medicine, 36(12), 1031–1065.</w:t>
            </w:r>
          </w:p>
        </w:tc>
        <w:tc>
          <w:tcPr>
            <w:tcW w:type="dxa" w:w="5556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– verifiziert (Kinder/Jugendliche erholen sich nach hochintensiven Kurzbelastungen schneller als Erwachsene; u. a. schnellere PCr-Resynthese). Eingearbeitet: 3.3. Zusätzlich vorgemerkt für 2.2/5.x.</w:t>
            </w:r>
          </w:p>
        </w:tc>
      </w:tr>
    </w:tbl>
    <w:p>
      <w:pPr>
        <w:spacing w:before="240" w:after="80"/>
      </w:pPr>
      <w:r>
        <w:rPr>
          <w:b/>
          <w:color w:val="1F3864"/>
          <w:sz w:val="24"/>
        </w:rPr>
        <w:t>Gruppe B – Primärzitat-Aufwertung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Nr</w:t>
            </w:r>
          </w:p>
        </w:tc>
        <w:tc>
          <w:tcPr>
            <w:tcW w:type="dxa" w:w="3515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Quelle</w:t>
            </w:r>
          </w:p>
        </w:tc>
        <w:tc>
          <w:tcPr>
            <w:tcW w:type="dxa" w:w="5556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Status / Einarbeitung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B1</w:t>
            </w:r>
          </w:p>
        </w:tc>
        <w:tc>
          <w:tcPr>
            <w:tcW w:type="dxa" w:w="3515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Foster et al. (2001). JSCR, 15(1), 109–115.</w:t>
            </w:r>
          </w:p>
        </w:tc>
        <w:tc>
          <w:tcPr>
            <w:tcW w:type="dxa" w:w="5556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– verifiziert (modifizierte CR-10-Skala; Frage „How was your workout?“; Rating bewusst ~30 min nach Einheitsende). Eingearbeitet: 3.6 – „zitiert nach Haddad“ entfernt, 30-min-Instruktion jetzt belegt.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B2</w:t>
            </w:r>
          </w:p>
        </w:tc>
        <w:tc>
          <w:tcPr>
            <w:tcW w:type="dxa" w:w="3515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Smart et al. (2015). Int J Evid Based Healthc, 13(1), 9–18.</w:t>
            </w:r>
          </w:p>
        </w:tc>
        <w:tc>
          <w:tcPr>
            <w:tcW w:type="dxa" w:w="5556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(beschafft + verifiziert: 15 Punkte = 5 Qualität + 10 Reporting; Verblindung in Trainingsstudien „extremely difficult“ → bewusst ausgeklammert). Einarbeitung folgt in 3.7-Umfeld/5.6 und TESTEX-Selbstprüfung – vorgemerkt.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B3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sz w:val="18"/>
              </w:rPr>
              <w:t>Draper &amp; Lancaster (1985). Aust J Sci Med Sport, 17(1), 15–18.</w:t>
            </w:r>
          </w:p>
        </w:tc>
        <w:tc>
          <w:tcPr>
            <w:tcW w:type="dxa" w:w="5556"/>
          </w:tcPr>
          <w:p>
            <w:r/>
            <w:r>
              <w:rPr>
                <w:rFonts w:ascii="Arial" w:hAnsi="Arial"/>
                <w:sz w:val="18"/>
              </w:rPr>
              <w:t>OFFEN – Fernleihe; bis dahin bleibt das gekennzeichnete Sekundärzitat („zitiert nach Dos’Santos et al., 2020“) zulässig.</w:t>
            </w:r>
          </w:p>
        </w:tc>
      </w:tr>
    </w:tbl>
    <w:p>
      <w:pPr>
        <w:spacing w:before="240" w:after="80"/>
      </w:pPr>
      <w:r>
        <w:rPr>
          <w:b/>
          <w:color w:val="1F3864"/>
          <w:sz w:val="24"/>
        </w:rPr>
        <w:t>Gruppe C – Verlagsversionen (nur für wörtliche Zitate)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Nr</w:t>
            </w:r>
          </w:p>
        </w:tc>
        <w:tc>
          <w:tcPr>
            <w:tcW w:type="dxa" w:w="3742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Quelle</w:t>
            </w:r>
          </w:p>
        </w:tc>
        <w:tc>
          <w:tcPr>
            <w:tcW w:type="dxa" w:w="4989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Arial" w:hAnsi="Arial"/>
                <w:sz w:val="18"/>
              </w:rPr>
              <w:t>C1–C5</w:t>
            </w:r>
          </w:p>
        </w:tc>
        <w:tc>
          <w:tcPr>
            <w:tcW w:type="dxa" w:w="3742"/>
          </w:tcPr>
          <w:p>
            <w:r/>
            <w:r>
              <w:rPr>
                <w:rFonts w:ascii="Arial" w:hAnsi="Arial"/>
                <w:sz w:val="18"/>
              </w:rPr>
              <w:t>Clarke 2020 · Beato 2018 · Negra 2019 · Hammami 2016 · McBurnie 2022</w:t>
            </w:r>
          </w:p>
        </w:tc>
        <w:tc>
          <w:tcPr>
            <w:tcW w:type="dxa" w:w="4989"/>
          </w:tcPr>
          <w:p>
            <w:r/>
            <w:r>
              <w:rPr>
                <w:rFonts w:ascii="Arial" w:hAnsi="Arial"/>
                <w:sz w:val="18"/>
              </w:rPr>
              <w:t>OFFEN (unverändert) – nur nötig, falls wörtlich zitiert oder mit Verlags-Seitenzahl belegt werden soll; Paraphrasen aus den Ablage-Fassungen bleiben zulässig.</w:t>
            </w:r>
          </w:p>
        </w:tc>
      </w:tr>
    </w:tbl>
    <w:p>
      <w:pPr>
        <w:spacing w:before="240" w:after="80"/>
      </w:pPr>
      <w:r>
        <w:rPr>
          <w:b/>
          <w:color w:val="1F3864"/>
          <w:sz w:val="24"/>
        </w:rPr>
        <w:t>Gruppe D – Optional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Nr</w:t>
            </w:r>
          </w:p>
        </w:tc>
        <w:tc>
          <w:tcPr>
            <w:tcW w:type="dxa" w:w="3061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Quelle</w:t>
            </w:r>
          </w:p>
        </w:tc>
        <w:tc>
          <w:tcPr>
            <w:tcW w:type="dxa" w:w="6009"/>
            <w:shd w:val="clear" w:fill="D6E4F0"/>
          </w:tcPr>
          <w:p>
            <w:r/>
            <w:r>
              <w:rPr>
                <w:rFonts w:ascii="Arial" w:hAnsi="Arial"/>
                <w:b/>
                <w:sz w:val="18"/>
              </w:rPr>
              <w:t>Status / Verwendung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D1</w:t>
            </w:r>
          </w:p>
        </w:tc>
        <w:tc>
          <w:tcPr>
            <w:tcW w:type="dxa" w:w="3061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Cumming et al. (2017). Strength and Conditioning Journal, 39(2).</w:t>
            </w:r>
          </w:p>
        </w:tc>
        <w:tc>
          <w:tcPr>
            <w:tcW w:type="dxa" w:w="6009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(beschafft + verifiziert). WICHTIGER BEFUND: Cumming definiert VIER Bänder (&lt;85 / 85–90 / 90–95 / ≥95 %PAH; PHV 88–96 %PAH). Unsere Dreiteilung (&lt;90 / 90–95 / &gt;95) ist die McBurnie-Variante → 3.3 zitiert korrekt NUR McBurnie et al. (2022). Cumming vorgemerkt für Kap. 2.2 (Reifung, Bio-Banding, %PAH-Methode).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D2</w:t>
            </w:r>
          </w:p>
        </w:tc>
        <w:tc>
          <w:tcPr>
            <w:tcW w:type="dxa" w:w="3061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Ortega et al. (2008). Int J Obesity. HELENA-Studie.</w:t>
            </w:r>
          </w:p>
        </w:tc>
        <w:tc>
          <w:tcPr>
            <w:tcW w:type="dxa" w:w="6009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– verifiziert (123 Adoleszente, 13,6 ± 0,8 J.; „Neither a learning nor a fatigue effect was found“; systematischer Fehler ≈ 0; SBJ auf hartem Boden). Eingearbeitet: 3.3 SBJ-Satz (altersnahe Primärquelle ergänzt). Hinweis: gelieferte Datei ist eine Fahnen-/Proof-Fassung – keine Seitenzahlen zitieren.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D3</w:t>
            </w:r>
          </w:p>
        </w:tc>
        <w:tc>
          <w:tcPr>
            <w:tcW w:type="dxa" w:w="3061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Fernandez-Santos et al. (2015). JSCR, 29(8), 2277–2285.</w:t>
            </w:r>
          </w:p>
        </w:tc>
        <w:tc>
          <w:tcPr>
            <w:tcW w:type="dxa" w:w="6009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(beschafft + verifiziert: SLJ-Retest über 7 Tage, Intertrial-Differenz ≈ 0; höchste Kriteriumsvalidität mit 1RM-Beinstrecken, R² = 0,70). Alter 6–12 J. → bewusst NICHT in 3.3 (Ortega altersnäher); vorgemerkt für 2.4.3 (SBJ-Diagnostik: Reliabilität + Validität).</w:t>
            </w:r>
          </w:p>
        </w:tc>
      </w:tr>
      <w:tr>
        <w:tc>
          <w:tcPr>
            <w:tcW w:type="dxa" w:w="567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D4</w:t>
            </w:r>
          </w:p>
        </w:tc>
        <w:tc>
          <w:tcPr>
            <w:tcW w:type="dxa" w:w="3061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Stølen et al. (2005). Sports Medicine, 35(6), 501–536.</w:t>
            </w:r>
          </w:p>
        </w:tc>
        <w:tc>
          <w:tcPr>
            <w:tcW w:type="dxa" w:w="6009"/>
            <w:shd w:val="clear" w:fill="D5E8D4"/>
          </w:tcPr>
          <w:p>
            <w:r/>
            <w:r>
              <w:rPr>
                <w:rFonts w:ascii="Arial" w:hAnsi="Arial"/>
                <w:sz w:val="18"/>
              </w:rPr>
              <w:t>ERLEDIGT (beschafft, Identität verifiziert). Kein Methodik-Bezug; vorgemerkt für Kap. 1/2 (Belastungsprofil Fußball, z. B. Sprintaktion ca. alle 90 s → Begründung der Zielgrößen).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D5</w:t>
            </w:r>
          </w:p>
        </w:tc>
        <w:tc>
          <w:tcPr>
            <w:tcW w:type="dxa" w:w="3061"/>
          </w:tcPr>
          <w:p>
            <w:r/>
            <w:r>
              <w:rPr>
                <w:rFonts w:ascii="Arial" w:hAnsi="Arial"/>
                <w:sz w:val="18"/>
              </w:rPr>
              <w:t>Elliot &amp; Brown (2002).</w:t>
            </w:r>
          </w:p>
        </w:tc>
        <w:tc>
          <w:tcPr>
            <w:tcW w:type="dxa" w:w="6009"/>
          </w:tcPr>
          <w:p>
            <w:r/>
            <w:r>
              <w:rPr>
                <w:rFonts w:ascii="Arial" w:hAnsi="Arial"/>
                <w:sz w:val="18"/>
              </w:rPr>
              <w:t>OFFEN – bibliografisch weiterhin nicht eindeutig identifiziert; bleibt „zitiert nach Fröhlich et al., 2020, S. 125“.</w:t>
            </w:r>
          </w:p>
        </w:tc>
      </w:tr>
    </w:tbl>
    <w:p>
      <w:pPr>
        <w:spacing w:before="240" w:after="80"/>
      </w:pPr>
      <w:r>
        <w:rPr>
          <w:b/>
          <w:color w:val="1F3864"/>
          <w:sz w:val="24"/>
        </w:rPr>
        <w:t>Nicht mehr auf der Liste</w:t>
      </w:r>
    </w:p>
    <w:p>
      <w:pPr>
        <w:spacing w:after="120"/>
      </w:pPr>
      <w:r>
        <w:rPr>
          <w:i w:val="0"/>
          <w:sz w:val="20"/>
        </w:rPr>
        <w:t>Tomlin &amp; Wenger (2001): durch Glaister (2005) ersetzt (Alternative war ausdrücklich vorgesehen). Schulz et al. (2010), Moher et al. (2010), Hoffmann et al. (2014): bereits am 28.08. selbst verifiziert (Open Access). Vickers &amp; Altman (2001), Sylvester et al. (2024), Birch et al. (2025), Khamis &amp; Roche (1994), Microgate-Handbuch (2016): früher erledigt.</w:t>
      </w:r>
    </w:p>
    <w:p>
      <w:pPr>
        <w:spacing w:after="120"/>
      </w:pPr>
      <w:r>
        <w:rPr>
          <w:i/>
          <w:sz w:val="20"/>
        </w:rPr>
        <w:t>Verbleibende offene Positionen: A1 (Khamis-Roche-Erratum, prioritär) · B3 (Draper &amp; Lancaster, Fernleihe) · C1–C5 (nur bei wörtlichen Zitaten) · D5 (optional).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