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Studienauswahl und Kapitelzuordnung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>Bachelorarbeit U15-Plyometrie · Stand: 07.09.2026 (Rev. 4 — Kommentar-Runde 2 zu 2.2 nachgeführt; Basis 29.08.2026) · Arbeitsdokument (nicht Teil des Manuskripts)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Datenbasis: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Ordnerbestand „Ideen und Studien“ (inkl. Literatur Plyos, Beschaffungsliste) vom 29.08.2026 · Literaturübersicht v2 (24.08.) · Cowork-Sitzungsnotizen (29.08.) · Projektanweisungen Fassung 4 · Manuskriptstand: Kapitel 3.1–3.6 und 2.1 committet, 2.2 im Gerüst.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Entscheidungsregeln: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Evidenzhierarchie und Quellenbewertung nach §6.1, Aktualitätsregeln nach §6.2 (Quellen vor 2020 nur mit Begründungshalbsatz), Volltext-Verifikationspflicht nach §7 der Projektanweisungen. Entscheidungen sind Empfehlungen an den Verfasser; Abweichungen bitte in den Sitzungsnotizen vermerken.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 Kapitel 2.1 – Grundlagen (committet)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00"/>
        <w:gridCol w:w="1420"/>
        <w:gridCol w:w="1480"/>
        <w:gridCol w:w="2088"/>
      </w:tblGrid>
      <w:tr>
        <w:trPr>
          <w:tblHeader/>
        </w:trPr>
        <w:tc>
          <w:tcPr>
            <w:tcW w:type="dxa" w:w="245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Quelle</w:t>
            </w:r>
          </w:p>
        </w:tc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Funktion im Kapitel</w:t>
            </w:r>
          </w:p>
        </w:tc>
        <w:tc>
          <w:tcPr>
            <w:tcW w:type="dxa" w:w="142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Entscheidung</w:t>
            </w:r>
          </w:p>
        </w:tc>
        <w:tc>
          <w:tcPr>
            <w:tcW w:type="dxa" w:w="148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88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Markovic &amp; Mikulic (2010)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Anpassungen an plyometrisches Training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verbaut (2.1)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committet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Nicol et al. (2006)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DVZ-Definition, Potenzierungseffekt, elastische Energie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verbaut (2.1)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committet; 07.09.: „drei Mechanismen“ und „unmittelbar“ als Fehlzuordnung entfernt (→ Radnor 2017 / Markovic &amp; Mikulic 2010)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Algroy et al. (2021)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fußballspezifische Verankerung U14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verbaut (2.1); PMC-Volltext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committet; K9 geprüft 07.09. (Tab. 1, 23 Spiele, 2 × 35 min normiert); MDPI, durch Palucci Vieira flankiert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Palucci Vieira et al. (2019)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Anforderungsprofil Laufleistung Jugend (syst. Review)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Verlagsfassung in „Beschaffungsliste“ (Sports Med, 49, 289–318), Volltext ✓; verbaut (2.1)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K8/K10 geprüft 07.09. (S. 314); PDF in den Hauptordner „Ideen und Studien“ verschieben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Lloyd et al. (2011)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schneller/langsamer DVZ (250 ms)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verbaut (2.1)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auch in 2.2 (Entwicklung, Sicherheit)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Turner &amp; Stewart (2014)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Einordnung Trainingsformen (Erwachsenenfußball)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verbaut (2.1)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committet; 07.09.: Schnellkraft-Trio auf Basis schweren Krafttrainings ergänzt, „gesamter Bereich der Laufgeschwindigkeiten“ gestrichen (Beleg = Sprungstudie)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Sáez-Sáez de Villarreal et al. (2009)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Dosis-Wirkung Sprunghöhe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verbaut (2.1)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Altquelle, begründet; 07.09.: Population (11–31 J.), Zielgröße (nur vertikale Sprunghöhe) und Korrelationsherleitung im Satz kenntlich; Zusatzlast-Klausel gestrichen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Ramirez-Campillo et al. (2020)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Dosis-Wirkung Fußball-Jugend; Wirkungsrichtung Sprung/Sprint (K16)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verbaut (2.1); Ablage = In-press-Manuskript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Verlagsversion optional beschaffen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Radnor et al. (2017)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Übergangszeit im DVZ (Potenzierung); Dreierliste der Mechanismen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(Online-First) — verbaut (2.1 Abs. 1–2, 2.2)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NEU in 2.1 (07.09., K7/K12); Band/Heft/Seiten vor Abgabe verifizieren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Fukutani et al. (2021)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zellbasierte DVZ-Mechanismen (Aktualisierung zu Nicol 2006)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 (NEU 07.09.)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PDF im Ordner ✓ (07.09.), Volltext ✓ — verbaut (2.1 Abs. 2)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Top-Quelle &lt; 5 Jahre (K13); Front Physiol 11, 609553; Zitierjahr 2021 (online 08.01.2021)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Oliver et al. (2024); Behm et al. (2017); Ramirez-Campillo et al. (2023); Zheng et al. (2025)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Wirkungsrichtung, Programmdauer, Anpassungsmechanismen, Reifeangaben (K15–K18, K23)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Volltexte ✓ — in 2.1 zusätzlich zitiert (07.09.)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Belegplan 2.5 unverändert; in 2.1 nur qualitativ (keine ES); 07.09.: Oliver-Population als Tier 3 nach McKay (2022) gekennzeichnet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 Kapitel 2.2 – Reifung und Trainierbarkeit (heutiger Abschnitt)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00"/>
        <w:gridCol w:w="1420"/>
        <w:gridCol w:w="1480"/>
        <w:gridCol w:w="2088"/>
      </w:tblGrid>
      <w:tr>
        <w:trPr>
          <w:tblHeader/>
        </w:trPr>
        <w:tc>
          <w:tcPr>
            <w:tcW w:type="dxa" w:w="245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Quelle</w:t>
            </w:r>
          </w:p>
        </w:tc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Funktion im Kapitel</w:t>
            </w:r>
          </w:p>
        </w:tc>
        <w:tc>
          <w:tcPr>
            <w:tcW w:type="dxa" w:w="142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Entscheidung</w:t>
            </w:r>
          </w:p>
        </w:tc>
        <w:tc>
          <w:tcPr>
            <w:tcW w:type="dxa" w:w="148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88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Cumming et al. (2017)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Reifebegriffe; PHV-Fenster 88–96 %PAH; Reifevorteile 11–14 J.; Offset-Kritik; Apophysen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zentrale Konzeptquelle; 07.09.: Wachstum/Reifung → Radnor; Status/Timing/Tempo erläutert (K25); Gruppenaussage präzisiert (K26); apophysäre Gipfel = Relais von Price 2004 → dort Primärquelle; synergistic adaptation erklärt (S. 41)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Tanner et al. (1966)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PHV-Referenzdaten (≈10,3 cm/Jahr; ≈14 J.)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 (früher verifiziert)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Altquelle, Halbsatz: klassische Referenz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Khamis &amp; Roche (1994)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%PAH-Verfahrensquelle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 (Sitzung 08/2026)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Jahr 1994 fix (Projektentscheidung)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Mirwald et al. (2002)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Skelettalter = bester Einzelindikator, nicht feldtauglich; Maturity Offset (Alternative)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07.09.: ersetzt Flores/Bouafif als Goldstandard-/Feldtauglichkeitsbeleg (K28); Autoren empfehlen kategoriale Nutzung; Vor-2020-Halbsatz (Verfahrensoriginal)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Flores et al. (2025)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%PAH (Khamis-Roche) ↔ Skelettalter: kontinuierlich ICC 0,93/r 0,86, kategorial κ = 0,12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 (Sci Rep 15:18239)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07.09. (K30): „93 %“ = R² des TW3-Modells, nicht KR → präzisiert; stützt kontinuierliche Kovariate; nicht mehr für Goldstandard-Aussage (zu neu)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Radnor et al. (2017)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Reifung → DVZ-Funktion (strukturell/neuronal); synergistic adaptation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zentrale Reviewquelle; 07.09.: Struktur-/Neurokette verifiziert (K31/K32), Vorbehalte der Autoren im Text; Zweck-Satz ergänzt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Lloyd &amp; Oliver (2012)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YPD-Modell; Kritik windows of opportunity; adolescent awkwardness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07.09.: Betonung je Entwicklungsstufe konkretisiert (K33); adolescent awkwardness S. 66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Lloyd et al. (2016)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Prüfung synergistic adaptation: 6 Wo, 2×/Wo, 80 Jungen; prä-PHV → Plyo, post-PHV → kombiniert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 (neu beschafft)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07.09.: „Originalstudie“ gestrichen (K34); ⚠️ zweites Lloyd et al. 2016 (NSCA-Positionspapier, nicht im Ordner) → bei Zitation disambiguieren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Ramirez-Campillo et al. (2023)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 nach Reifestatus: prä ≈ post (außer COD); mittlere Reifegruppe unteranalysiert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 (PMC)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PDF für Ablage nachladen (open access)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Moran et al. (2017)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Delle CMJ bei 13–15,9 J. (ES 0,47; p = 0,09); Mechanismen awkwardness/Hormone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Manuskriptfassung ✓ (Literatur Plyos)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07.09. (K36): direkt zitiert mit Mechanismen und n. s.-Hinweis; Altersgruppen ≠ gemessene Reife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Bouafif et al. (2026)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RCT Tier 2: größere Gewinne post-PHV (mit Vorbehalt)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07.09. (K36): Mechanismen ergänzt; Post-PHV-Vorteil nur seitenweise signifikant (T4); PLoS One 21(1), e0340863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Oliver et al. (2024)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Reife oft unberichtet → keine Moderatoranalysen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auch 2.1/2.5; 07.09.: „hochtrainiert“ = Tier 3 nach McKay (S. 626)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Ratel et al. (2006)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Ermüdungs-/Erholungsprofil präpubertärer Kinder; nimmt mit Reife ab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07.09. (K39): Mechanismenliste vervollständigt, Reifeabhängigkeit eingeschränkt; Altquelle, Halbsatz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Hilska et al. (2021)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NMT-Warm-up: −32 % Non-Kontakt-UE-Verletzungen U11–U14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 (PMC)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von Luca am Volltext geprüft (K40) ✓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Olivier et al. (2026)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Meta 13–18 J. männlich: Warm-up-NMTS RR 0,69 [0,55; 0,87], I² 80 %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 (neu beschafft)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07.09. (K40): KI, Heterogenität, Studienzahl ergänzt; Phys Ther Sport 79, 101904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Parr et al. (2022)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abnehmende Erklärungskraft der Reife U15/16 (n = 37)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Accepted Manuscript ✓ (Literatur Plyos)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07.09. (K42): direkt zitiert; Band/Heft/Seiten/DOI vor Abgabe verifizieren; nicht für MDS-Komponenten (2.1)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McKay et al. (2022)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Klassifikation Trainings-/Leistungsniveau (Tier 0–5); Stichprobe = Tier 2, Akademien = Tier 3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 (NEU 07.09.)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(IJSPP 17(2), 317–331)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verbaut 2.1 Abs. 3 und 2.2 Abs. 7; Vormerkung 4.2 (Stichprobe) und 6.2 (Übertragbarkeit); NICHT für Reifediagnostik (K29)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Price et al. (2004)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FA-Verletzungsaudit: Osgood-Schlatter/Sever 5 % (11–13 J. 13,8 %), Gipfel U13/U14 bzw. U11; Anstieg nach Pausen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 (NEU 07.09.)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(BJSM 38, 466–471)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verbaut 2.2 Abs. 6 (K38, ersetzt Cumming-Relais); Vormerkung 2.3/6.2 (Verletzungsanstieg nach der Sommerpause); Altquelle, Halbsatz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 Kapitel 2.3 – Übergangsperiode und Detraining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00"/>
        <w:gridCol w:w="1420"/>
        <w:gridCol w:w="1480"/>
        <w:gridCol w:w="2088"/>
      </w:tblGrid>
      <w:tr>
        <w:trPr>
          <w:tblHeader/>
        </w:trPr>
        <w:tc>
          <w:tcPr>
            <w:tcW w:type="dxa" w:w="245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Quelle</w:t>
            </w:r>
          </w:p>
        </w:tc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Funktion im Kapitel</w:t>
            </w:r>
          </w:p>
        </w:tc>
        <w:tc>
          <w:tcPr>
            <w:tcW w:type="dxa" w:w="142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Entscheidung</w:t>
            </w:r>
          </w:p>
        </w:tc>
        <w:tc>
          <w:tcPr>
            <w:tcW w:type="dxa" w:w="148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88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Silva et al. (2016)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Übergangsperiode als window of opportunity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(2016 geklärt) — verbaut 2.3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Mujika &amp; Padilla (2000) bis zur Beschaffung „zitiert nach Silva“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Liu et al. (2024)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beaufsichtigtes Off-Season-Training mildert Detraining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— verbaut 2.3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Brücke zu Videoformat-Rationale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Ramirez-Campillo et al. (2023)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Mindestdosis (≥4 Wo, ≈92 Sprünge/Wo)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 (PMC)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stützt 6-Wochen-Fenster-Argument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Asimakidis et al. (2022) — bisher fälschlich „Manou et al.“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32 Wochen Lockdown: Verbesserung 505/10 m/20 m/CMJ trotz Trainingsstopp (Gegenbefund Detraining)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PDF fehlt (IJERPH 19(9), 4935; PMC9105184); Daten über Volltext/PubMed geprüft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⚠️ 07.09.: Erstautor laut PubMed Asimakidis, Manou = Letztautorin → Manuskript 2.3 korrigiert; MDPI, flankiert durch Dambel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Dambel et al. (2025)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Scoping Review: Kraft/Schnellkraft bei Unterbrechungen weitgehend stabil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PDF fehlt (Sports Med Open 11(1), 65; PMC12145346)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07.09.: Autorenliste (Dambel, Del Sordo, Saidi &amp; Duché) und DOI über PubMed verifiziert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Walker &amp; Hawkins (2018)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Struktur der Übergangsperiode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— verbaut 2.3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Altquelle, Halbsatz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Clemente et al. (2021); Ruf et al. (2024)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Off-Season-Metaanalyse; deutsches NLZ U14–U16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Beschaffen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nicht im Ordner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nicht zitieren, bis beschafft (§ 6.5)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>4 Kapitel 2.4 – Zielgrößen und Diagnostik (committet 06.09.2026; Kapitelnummern in den übrigen Abschnitten noch v2)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00"/>
        <w:gridCol w:w="1420"/>
        <w:gridCol w:w="1480"/>
        <w:gridCol w:w="2088"/>
      </w:tblGrid>
      <w:tr>
        <w:trPr>
          <w:tblHeader/>
        </w:trPr>
        <w:tc>
          <w:tcPr>
            <w:tcW w:type="dxa" w:w="245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Quelle</w:t>
            </w:r>
          </w:p>
        </w:tc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Funktion im Kapitel</w:t>
            </w:r>
          </w:p>
        </w:tc>
        <w:tc>
          <w:tcPr>
            <w:tcW w:type="dxa" w:w="142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Entscheidung</w:t>
            </w:r>
          </w:p>
        </w:tc>
        <w:tc>
          <w:tcPr>
            <w:tcW w:type="dxa" w:w="148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88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2.4.1 Sprint —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Altmann et al. (2015)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Startdistanz beeinflusst 5-m-Zeiten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— verbaut in 2.4.1 (06.09.) und 4.4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Tab.-1-Werte maßgeblich (Text vertauscht Distanzen); eigenes Protokoll 0,5 m vs. Empfehlung 0,3 m → Vormerkung 6.1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Hicks et al. (2019)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Sprintmechanik/Beschleunigung (Konzept)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 (knapp)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(Ahead-of-Print) — verbaut in 2.4.1 (06.09.)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Mechanik Beschleunigung vs. Höchstgeschwindigkeit; Force-Vector nur als Verweis auf 2.5; Fundstelle SCJ 2020 verifizieren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Stølen et al. (2005)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Physiologie Fußball (Übersicht)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Nicht 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Anforderungsdaten veraltet (§6.2); aktuelle Profile über Vieira 2019/Algroy 2021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Ferguson et al. (2024)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Sprint-Reliabilität Akademiespieler 14,7 J. (5/10/20/30 m)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 (NEU 06.09.)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PMC-Volltext ✓ — verbaut in 2.4.1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JSCR 38(3), e96–e103; ICC 0,53→0,93 mit Distanz; nur ICC/SEM zitieren; SWC-Kritik → 6.1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Dugdale et al. (2019)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Between-day-Reliabilität SBJ/505/10–20 m, U11–U17 (n = 373)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 (NEU 06.09.)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Online-first-PDF in Literatur Plyos („Dugdale 2018 et al.,.pdf“), Volltext ✓ — verbaut in 2.4.1–2.4.3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EJSS 19(6), 745–756 (2019); U15-Werte; 20-m-CIs fehlerhaft; Datei umbenennen (2019 Dugdale et al., Reliability field-based tests)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2.4.2 Richtungswechsel (505) —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Draper &amp; Lancaster (1985)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Originalprotokoll 505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zu beschaffen (Fernleihe)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zitiert nach Dos’Santos et al. (2020) in 2.4.2 und 4.4.2 — einziges verbleibendes Sekundärzitat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Dos’Santos et al. (2020)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biomechanische Determinanten 505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— verbaut in 2.4.2 (06.09.), 4.3, 4.4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als 2020 zitieren; PFC-Bremskräfte NICHT mit 505-Zeit assoziiert (S. 1294) → nur Kraftvektor-Orientierung (30–60 %) zitieren; ICC 0,935 nur n = 10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Dos’Santos et al. (2018)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Winkel-Geschwindigkeits-Trade-off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(erstmals gescreent 06.09.) — verbaut in 2.4.2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Sports Med 48(10), 2235–2253; „505“ kommt im Text nicht vor; Winkel-Geschwindigkeits-Trade-off, PFC ≥ 60°, 180° exzentrisch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Clarke et al. (2020)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Phasen/Reliabilität 505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Manuskriptfassung, Volltext ✓ — verbaut in 2.4.2 (06.09.)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Journal laut Consensus: Movement &amp; Sport Sciences (2020) — Heft/Seiten/DOI verifizieren; nur Tab. 2 (ICC/CV), TE-Spalte falsch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Morgan et al. (2022)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COD-Häufigkeit off the ball im Jugendfußball (Anforderungsbegründung)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Repository-Fassung; Verlagsstand geklärt (PubMed): Sci Med Footb 6(4), 473–482 — verbaut in 2.4.2 (06.09.)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Zitierjahr 2022; 77 % (rechnerisch 78 %) ≤ 90°; 1,5 % exakte 180° + Relativierung L391–397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McBurnie, Harper, et al. (2022)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Dezeleration/exzentrische Kontrolle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Nicht in 2.4.2 (optional Kap. 6)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Dezelerationswerte stammen aus Oliva-Lozano 2020 [116], nicht Harper 2019; Algroy 2021 trägt die Abbremszahl primär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McBurnie, Parr, et al. (2022)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multidirektionale Schnelligkeit; Reifebänder-Zitierbasis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— verbaut in 2.4 (Einleitung), 2.1, 2.2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Staging funktioniert jetzt; Ahead-of-Print (Juni 2021) → Fundstelle nicht ableiten; Parr-2020-Befund nur sekundär → nicht verwendet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Sheppard &amp; Young (2006)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Agility-Begriffssystem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— verbaut in 2.4.2 (06.09.)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Halbsatz „klassisches Klassifikationsschema“; Aussage aus S. 922/927/929 zusammengeführt; zwei Autoren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Dugdale et al. (2020)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Intersession-Reliabilität m505/Y-Sprint, Akademie 13,6 J.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Korpus (nicht zitiert)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PMC-Volltext ✓ — im Korpus 2.4.2, im Manuskript NICHT zitiert (bei der Kürzung 06.09. entfallen)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Sports 8(4), 51 (MDPI, flankiert); modifizierter 505; Reserve für 6.1 (Messgüte)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Taylor et al. (2018)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Reliabilität M505/CODD, 110 EPL-Akademiespieler U12–U18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 (NEU 06.09.)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Online-first-PDF in Literatur Plyos („2018 Taylor et al.,.pdf“), Volltext ✓ — verbaut in 2.4.2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Sci Med Football, DOI 10.1080/24733938.2018.1526402; Heft 3(2), 157–162 laut Repository — Heftjahr prüfen; Datei umbenennen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Sammoud et al. (2021)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505 (traditionell) Reliabilität/Sensitivität, präpubertär (n = 89)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 (NEU 06.09.)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PMC-Volltext ✓ — verbaut in 2.4.2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JFMK 6(2), 41 (MDPI, flankiert); TEM 0,07 s &gt; SWC 0,04 s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2.4.3 Standweitsprung —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Fernandez-Santos et al. (2015)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Retest/Validität SBJ bei Kindern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— verbaut in 2.4.3 (06.09.)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R² = 0,700 (nicht R); %Error 8,14 gleichauf mit SJ/CMJ/ABA; Kinder 6–12 J. → Population im Satz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Thomas et al. (2020)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SBJ-Perzentile 6–18 J.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— verbaut in 4.4 (Protokoll) und 2.4.3 (Normen)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Tab. 2: 15-j. Jungen P50 170 / P90 197,8 cm (n = 93); Text „linearer Anstieg“ widerspricht Tabelle → nicht zitieren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Tomkinson et al. (2021)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SBJ-Trends/Normbasis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— verbaut in 4.3 und 2.4.3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S. 532; Reliabilitätsaussagen relaien Fernandez-Santos/Ortega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Bianco et al. (2015)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Feldtest-Gütekriterien (ASSO)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 (nur 4.3)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Volltext ✓ — in 2.4.3 nicht zitiert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Relais der HELENA-Zahlen (fälschlich Artero 2011 zugeschrieben); keine eigene Reliabilitätsstatistik → Endredaktion 4.3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Ortega et al. (2008)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HELENA-Reliabilität Feldtests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Uncorrected Proof, Volltext ✓ — verbaut in 4.3 und 2.4.3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Heftfundstelle 32(Suppl 5), S49–S57 verifizieren; Retest Jungen 0,3 ± 12,9 cm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Koch et al. (2003)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Aufwärmeffekt auf SBJ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Nicht benötigt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Ablage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4.3 deckt den Aufwärmbezug ab; Erwachsene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Rahman et al. (2021)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SBJ-Normen/Gütekriterien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Nicht 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Journalqualität fraglich (Statushinweis 24.08.); Bianco/Thomas genügen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Marín-Jiménez et al. (2024)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SLJ Kriteriumsvalidität (horizontale Kraft/Leistung) + Lerneffekt, Erwachsene (n = 410)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Aufnehmen (NEU 06.09.)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PMC-Volltext ✓ — verbaut in 2.4.3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EJSS 24(9), 1379–1392; Populationsdistanz 2 → nur mit Populationsnennung; ICC 1,00 nach Lernperiode nicht zitieren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 Kapitel 2.5 – Forschungsstand (Interventionsevidenz)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Effektstärken-Details je Zielgröße: Evidenztabelle_Effektstaerken_v2 (Ablage Schreiben). Reihenfolge im Text: Sprint → Richtungswechsel → Sprung.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00"/>
        <w:gridCol w:w="1420"/>
        <w:gridCol w:w="1480"/>
        <w:gridCol w:w="2088"/>
      </w:tblGrid>
      <w:tr>
        <w:trPr>
          <w:tblHeader/>
        </w:trPr>
        <w:tc>
          <w:tcPr>
            <w:tcW w:type="dxa" w:w="245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Quelle</w:t>
            </w:r>
          </w:p>
        </w:tc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Funktion im Kapitel</w:t>
            </w:r>
          </w:p>
        </w:tc>
        <w:tc>
          <w:tcPr>
            <w:tcW w:type="dxa" w:w="142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Entscheidung</w:t>
            </w:r>
          </w:p>
        </w:tc>
        <w:tc>
          <w:tcPr>
            <w:tcW w:type="dxa" w:w="148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88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Ramirez-Campillo et al. (2020)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Leitmeta Sprint/Sprung Jugendfußball; Dosis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 (Manuskript) ✓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Kernbeleg Limitation Sprintdosis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Oliver et al. (2024)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 hochtrainierte Jugendfußballer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 ✓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Zheng et al. (2025)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 Adoleszente: Sprung/Sprint/COD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 ✓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Ramirez-Campillo et al. (2023)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 nach Reifestatus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 (PMC)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Querbezug 2.2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Moran et al. (2024)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vertikal/horizontal/kombiniert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Spezifitätsargument (horizontale Zielgröße)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Bouafif et al. (2026)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RCT nach Reife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Aloui et al. (2022)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RCT U15 Plyo+Sprint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Sammoud et al. (2024)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RCT präpubertär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Beato et al. (2018)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RCT Plyo+Richtungstraining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Verlagsversion auf Liste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Negra et al. (2019)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RCT loaded vs. unloaded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Verlagsversion auf Liste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Hammami et al. (2016)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RCT in-season COD/Sprint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Verlagsversion auf Liste; Altquelle begründen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Liu et al. (2024)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Off-Season-Kontext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Querbezug 2.3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Asadi et al. (2017)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 COD nach Reifestufe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 beschaffen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nur falls COD-Reifediskussion vertieft wird (konkurriert mit RC 2023)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 Methodik und Statistik (Kapitel 3, verbaut/Standards)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00"/>
        <w:gridCol w:w="1420"/>
        <w:gridCol w:w="1480"/>
        <w:gridCol w:w="2088"/>
      </w:tblGrid>
      <w:tr>
        <w:trPr>
          <w:tblHeader/>
        </w:trPr>
        <w:tc>
          <w:tcPr>
            <w:tcW w:type="dxa" w:w="245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Quelle</w:t>
            </w:r>
          </w:p>
        </w:tc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Funktion im Kapitel</w:t>
            </w:r>
          </w:p>
        </w:tc>
        <w:tc>
          <w:tcPr>
            <w:tcW w:type="dxa" w:w="142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Entscheidung</w:t>
            </w:r>
          </w:p>
        </w:tc>
        <w:tc>
          <w:tcPr>
            <w:tcW w:type="dxa" w:w="148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88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Fröhlich et al. (2020)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Methodenrückgrat (Quasi-Experiment, Wartegruppe)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 (Fundstellen dokumentiert)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Schulz et al. (2010); Moher et al. (2010)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CONSORT-Anlehnung; Flussdiagramm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 beschaffen (frei)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für 3.1/4.1 zitierfähig ablegen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Hoffmann et al. (2014)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TIDieR (3.5)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 beschaffen (frei)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Smart et al. (2015)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TESTEX (internes Prüfwerkzeug)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 ✓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ohne Punktwert (Entscheidung 29.08.)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Vickers &amp; Altman (2001)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ANCOVA-Verfahrensbeleg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 beschaffen (frei)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Hopkins (2000)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TE/SESOI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 ✓ (in 3.4 verbaut)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Foster et al. (2001)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sRPE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 ✓ (in 3.6 verbaut)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Haddad et al. (2017)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sRPE-Validität (ergänzend)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nur falls 3.6/5.5 Vertiefung braucht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Liu et al. (2023)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sRPE als Monitoring-Tool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dito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Harris et al. (1976); Glaister (2005)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Pausenphysiologie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 ✓ (in 3.3 verbaut)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Altquellen begründet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Jeffreys (2007)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RAMP (3.3, Anhang C)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 ✓ (verbaut)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Norton (2018, ISAK)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Anthropometrie-Standard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 ✓ (in 3.2 verbaut)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Microgate (2016)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Witty-Gerätequelle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 ✓ (verbaut)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Eintrag ins Literaturverzeichnis offen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Faul et al. (2007)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G*Power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 (08/2026)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Lakens (2022, Collabra + Online-Lehrbuch)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Fallzahlbegründung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Zugang prüfen (frei)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Correll et al. (2020); Abt et al. (2025); Ditroilo et al. (2025)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MDES/Sensitivitätslogik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tlw. zu beschaffen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für 3.7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Kornmann et al. (2024); Weir &amp; Vincent (2021)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Methodenlehrbücher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 beschaffen (Bibliothek)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nur bei Bedarf einzelner Verfahrensbelege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 Diskussion (Kapitel 5, Vormerkungen)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00"/>
        <w:gridCol w:w="1420"/>
        <w:gridCol w:w="1480"/>
        <w:gridCol w:w="2088"/>
      </w:tblGrid>
      <w:tr>
        <w:trPr>
          <w:tblHeader/>
        </w:trPr>
        <w:tc>
          <w:tcPr>
            <w:tcW w:type="dxa" w:w="245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Quelle</w:t>
            </w:r>
          </w:p>
        </w:tc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Funktion im Kapitel</w:t>
            </w:r>
          </w:p>
        </w:tc>
        <w:tc>
          <w:tcPr>
            <w:tcW w:type="dxa" w:w="142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Entscheidung</w:t>
            </w:r>
          </w:p>
        </w:tc>
        <w:tc>
          <w:tcPr>
            <w:tcW w:type="dxa" w:w="148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88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Ferris &amp; Farley (1997)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Bein-/Untergrundsteifigkeit (Bodenart-Einordnung)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identifiziert (J Appl Physiol 82, 15–22)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Vormerkung 5.5; Altquelle, Halbsatz: mechanistische Originalarbeit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Birch et al. (2025)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Untergrundsteifigkeit, Hüpffrequenz, Fuß/Sprunggelenk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identifiziert (Scand J Med Sci Sports)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Vormerkung 5.5 (Bodenart aus Fragebogen A)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Parr et al. (2022)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Kovariaten-Einordnung 5.2/5.5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Platzhalter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 beschaffen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s. 2.2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Tanner et al. (1966)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Reifungsdifferenz-Rechnung (≈0,4 cm)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✓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Vormerkung 5.5 [EXTRAPOLATION kennzeichnen]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 Nicht aufzunehmen (Altbestand/Populationsferne)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00"/>
        <w:gridCol w:w="1420"/>
        <w:gridCol w:w="1480"/>
        <w:gridCol w:w="2088"/>
      </w:tblGrid>
      <w:tr>
        <w:trPr>
          <w:tblHeader/>
        </w:trPr>
        <w:tc>
          <w:tcPr>
            <w:tcW w:type="dxa" w:w="245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Quelle</w:t>
            </w:r>
          </w:p>
        </w:tc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Funktion im Kapitel</w:t>
            </w:r>
          </w:p>
        </w:tc>
        <w:tc>
          <w:tcPr>
            <w:tcW w:type="dxa" w:w="142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Entscheidung</w:t>
            </w:r>
          </w:p>
        </w:tc>
        <w:tc>
          <w:tcPr>
            <w:tcW w:type="dxa" w:w="148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88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Sylvester et al. (2024)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Plyo bei weiblichen Post-PHV-Volleyballerinnen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Nicht 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Volltext identifiziert (Front Physiol 15)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Populationsferne (weiblich, Volleyball); Dosisfragen über Metas abgedeckt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VBG-Sportreport (2024)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Verletzungsstatistik Profisport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Nicht 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graue Literatur, Profifußball-Fokus; keine Passung zur U15-Feldstichprobe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Rønnestad et al. (2018)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Blockperiodisierung Eishockey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Nicht 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themenfremd (Altbestand)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Faszien.pdf; Three_Filament_Theory.pdf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Grundlagentexte außerhalb der Fragestellung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Nicht 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Altbestand</w:t>
            </w:r>
          </w:p>
        </w:tc>
      </w:tr>
      <w:tr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Return to play (Bloome et al.)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Reha-Kontext</w:t>
            </w:r>
          </w:p>
        </w:tc>
        <w:tc>
          <w:tcPr>
            <w:tcW w:type="dxa" w:w="1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Nicht aufnehmen</w:t>
            </w:r>
          </w:p>
        </w:tc>
        <w:tc>
          <w:tcPr>
            <w:tcW w:type="dxa" w:w="1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Ablage</w:t>
            </w:r>
          </w:p>
        </w:tc>
        <w:tc>
          <w:tcPr>
            <w:tcW w:type="dxa" w:w="20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themenfremd</w:t>
            </w:r>
          </w:p>
        </w:tc>
      </w:tr>
      <w:tr>
        <w:tc>
          <w:tcPr>
            <w:tcW w:type="dxa" w:w="245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Verletzungsprävention_Vereinssport.pptx</w:t>
            </w:r>
          </w:p>
        </w:tc>
        <w:tc>
          <w:tcPr>
            <w:tcW w:type="dxa" w:w="220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eigene Präsentation</w:t>
            </w:r>
          </w:p>
        </w:tc>
        <w:tc>
          <w:tcPr>
            <w:tcW w:type="dxa" w:w="142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Nicht aufnehmen</w:t>
            </w:r>
          </w:p>
        </w:tc>
        <w:tc>
          <w:tcPr>
            <w:tcW w:type="dxa" w:w="1480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eigene Unterlage</w:t>
            </w:r>
          </w:p>
        </w:tc>
        <w:tc>
          <w:tcPr>
            <w:tcW w:type="dxa" w:w="2088"/>
            <w:shd w:fill="EEF3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keine zitierfähige Quelle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 Datei-Hygiene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„Altmann et al., 505 Starting Position.pdf“ (Hauptordner) ist byte-identisch mit „2015 Altmann et al., starting distances…“ (Ideen und Studien) – eine Kopie genügt.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„2019 Dos Santos et al., 505…“ und „2020 Dos Santos et al., Biomechanical determinants…“ sind identische Dateien (bekannter Statushinweis); die 2019-benannte Datei umbenennen oder entfernen.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3. „2022 McBurnie et al. Multidirectional_Speed…“ — Staging funktioniert (06.09.); Umbenennung optional. NEU: „2018 Taylor et al.,.pdf“ und „Dugdale 2018 et al.,.pdf“ (Literatur Plyos) sind Online-first-Fassungen — umbenennen in „2018 Taylor et al., Reliability modified 505 elite youth football.pdf“ und „2019 Dugdale et al., Reliability validity field-based fitness tests youth soccer.pdf“ (Heftjahr Dugdale = 2019).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Open-Access-PDFs für die Ablage nachladen: Ramirez-Campillo et al. (2023, Sports Med Open), Hilska et al. (2021, OJSM).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5. (07.09.) Im Kapitel 2 zitiert, aber ohne PDF im Ordner (alle frei): Dambel et al. 2025 (Sports Med Open 11, 65) · Manou et al. 2022 (IJERPH 19(9), 4935) · Ferguson et al. 2024 (PMC10880938) · Sammoud et al. 2021 (PMC8162567) · Marín-Jiménez et al. 2024 (PMC11369318). Erledigt 07.09.: Fukutani 2021 ✓, McKay 2022 ✓, Price 2004 ✓. Optional: Lloyd, Cronin, et al. 2016 (NSCA-Positionspapier), Malina &amp; Kozieł 2014. Palucci Vieira 2019 aus „Beschaffungsliste“ in den Hauptordner verschieben.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 Beschaffungsliste – Delta zum 28.08.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>Erledigt: Palucci Vieira et al. 2019 ✓ · Morgan et al. 2022 (Repository-Fassung; Verlagsstand über PubMed geklärt: 6(4), 473–482) ✓ · Lloyd et al. 2016 ✓ · Olivier et al. 2026 ✓ · Dos’Santos et al. 2018 (Volltext gescreent 06.09.) ✓ · NEU 06.09.: Ferguson 2024 ✓ · Dugdale 2019 ✓ · Dugdale 2020 ✓ · Taylor 2018 ✓ · Sammoud 2021 ✓ · Marín-Jiménez 2024 ✓ (alle Volltext)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Neu offen: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Parr et al. 2022 (frei: e-space.mmu.ac.uk/638685, Accepted Version) · Moran et al. 2017 (JSCR, Spoho/OVID) · Asadi et al. 2017 (optional) · Olivier-Ergänzung entfällt (beschafft).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>Unverändert offen: Draper &amp; Lancaster 1985 (Fernleihe; Sekundärzitat nach Dos’Santos 2020) · Clarke et al. 2020 Verlagsversion (Movement &amp; Sport Sciences 2020 — Heft/Seiten/DOI) · Verlagsversionen Beato/Negra/Hammami/McBurnie · Heftjahr Taylor 2018 (3(2), 157–162: 2018 oder 2019?) · NEU: Fitzpatrick et al. 2019 (Sports 7, e30; Force-Vector-Kritik) · Oliva-Lozano et al. 2020 (PLoS ONE 15, e0236959; Primärquelle der Dezelerationswerte) · Clarke et al. 2022 (JSCR 36(9), 2434–2439; Linearsprint ↔ 505 r ≈ 0,7 bei Erwachsenen — Gegenbefund zu Sammoud) · Elliot &amp; Brown 2002 · Murtagh et al. 2019 · Filter et al. 2023 · Schulz 2010/Moher 2010/Hoffmann 2014/Vickers &amp; Altman 2001 (alle frei) · Kornmann et al. 2024 · Weir &amp; Vincent 2021.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 Konsequenz für Abschnitt 2.2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Belegplan final: Lloyd et al. (2016) und Olivier et al. (2026) werden direkt zitiert (Volltexte verifiziert). Moran et al. (2017) bis zur Beschaffung als Sekundärzitat über Ramirez-Campillo et al. (2020); Parr et al. (2022) als gekennzeichneter Platzhalter mit konservativer Formulierung über Cumming et al. (2017). Alle übrigen 2.2-Belege sind volltextverifiziert.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2026-08-30T07:30:11.760Z</dcterms:created>
  <dcterms:modified xsi:type="dcterms:W3CDTF">2026-08-30T07:30:11.760Z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